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8248C" w14:textId="77777777" w:rsidR="006C7821" w:rsidRPr="00F740A5" w:rsidRDefault="006C7821" w:rsidP="003577C1">
      <w:pPr>
        <w:widowControl/>
        <w:autoSpaceDE/>
        <w:adjustRightInd/>
        <w:ind w:left="5664"/>
        <w:rPr>
          <w:sz w:val="22"/>
          <w:szCs w:val="22"/>
        </w:rPr>
      </w:pPr>
      <w:r w:rsidRPr="00F740A5">
        <w:rPr>
          <w:sz w:val="22"/>
          <w:szCs w:val="22"/>
        </w:rPr>
        <w:t xml:space="preserve">Załącznik Nr 4 </w:t>
      </w:r>
    </w:p>
    <w:p w14:paraId="56CED07F" w14:textId="77777777" w:rsidR="006C7821" w:rsidRPr="00F740A5" w:rsidRDefault="006C7821" w:rsidP="003577C1">
      <w:pPr>
        <w:widowControl/>
        <w:autoSpaceDE/>
        <w:adjustRightInd/>
        <w:ind w:left="5664"/>
        <w:rPr>
          <w:sz w:val="22"/>
          <w:szCs w:val="22"/>
        </w:rPr>
      </w:pPr>
      <w:r w:rsidRPr="00F740A5">
        <w:rPr>
          <w:sz w:val="22"/>
          <w:szCs w:val="22"/>
        </w:rPr>
        <w:t xml:space="preserve">do zarządzenia Regionalnego </w:t>
      </w:r>
    </w:p>
    <w:p w14:paraId="57217678" w14:textId="77777777" w:rsidR="006C7821" w:rsidRPr="00F740A5" w:rsidRDefault="006C7821" w:rsidP="003577C1">
      <w:pPr>
        <w:widowControl/>
        <w:autoSpaceDE/>
        <w:adjustRightInd/>
        <w:ind w:left="5664"/>
        <w:rPr>
          <w:sz w:val="22"/>
          <w:szCs w:val="22"/>
        </w:rPr>
      </w:pPr>
      <w:r w:rsidRPr="00F740A5">
        <w:rPr>
          <w:sz w:val="22"/>
          <w:szCs w:val="22"/>
        </w:rPr>
        <w:t xml:space="preserve">Dyrektora Ochrony Środowiska </w:t>
      </w:r>
      <w:r w:rsidR="003577C1" w:rsidRPr="00F740A5">
        <w:rPr>
          <w:sz w:val="22"/>
          <w:szCs w:val="22"/>
        </w:rPr>
        <w:br/>
      </w:r>
      <w:r w:rsidRPr="00F740A5">
        <w:rPr>
          <w:sz w:val="22"/>
          <w:szCs w:val="22"/>
        </w:rPr>
        <w:t>w Katowicach</w:t>
      </w:r>
    </w:p>
    <w:p w14:paraId="39CACDBC" w14:textId="77777777" w:rsidR="006C7821" w:rsidRPr="00F740A5" w:rsidRDefault="006C7821" w:rsidP="003577C1">
      <w:pPr>
        <w:widowControl/>
        <w:autoSpaceDE/>
        <w:adjustRightInd/>
        <w:ind w:left="5664"/>
        <w:rPr>
          <w:sz w:val="22"/>
          <w:szCs w:val="22"/>
        </w:rPr>
      </w:pPr>
      <w:r w:rsidRPr="00F740A5">
        <w:rPr>
          <w:sz w:val="22"/>
          <w:szCs w:val="22"/>
        </w:rPr>
        <w:t xml:space="preserve">z dnia …… …..r. </w:t>
      </w:r>
    </w:p>
    <w:p w14:paraId="34436D9B" w14:textId="77777777" w:rsidR="006C7821" w:rsidRPr="00F740A5" w:rsidRDefault="006C7821" w:rsidP="006C7821">
      <w:pPr>
        <w:widowControl/>
        <w:autoSpaceDE/>
        <w:adjustRightInd/>
        <w:rPr>
          <w:sz w:val="22"/>
          <w:szCs w:val="22"/>
        </w:rPr>
      </w:pPr>
    </w:p>
    <w:p w14:paraId="19D091A7" w14:textId="77777777" w:rsidR="006C7821" w:rsidRDefault="006C7821" w:rsidP="006C7821">
      <w:pPr>
        <w:shd w:val="clear" w:color="auto" w:fill="FFFFFF"/>
        <w:spacing w:before="269"/>
        <w:rPr>
          <w:color w:val="000000"/>
          <w:sz w:val="22"/>
          <w:szCs w:val="22"/>
        </w:rPr>
      </w:pPr>
      <w:r w:rsidRPr="00F740A5">
        <w:rPr>
          <w:color w:val="000000"/>
          <w:sz w:val="22"/>
          <w:szCs w:val="22"/>
        </w:rPr>
        <w:t>Cele działań ochronnych</w:t>
      </w:r>
    </w:p>
    <w:p w14:paraId="71706BF0" w14:textId="77777777" w:rsidR="00C163F0" w:rsidRPr="00F740A5" w:rsidRDefault="00C163F0" w:rsidP="006C7821">
      <w:pPr>
        <w:shd w:val="clear" w:color="auto" w:fill="FFFFFF"/>
        <w:spacing w:before="269"/>
        <w:rPr>
          <w:color w:val="000000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6023"/>
      </w:tblGrid>
      <w:tr w:rsidR="001D422C" w:rsidRPr="00F740A5" w14:paraId="6A7B1DCD" w14:textId="77777777" w:rsidTr="0014311A">
        <w:trPr>
          <w:cantSplit/>
          <w:trHeight w:val="1134"/>
          <w:tblHeader/>
        </w:trPr>
        <w:tc>
          <w:tcPr>
            <w:tcW w:w="567" w:type="dxa"/>
            <w:shd w:val="clear" w:color="auto" w:fill="auto"/>
            <w:vAlign w:val="center"/>
          </w:tcPr>
          <w:p w14:paraId="00E9BFD7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715314" w14:textId="77777777" w:rsidR="001D422C" w:rsidRPr="00F740A5" w:rsidRDefault="001D422C" w:rsidP="0014311A">
            <w:pPr>
              <w:rPr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Przedmiot ochrony</w:t>
            </w:r>
          </w:p>
        </w:tc>
        <w:tc>
          <w:tcPr>
            <w:tcW w:w="6023" w:type="dxa"/>
            <w:shd w:val="clear" w:color="auto" w:fill="auto"/>
            <w:vAlign w:val="center"/>
          </w:tcPr>
          <w:p w14:paraId="708CF40A" w14:textId="77777777" w:rsidR="001D422C" w:rsidRPr="00F740A5" w:rsidRDefault="001D422C" w:rsidP="0014311A">
            <w:pPr>
              <w:rPr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Cel działań ochronnych</w:t>
            </w:r>
          </w:p>
        </w:tc>
      </w:tr>
      <w:tr w:rsidR="001D422C" w:rsidRPr="00F740A5" w14:paraId="7DB86011" w14:textId="77777777" w:rsidTr="0014311A">
        <w:trPr>
          <w:cantSplit/>
          <w:trHeight w:val="3177"/>
        </w:trPr>
        <w:tc>
          <w:tcPr>
            <w:tcW w:w="567" w:type="dxa"/>
            <w:vAlign w:val="center"/>
          </w:tcPr>
          <w:p w14:paraId="103334F1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1782B182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2330 Wydmy śródlądowe z murawami </w:t>
            </w:r>
            <w:proofErr w:type="spellStart"/>
            <w:r w:rsidRPr="00F740A5">
              <w:rPr>
                <w:bCs/>
                <w:color w:val="000000"/>
                <w:sz w:val="22"/>
                <w:szCs w:val="22"/>
              </w:rPr>
              <w:t>napiaskowymi</w:t>
            </w:r>
            <w:proofErr w:type="spellEnd"/>
          </w:p>
        </w:tc>
        <w:tc>
          <w:tcPr>
            <w:tcW w:w="6023" w:type="dxa"/>
            <w:vAlign w:val="center"/>
          </w:tcPr>
          <w:p w14:paraId="0BE0854C" w14:textId="77777777" w:rsidR="001D422C" w:rsidRPr="00F740A5" w:rsidRDefault="001D422C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Utrzymanie obecnego stanu ochrony U1 na stanowiskach:</w:t>
            </w:r>
            <w:r w:rsidRPr="00F740A5">
              <w:rPr>
                <w:sz w:val="22"/>
                <w:szCs w:val="22"/>
              </w:rPr>
              <w:t xml:space="preserve"> Piaskownia I, Piaskownia II, Niwki II, Piachy pod Zamkiem II, Ostra Górka II, Przedpole </w:t>
            </w:r>
            <w:proofErr w:type="spellStart"/>
            <w:r w:rsidRPr="00F740A5">
              <w:rPr>
                <w:sz w:val="22"/>
                <w:szCs w:val="22"/>
              </w:rPr>
              <w:t>Biakła</w:t>
            </w:r>
            <w:proofErr w:type="spellEnd"/>
            <w:r w:rsidR="0069104F">
              <w:rPr>
                <w:sz w:val="22"/>
                <w:szCs w:val="22"/>
              </w:rPr>
              <w:t xml:space="preserve"> </w:t>
            </w:r>
            <w:r w:rsidR="0069104F" w:rsidRPr="0069104F">
              <w:rPr>
                <w:sz w:val="22"/>
                <w:szCs w:val="22"/>
              </w:rPr>
              <w:t>siedliska poprzez utrzymanie oceny parametrów „specyficzna struktura i funkcje” oraz „perspektywy ochrony”</w:t>
            </w:r>
            <w:r w:rsidR="0069104F">
              <w:rPr>
                <w:sz w:val="22"/>
                <w:szCs w:val="22"/>
              </w:rPr>
              <w:t>.</w:t>
            </w:r>
          </w:p>
          <w:p w14:paraId="3F666982" w14:textId="77777777" w:rsidR="001D422C" w:rsidRPr="00F740A5" w:rsidRDefault="001D422C" w:rsidP="0014311A">
            <w:pPr>
              <w:rPr>
                <w:sz w:val="22"/>
                <w:szCs w:val="22"/>
              </w:rPr>
            </w:pPr>
          </w:p>
          <w:p w14:paraId="56EA8335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Poprawa stanu ochrony z U2 na U1 </w:t>
            </w:r>
            <w:r w:rsidR="0069104F">
              <w:rPr>
                <w:bCs/>
                <w:color w:val="000000"/>
                <w:sz w:val="22"/>
                <w:szCs w:val="22"/>
              </w:rPr>
              <w:t>poprzez poprawę wskaźników: e</w:t>
            </w:r>
            <w:r w:rsidR="0069104F" w:rsidRPr="0069104F">
              <w:rPr>
                <w:bCs/>
                <w:color w:val="000000"/>
                <w:sz w:val="22"/>
                <w:szCs w:val="22"/>
              </w:rPr>
              <w:t>kspansja krzewów i podrostu drzew, występowanie procesów eolicznych, inne zniekształcenia (rozjeżdżenie, wydeptanie, zaśmiecenie)</w:t>
            </w:r>
            <w:r w:rsidR="0069104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9104F" w:rsidRPr="00F740A5">
              <w:rPr>
                <w:bCs/>
                <w:color w:val="000000"/>
                <w:sz w:val="22"/>
                <w:szCs w:val="22"/>
              </w:rPr>
              <w:t>na stanowisk</w:t>
            </w:r>
            <w:r w:rsidR="0069104F">
              <w:rPr>
                <w:bCs/>
                <w:color w:val="000000"/>
                <w:sz w:val="22"/>
                <w:szCs w:val="22"/>
              </w:rPr>
              <w:t>u</w:t>
            </w:r>
            <w:r w:rsidR="0069104F" w:rsidRPr="00F740A5">
              <w:rPr>
                <w:bCs/>
                <w:color w:val="000000"/>
                <w:sz w:val="22"/>
                <w:szCs w:val="22"/>
              </w:rPr>
              <w:t xml:space="preserve">: Kusięta </w:t>
            </w:r>
            <w:r w:rsidR="0069104F">
              <w:rPr>
                <w:bCs/>
                <w:color w:val="000000"/>
                <w:sz w:val="22"/>
                <w:szCs w:val="22"/>
              </w:rPr>
              <w:t>M</w:t>
            </w:r>
            <w:r w:rsidR="0069104F" w:rsidRPr="00F740A5">
              <w:rPr>
                <w:bCs/>
                <w:color w:val="000000"/>
                <w:sz w:val="22"/>
                <w:szCs w:val="22"/>
              </w:rPr>
              <w:t>ałe</w:t>
            </w:r>
            <w:r w:rsidR="0069104F">
              <w:rPr>
                <w:bCs/>
                <w:color w:val="000000"/>
                <w:sz w:val="22"/>
                <w:szCs w:val="22"/>
              </w:rPr>
              <w:t xml:space="preserve"> oraz wskaźnika e</w:t>
            </w:r>
            <w:r w:rsidR="0069104F" w:rsidRPr="0069104F">
              <w:rPr>
                <w:bCs/>
                <w:color w:val="000000"/>
                <w:sz w:val="22"/>
                <w:szCs w:val="22"/>
              </w:rPr>
              <w:t>kspansja krzewów i podrostu drzew</w:t>
            </w:r>
            <w:r w:rsidR="0069104F">
              <w:rPr>
                <w:bCs/>
                <w:color w:val="000000"/>
                <w:sz w:val="22"/>
                <w:szCs w:val="22"/>
              </w:rPr>
              <w:t xml:space="preserve"> na stanowisku</w:t>
            </w:r>
            <w:r w:rsidR="0069104F" w:rsidRPr="00F740A5">
              <w:rPr>
                <w:bCs/>
                <w:color w:val="000000"/>
                <w:sz w:val="22"/>
                <w:szCs w:val="22"/>
              </w:rPr>
              <w:t xml:space="preserve"> Niwki III</w:t>
            </w:r>
            <w:r w:rsidR="0069104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D422C" w:rsidRPr="00F740A5" w14:paraId="3DA3BF38" w14:textId="77777777" w:rsidTr="0014311A">
        <w:trPr>
          <w:cantSplit/>
          <w:trHeight w:val="2839"/>
        </w:trPr>
        <w:tc>
          <w:tcPr>
            <w:tcW w:w="567" w:type="dxa"/>
            <w:vAlign w:val="center"/>
          </w:tcPr>
          <w:p w14:paraId="254A67E2" w14:textId="77777777" w:rsidR="001D422C" w:rsidRPr="00F740A5" w:rsidRDefault="00836CBD" w:rsidP="001431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1D422C" w:rsidRPr="00F740A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32801EBF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6120 Ciepłolubne, śródlądowe murawy </w:t>
            </w:r>
            <w:proofErr w:type="spellStart"/>
            <w:r w:rsidRPr="00F740A5">
              <w:rPr>
                <w:bCs/>
                <w:color w:val="000000"/>
                <w:sz w:val="22"/>
                <w:szCs w:val="22"/>
              </w:rPr>
              <w:t>napiaskowe</w:t>
            </w:r>
            <w:proofErr w:type="spellEnd"/>
            <w:r w:rsidRPr="00F740A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740A5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F740A5">
              <w:rPr>
                <w:i/>
                <w:color w:val="000000"/>
                <w:sz w:val="22"/>
                <w:szCs w:val="22"/>
              </w:rPr>
              <w:t>Koelerion</w:t>
            </w:r>
            <w:proofErr w:type="spellEnd"/>
            <w:r w:rsidRPr="00F740A5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color w:val="000000"/>
                <w:sz w:val="22"/>
                <w:szCs w:val="22"/>
              </w:rPr>
              <w:t>glaucae</w:t>
            </w:r>
            <w:proofErr w:type="spellEnd"/>
            <w:r w:rsidRPr="00F740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23" w:type="dxa"/>
            <w:vAlign w:val="center"/>
          </w:tcPr>
          <w:p w14:paraId="78285076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Utrzymanie obecnego stanu ochrony U1</w:t>
            </w:r>
            <w:r w:rsidR="006D4CA6">
              <w:rPr>
                <w:bCs/>
                <w:color w:val="000000"/>
                <w:sz w:val="22"/>
                <w:szCs w:val="22"/>
              </w:rPr>
              <w:t xml:space="preserve">, poprzez poprawę wskaźników: </w:t>
            </w:r>
            <w:r w:rsidRPr="00F740A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D4CA6" w:rsidRPr="006D4CA6">
              <w:rPr>
                <w:bCs/>
                <w:color w:val="000000"/>
                <w:sz w:val="22"/>
                <w:szCs w:val="22"/>
              </w:rPr>
              <w:t xml:space="preserve">obce gatunki inwazyjne, rodzime gatunki ekspansywne roślin zielnych, ekspansja krzewów i podrostu drzew, struktura przestrzenna płatów muraw, zachowanie strefy </w:t>
            </w:r>
            <w:proofErr w:type="spellStart"/>
            <w:r w:rsidR="006D4CA6" w:rsidRPr="006D4CA6">
              <w:rPr>
                <w:bCs/>
                <w:color w:val="000000"/>
                <w:sz w:val="22"/>
                <w:szCs w:val="22"/>
              </w:rPr>
              <w:t>ekotonowej</w:t>
            </w:r>
            <w:proofErr w:type="spellEnd"/>
            <w:r w:rsidR="006D4CA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740A5">
              <w:rPr>
                <w:bCs/>
                <w:color w:val="000000"/>
                <w:sz w:val="22"/>
                <w:szCs w:val="22"/>
              </w:rPr>
              <w:t>na stanowisk</w:t>
            </w:r>
            <w:r w:rsidR="006D4CA6">
              <w:rPr>
                <w:bCs/>
                <w:color w:val="000000"/>
                <w:sz w:val="22"/>
                <w:szCs w:val="22"/>
              </w:rPr>
              <w:t>u</w:t>
            </w:r>
            <w:r w:rsidRPr="00F740A5">
              <w:rPr>
                <w:bCs/>
                <w:color w:val="000000"/>
                <w:sz w:val="22"/>
                <w:szCs w:val="22"/>
              </w:rPr>
              <w:t>:</w:t>
            </w:r>
            <w:r w:rsidRPr="00F740A5">
              <w:rPr>
                <w:sz w:val="22"/>
                <w:szCs w:val="22"/>
              </w:rPr>
              <w:t xml:space="preserve"> Niwki I, </w:t>
            </w:r>
            <w:r w:rsidR="006D4CA6">
              <w:rPr>
                <w:sz w:val="22"/>
                <w:szCs w:val="22"/>
              </w:rPr>
              <w:t xml:space="preserve">wskaźnika: </w:t>
            </w:r>
            <w:r w:rsidR="006D4CA6" w:rsidRPr="006D4CA6">
              <w:rPr>
                <w:bCs/>
                <w:color w:val="000000"/>
                <w:sz w:val="22"/>
                <w:szCs w:val="22"/>
              </w:rPr>
              <w:t>rodzime gatunki ekspansywne roślin zielnych</w:t>
            </w:r>
            <w:r w:rsidR="006D4CA6">
              <w:rPr>
                <w:sz w:val="22"/>
                <w:szCs w:val="22"/>
              </w:rPr>
              <w:t xml:space="preserve"> na stanowiskach </w:t>
            </w:r>
            <w:proofErr w:type="spellStart"/>
            <w:r w:rsidRPr="00F740A5">
              <w:rPr>
                <w:sz w:val="22"/>
                <w:szCs w:val="22"/>
              </w:rPr>
              <w:t>Biakło</w:t>
            </w:r>
            <w:proofErr w:type="spellEnd"/>
            <w:r w:rsidRPr="00F740A5">
              <w:rPr>
                <w:sz w:val="22"/>
                <w:szCs w:val="22"/>
              </w:rPr>
              <w:t xml:space="preserve"> I</w:t>
            </w:r>
            <w:r w:rsidR="006D4CA6">
              <w:rPr>
                <w:sz w:val="22"/>
                <w:szCs w:val="22"/>
              </w:rPr>
              <w:t xml:space="preserve"> oraz</w:t>
            </w:r>
            <w:r w:rsidRPr="00F740A5">
              <w:rPr>
                <w:sz w:val="22"/>
                <w:szCs w:val="22"/>
              </w:rPr>
              <w:t xml:space="preserve"> Ostra Górka III, </w:t>
            </w:r>
            <w:r w:rsidR="006D4CA6">
              <w:rPr>
                <w:sz w:val="22"/>
                <w:szCs w:val="22"/>
              </w:rPr>
              <w:t xml:space="preserve">wskaźników: </w:t>
            </w:r>
            <w:r w:rsidR="006D4CA6" w:rsidRPr="006D4CA6">
              <w:rPr>
                <w:bCs/>
                <w:color w:val="000000"/>
                <w:sz w:val="22"/>
                <w:szCs w:val="22"/>
              </w:rPr>
              <w:t>obce gatunki inwazyjne, rodzime gatunki ekspansywne roślin zielnych, ekspansja krzewów i podrostu drzew</w:t>
            </w:r>
            <w:r w:rsidR="006D4CA6" w:rsidRPr="00F740A5">
              <w:rPr>
                <w:sz w:val="22"/>
                <w:szCs w:val="22"/>
              </w:rPr>
              <w:t xml:space="preserve"> </w:t>
            </w:r>
            <w:r w:rsidR="006D4CA6">
              <w:rPr>
                <w:sz w:val="22"/>
                <w:szCs w:val="22"/>
              </w:rPr>
              <w:t xml:space="preserve">na stanowisku </w:t>
            </w:r>
            <w:r w:rsidRPr="00F740A5">
              <w:rPr>
                <w:sz w:val="22"/>
                <w:szCs w:val="22"/>
              </w:rPr>
              <w:t>Piachy pod Zamkiem I.</w:t>
            </w:r>
          </w:p>
        </w:tc>
      </w:tr>
      <w:tr w:rsidR="001D422C" w:rsidRPr="00F740A5" w14:paraId="00B18957" w14:textId="77777777" w:rsidTr="0014311A">
        <w:trPr>
          <w:cantSplit/>
          <w:trHeight w:val="1689"/>
        </w:trPr>
        <w:tc>
          <w:tcPr>
            <w:tcW w:w="567" w:type="dxa"/>
            <w:vAlign w:val="center"/>
          </w:tcPr>
          <w:p w14:paraId="4DEBA707" w14:textId="77777777" w:rsidR="001D422C" w:rsidRPr="00F740A5" w:rsidRDefault="00836CBD" w:rsidP="001431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1D422C" w:rsidRPr="00F740A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64738FA8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6210 Murawy kserotermiczne </w:t>
            </w:r>
            <w:r w:rsidRPr="00F740A5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F740A5">
              <w:rPr>
                <w:i/>
                <w:color w:val="000000"/>
                <w:sz w:val="22"/>
                <w:szCs w:val="22"/>
              </w:rPr>
              <w:t>Festuco-Brometea</w:t>
            </w:r>
            <w:proofErr w:type="spellEnd"/>
            <w:r w:rsidRPr="00F740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23" w:type="dxa"/>
            <w:vAlign w:val="center"/>
          </w:tcPr>
          <w:p w14:paraId="405B1140" w14:textId="77777777" w:rsidR="001D422C" w:rsidRPr="00F740A5" w:rsidRDefault="00A46EC6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Utrzymanie obecnego stanu ochrony </w:t>
            </w:r>
            <w:r>
              <w:rPr>
                <w:bCs/>
                <w:color w:val="000000"/>
                <w:sz w:val="22"/>
                <w:szCs w:val="22"/>
              </w:rPr>
              <w:t xml:space="preserve">FV na stanowisku Góra Zamkowa. Utrzymanie obecnego </w:t>
            </w:r>
            <w:r w:rsidRPr="00F740A5">
              <w:rPr>
                <w:bCs/>
                <w:color w:val="000000"/>
                <w:sz w:val="22"/>
                <w:szCs w:val="22"/>
              </w:rPr>
              <w:t>stanu ochrony U1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46EC6">
              <w:rPr>
                <w:bCs/>
                <w:color w:val="000000"/>
                <w:sz w:val="22"/>
                <w:szCs w:val="22"/>
              </w:rPr>
              <w:t>poprzez utrzymanie oceny parametrów specyficzna struktura i funkcje oraz perspektywy ochrony</w:t>
            </w:r>
            <w:r>
              <w:rPr>
                <w:bCs/>
                <w:color w:val="000000"/>
                <w:sz w:val="22"/>
                <w:szCs w:val="22"/>
              </w:rPr>
              <w:t xml:space="preserve"> na </w:t>
            </w:r>
            <w:r w:rsidR="001D422C" w:rsidRPr="00F740A5">
              <w:rPr>
                <w:bCs/>
                <w:color w:val="000000"/>
                <w:sz w:val="22"/>
                <w:szCs w:val="22"/>
              </w:rPr>
              <w:t xml:space="preserve">stanowiskach: </w:t>
            </w:r>
            <w:r w:rsidR="001D422C" w:rsidRPr="00F740A5">
              <w:rPr>
                <w:sz w:val="22"/>
                <w:szCs w:val="22"/>
              </w:rPr>
              <w:t xml:space="preserve">Góry </w:t>
            </w:r>
            <w:proofErr w:type="spellStart"/>
            <w:r w:rsidR="001D422C" w:rsidRPr="00F740A5">
              <w:rPr>
                <w:sz w:val="22"/>
                <w:szCs w:val="22"/>
              </w:rPr>
              <w:t>Towarne</w:t>
            </w:r>
            <w:proofErr w:type="spellEnd"/>
            <w:r w:rsidR="001D422C" w:rsidRPr="00F740A5">
              <w:rPr>
                <w:sz w:val="22"/>
                <w:szCs w:val="22"/>
              </w:rPr>
              <w:t xml:space="preserve"> I, Skałki Duże I, </w:t>
            </w:r>
            <w:proofErr w:type="spellStart"/>
            <w:r w:rsidR="001D422C" w:rsidRPr="00F740A5">
              <w:rPr>
                <w:sz w:val="22"/>
                <w:szCs w:val="22"/>
              </w:rPr>
              <w:t>Biakło</w:t>
            </w:r>
            <w:proofErr w:type="spellEnd"/>
            <w:r w:rsidR="001D422C" w:rsidRPr="00F740A5">
              <w:rPr>
                <w:sz w:val="22"/>
                <w:szCs w:val="22"/>
              </w:rPr>
              <w:t xml:space="preserve"> III, Lipówki, Skałki Małe I, Cegielnia I, Olsztyn E II, Sowia Góra, Lisica, Kamieniołom.</w:t>
            </w:r>
          </w:p>
        </w:tc>
      </w:tr>
      <w:tr w:rsidR="001D422C" w:rsidRPr="00F740A5" w14:paraId="74006379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35EE6DDA" w14:textId="77777777" w:rsidR="001D422C" w:rsidRPr="00F740A5" w:rsidRDefault="00836CBD" w:rsidP="001431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1D422C" w:rsidRPr="00F740A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16F91439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6510 Ekstensywnie użytkowane </w:t>
            </w:r>
            <w:r w:rsidR="009A0237">
              <w:rPr>
                <w:bCs/>
                <w:color w:val="000000"/>
                <w:sz w:val="22"/>
                <w:szCs w:val="22"/>
              </w:rPr>
              <w:t xml:space="preserve">niżowe </w:t>
            </w:r>
            <w:r w:rsidRPr="00F740A5">
              <w:rPr>
                <w:bCs/>
                <w:color w:val="000000"/>
                <w:sz w:val="22"/>
                <w:szCs w:val="22"/>
              </w:rPr>
              <w:t xml:space="preserve">łąki świeże </w:t>
            </w:r>
            <w:r w:rsidRPr="00F740A5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F740A5">
              <w:rPr>
                <w:i/>
                <w:color w:val="000000"/>
                <w:sz w:val="22"/>
                <w:szCs w:val="22"/>
              </w:rPr>
              <w:t>Arrhenatherion</w:t>
            </w:r>
            <w:proofErr w:type="spellEnd"/>
            <w:r w:rsidRPr="00F740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023" w:type="dxa"/>
            <w:vAlign w:val="center"/>
          </w:tcPr>
          <w:p w14:paraId="6C898D58" w14:textId="77777777" w:rsidR="001D422C" w:rsidRPr="00F740A5" w:rsidRDefault="001D422C" w:rsidP="0014311A">
            <w:pPr>
              <w:rPr>
                <w:bCs/>
                <w:color w:val="000000"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Utrzymanie obecnego stanu ochrony U1</w:t>
            </w:r>
            <w:r w:rsidR="00333488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D422C" w:rsidRPr="00F740A5" w14:paraId="544DA9AB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4DF5188F" w14:textId="77777777" w:rsidR="001D422C" w:rsidRPr="00F740A5" w:rsidRDefault="00836CBD" w:rsidP="0014311A">
            <w:pPr>
              <w:pStyle w:val="Standard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D422C" w:rsidRPr="00F740A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2410" w:type="dxa"/>
            <w:vAlign w:val="center"/>
          </w:tcPr>
          <w:p w14:paraId="4EBC0CAD" w14:textId="77777777" w:rsidR="001D422C" w:rsidRPr="00F740A5" w:rsidRDefault="001D422C" w:rsidP="0014311A">
            <w:pPr>
              <w:pStyle w:val="Standard"/>
              <w:rPr>
                <w:bCs/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 xml:space="preserve">8160 </w:t>
            </w:r>
            <w:r w:rsidR="00ED3633" w:rsidRPr="00ED3633">
              <w:rPr>
                <w:sz w:val="22"/>
                <w:szCs w:val="22"/>
                <w:lang w:val="pl-PL"/>
              </w:rPr>
              <w:t xml:space="preserve">Podgórskie </w:t>
            </w:r>
            <w:r w:rsidR="0014311A">
              <w:rPr>
                <w:sz w:val="22"/>
                <w:szCs w:val="22"/>
                <w:lang w:val="pl-PL"/>
              </w:rPr>
              <w:br/>
            </w:r>
            <w:r w:rsidR="00ED3633" w:rsidRPr="00ED3633">
              <w:rPr>
                <w:sz w:val="22"/>
                <w:szCs w:val="22"/>
                <w:lang w:val="pl-PL"/>
              </w:rPr>
              <w:t xml:space="preserve">i wyżynne rumowiska wapienne ze zbiorowiskami ze </w:t>
            </w:r>
            <w:proofErr w:type="spellStart"/>
            <w:r w:rsidR="00ED3633" w:rsidRPr="00ED3633">
              <w:rPr>
                <w:i/>
                <w:sz w:val="22"/>
                <w:szCs w:val="22"/>
                <w:lang w:val="pl-PL"/>
              </w:rPr>
              <w:t>Stipion</w:t>
            </w:r>
            <w:proofErr w:type="spellEnd"/>
            <w:r w:rsidR="00ED3633" w:rsidRPr="00ED3633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="00ED3633" w:rsidRPr="00ED3633">
              <w:rPr>
                <w:i/>
                <w:sz w:val="22"/>
                <w:szCs w:val="22"/>
                <w:lang w:val="pl-PL"/>
              </w:rPr>
              <w:t>calamagrostis</w:t>
            </w:r>
            <w:proofErr w:type="spellEnd"/>
            <w:r w:rsidR="00ED3633" w:rsidRPr="00ED363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023" w:type="dxa"/>
            <w:vAlign w:val="center"/>
          </w:tcPr>
          <w:p w14:paraId="1F3F23D0" w14:textId="77777777" w:rsidR="001D422C" w:rsidRPr="00F740A5" w:rsidRDefault="00836CBD" w:rsidP="0014311A">
            <w:pPr>
              <w:rPr>
                <w:sz w:val="22"/>
                <w:szCs w:val="22"/>
              </w:rPr>
            </w:pPr>
            <w:r w:rsidRPr="00836CBD">
              <w:rPr>
                <w:bCs/>
                <w:iCs/>
                <w:sz w:val="22"/>
                <w:szCs w:val="22"/>
              </w:rPr>
              <w:t>Nie określono działań ochronnych w związku z brakiem potwierdzenia występowania siedliska w obszarze.</w:t>
            </w:r>
          </w:p>
        </w:tc>
      </w:tr>
      <w:tr w:rsidR="001D422C" w:rsidRPr="00F740A5" w14:paraId="00D3ADC1" w14:textId="77777777" w:rsidTr="0014311A">
        <w:trPr>
          <w:cantSplit/>
          <w:trHeight w:val="5221"/>
        </w:trPr>
        <w:tc>
          <w:tcPr>
            <w:tcW w:w="567" w:type="dxa"/>
            <w:vAlign w:val="center"/>
          </w:tcPr>
          <w:p w14:paraId="4272ED6C" w14:textId="77777777" w:rsidR="001D422C" w:rsidRPr="00F740A5" w:rsidRDefault="00836CBD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6.</w:t>
            </w:r>
          </w:p>
        </w:tc>
        <w:tc>
          <w:tcPr>
            <w:tcW w:w="2410" w:type="dxa"/>
          </w:tcPr>
          <w:p w14:paraId="4E0B1C14" w14:textId="77777777" w:rsidR="001D422C" w:rsidRPr="00F740A5" w:rsidRDefault="001D422C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 xml:space="preserve">8210 Wapienne ściany skalne ze zbiorowiskami </w:t>
            </w:r>
            <w:proofErr w:type="spellStart"/>
            <w:r w:rsidRPr="00F740A5">
              <w:rPr>
                <w:i/>
                <w:sz w:val="22"/>
                <w:szCs w:val="22"/>
                <w:lang w:val="pl-PL"/>
              </w:rPr>
              <w:t>Potentilletalia</w:t>
            </w:r>
            <w:proofErr w:type="spellEnd"/>
            <w:r w:rsidRPr="00F740A5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  <w:lang w:val="pl-PL"/>
              </w:rPr>
              <w:t>caulescentis</w:t>
            </w:r>
            <w:proofErr w:type="spellEnd"/>
          </w:p>
        </w:tc>
        <w:tc>
          <w:tcPr>
            <w:tcW w:w="6023" w:type="dxa"/>
          </w:tcPr>
          <w:p w14:paraId="1B410EEC" w14:textId="77777777" w:rsidR="001D422C" w:rsidRPr="00F740A5" w:rsidRDefault="001D422C" w:rsidP="0014311A">
            <w:pPr>
              <w:pStyle w:val="Standard"/>
              <w:snapToGrid w:val="0"/>
              <w:rPr>
                <w:bCs/>
                <w:color w:val="000000"/>
                <w:sz w:val="22"/>
                <w:szCs w:val="22"/>
                <w:lang w:val="pl-PL"/>
              </w:rPr>
            </w:pPr>
            <w:r w:rsidRPr="00F740A5">
              <w:rPr>
                <w:iCs/>
                <w:sz w:val="22"/>
                <w:szCs w:val="22"/>
                <w:lang w:val="pl-PL"/>
              </w:rPr>
              <w:t xml:space="preserve">Utrzymanie obecnego stanu ochrony FV na stanowiskach: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Liboradz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, Srocko I, Srocko II, Psi Nos, Zielona Góra,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Biakło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="0014311A">
              <w:rPr>
                <w:sz w:val="22"/>
                <w:szCs w:val="22"/>
                <w:lang w:val="pl-PL"/>
              </w:rPr>
              <w:br/>
            </w:r>
            <w:r w:rsidRPr="00F740A5">
              <w:rPr>
                <w:sz w:val="22"/>
                <w:szCs w:val="22"/>
                <w:lang w:val="pl-PL"/>
              </w:rPr>
              <w:t>i Lipówki, Góra Knieja, Przymiłowice, Skałki Św. Idziego, Karzełek i Jodłowa, Pustelnica i Setki</w:t>
            </w: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>.</w:t>
            </w:r>
          </w:p>
          <w:p w14:paraId="29E63D8A" w14:textId="77777777" w:rsidR="001D422C" w:rsidRPr="00F740A5" w:rsidRDefault="001D422C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 xml:space="preserve">Utrzymanie obecnego stanu ochrony U1 </w:t>
            </w:r>
            <w:r w:rsidR="000651E5" w:rsidRPr="000651E5">
              <w:rPr>
                <w:bCs/>
                <w:color w:val="000000"/>
                <w:sz w:val="22"/>
                <w:szCs w:val="22"/>
                <w:lang w:val="pl-PL"/>
              </w:rPr>
              <w:t xml:space="preserve">poprzez poprawę </w:t>
            </w:r>
            <w:r w:rsidR="000651E5">
              <w:rPr>
                <w:bCs/>
                <w:color w:val="000000"/>
                <w:sz w:val="22"/>
                <w:szCs w:val="22"/>
                <w:lang w:val="pl-PL"/>
              </w:rPr>
              <w:t xml:space="preserve">parametru perspektywy ochrony 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>oraz</w:t>
            </w:r>
            <w:r w:rsidR="000651E5">
              <w:rPr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="000651E5" w:rsidRPr="000651E5">
              <w:rPr>
                <w:bCs/>
                <w:color w:val="000000"/>
                <w:sz w:val="22"/>
                <w:szCs w:val="22"/>
                <w:lang w:val="pl-PL"/>
              </w:rPr>
              <w:t xml:space="preserve">wskaźników:  </w:t>
            </w:r>
            <w:r w:rsidR="000651E5">
              <w:rPr>
                <w:bCs/>
                <w:color w:val="000000"/>
                <w:sz w:val="22"/>
                <w:szCs w:val="22"/>
                <w:lang w:val="pl-PL"/>
              </w:rPr>
              <w:t>o</w:t>
            </w:r>
            <w:r w:rsidR="000651E5" w:rsidRPr="000651E5">
              <w:rPr>
                <w:bCs/>
                <w:color w:val="000000"/>
                <w:sz w:val="22"/>
                <w:szCs w:val="22"/>
                <w:lang w:val="pl-PL"/>
              </w:rPr>
              <w:t>cienienie muraw</w:t>
            </w:r>
            <w:r w:rsidR="000651E5">
              <w:rPr>
                <w:bCs/>
                <w:color w:val="000000"/>
                <w:sz w:val="22"/>
                <w:szCs w:val="22"/>
                <w:lang w:val="pl-PL"/>
              </w:rPr>
              <w:t xml:space="preserve"> i</w:t>
            </w:r>
            <w:r w:rsidR="000651E5" w:rsidRPr="000651E5">
              <w:rPr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="000651E5">
              <w:rPr>
                <w:bCs/>
                <w:color w:val="000000"/>
                <w:sz w:val="22"/>
                <w:szCs w:val="22"/>
                <w:lang w:val="pl-PL"/>
              </w:rPr>
              <w:t>ś</w:t>
            </w:r>
            <w:r w:rsidR="000651E5" w:rsidRPr="000651E5">
              <w:rPr>
                <w:bCs/>
                <w:color w:val="000000"/>
                <w:sz w:val="22"/>
                <w:szCs w:val="22"/>
                <w:lang w:val="pl-PL"/>
              </w:rPr>
              <w:t xml:space="preserve">lady ognisk w pobliżu ścian skalnych </w:t>
            </w: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>na stanowisk</w:t>
            </w:r>
            <w:r w:rsidR="000651E5">
              <w:rPr>
                <w:bCs/>
                <w:color w:val="000000"/>
                <w:sz w:val="22"/>
                <w:szCs w:val="22"/>
                <w:lang w:val="pl-PL"/>
              </w:rPr>
              <w:t>u</w:t>
            </w: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 xml:space="preserve">: </w:t>
            </w:r>
            <w:r w:rsidRPr="00F740A5">
              <w:rPr>
                <w:sz w:val="22"/>
                <w:szCs w:val="22"/>
                <w:lang w:val="pl-PL"/>
              </w:rPr>
              <w:t>Lisica</w:t>
            </w:r>
            <w:r w:rsidR="000124A5">
              <w:rPr>
                <w:sz w:val="22"/>
                <w:szCs w:val="22"/>
                <w:lang w:val="pl-PL"/>
              </w:rPr>
              <w:t>;</w:t>
            </w:r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="000124A5">
              <w:rPr>
                <w:sz w:val="22"/>
                <w:szCs w:val="22"/>
                <w:lang w:val="pl-PL"/>
              </w:rPr>
              <w:t>wskaźnika ś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lady wspinaczki lub wydeptywania </w:t>
            </w:r>
            <w:r w:rsidR="000124A5">
              <w:rPr>
                <w:sz w:val="22"/>
                <w:szCs w:val="22"/>
                <w:lang w:val="pl-PL"/>
              </w:rPr>
              <w:t xml:space="preserve">na stanowisku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Towarne</w:t>
            </w:r>
            <w:proofErr w:type="spellEnd"/>
            <w:r w:rsidR="000124A5">
              <w:rPr>
                <w:sz w:val="22"/>
                <w:szCs w:val="22"/>
                <w:lang w:val="pl-PL"/>
              </w:rPr>
              <w:t>;</w:t>
            </w:r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="000124A5">
              <w:rPr>
                <w:sz w:val="22"/>
                <w:szCs w:val="22"/>
                <w:lang w:val="pl-PL"/>
              </w:rPr>
              <w:t>wskaźników ś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lady wspinaczki lub wydeptywania, </w:t>
            </w:r>
            <w:r w:rsidR="000124A5">
              <w:rPr>
                <w:sz w:val="22"/>
                <w:szCs w:val="22"/>
                <w:lang w:val="pl-PL"/>
              </w:rPr>
              <w:t>ś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lady ognisk w pobliżu ścian skalnych, </w:t>
            </w:r>
            <w:r w:rsidR="000124A5">
              <w:rPr>
                <w:sz w:val="22"/>
                <w:szCs w:val="22"/>
                <w:lang w:val="pl-PL"/>
              </w:rPr>
              <w:t>i</w:t>
            </w:r>
            <w:r w:rsidR="000124A5" w:rsidRPr="000124A5">
              <w:rPr>
                <w:sz w:val="22"/>
                <w:szCs w:val="22"/>
                <w:lang w:val="pl-PL"/>
              </w:rPr>
              <w:t>nne przypadki dewastacji siedliska</w:t>
            </w:r>
            <w:r w:rsidR="000124A5">
              <w:rPr>
                <w:sz w:val="22"/>
                <w:szCs w:val="22"/>
                <w:lang w:val="pl-PL"/>
              </w:rPr>
              <w:t xml:space="preserve"> na stanowisku </w:t>
            </w:r>
            <w:r w:rsidRPr="00F740A5">
              <w:rPr>
                <w:sz w:val="22"/>
                <w:szCs w:val="22"/>
                <w:lang w:val="pl-PL"/>
              </w:rPr>
              <w:t>Duże i Małe Skałki</w:t>
            </w:r>
            <w:r w:rsidR="000124A5">
              <w:rPr>
                <w:sz w:val="22"/>
                <w:szCs w:val="22"/>
                <w:lang w:val="pl-PL"/>
              </w:rPr>
              <w:t>;</w:t>
            </w:r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="000124A5">
              <w:rPr>
                <w:sz w:val="22"/>
                <w:szCs w:val="22"/>
                <w:lang w:val="pl-PL"/>
              </w:rPr>
              <w:t>wskaźników: o</w:t>
            </w:r>
            <w:r w:rsidR="000124A5" w:rsidRPr="000124A5">
              <w:rPr>
                <w:sz w:val="22"/>
                <w:szCs w:val="22"/>
                <w:lang w:val="pl-PL"/>
              </w:rPr>
              <w:t>bce gatunki inwazyjne</w:t>
            </w:r>
            <w:r w:rsidR="000124A5">
              <w:rPr>
                <w:sz w:val="22"/>
                <w:szCs w:val="22"/>
                <w:lang w:val="pl-PL"/>
              </w:rPr>
              <w:t>, ś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lady wspinaczki lub wydeptywania, </w:t>
            </w:r>
            <w:r w:rsidR="000124A5">
              <w:rPr>
                <w:sz w:val="22"/>
                <w:szCs w:val="22"/>
                <w:lang w:val="pl-PL"/>
              </w:rPr>
              <w:t>i</w:t>
            </w:r>
            <w:r w:rsidR="000124A5" w:rsidRPr="000124A5">
              <w:rPr>
                <w:sz w:val="22"/>
                <w:szCs w:val="22"/>
                <w:lang w:val="pl-PL"/>
              </w:rPr>
              <w:t>nne przypadki dewastacji siedliska</w:t>
            </w:r>
            <w:r w:rsidR="000124A5">
              <w:rPr>
                <w:sz w:val="22"/>
                <w:szCs w:val="22"/>
                <w:lang w:val="pl-PL"/>
              </w:rPr>
              <w:t xml:space="preserve"> na stanowisku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 </w:t>
            </w:r>
            <w:r w:rsidRPr="00F740A5">
              <w:rPr>
                <w:sz w:val="22"/>
                <w:szCs w:val="22"/>
                <w:lang w:val="pl-PL"/>
              </w:rPr>
              <w:t>Olsztyn</w:t>
            </w:r>
            <w:r w:rsidR="000124A5">
              <w:rPr>
                <w:sz w:val="22"/>
                <w:szCs w:val="22"/>
                <w:lang w:val="pl-PL"/>
              </w:rPr>
              <w:t>;</w:t>
            </w:r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="000124A5" w:rsidRPr="000124A5">
              <w:rPr>
                <w:sz w:val="22"/>
                <w:szCs w:val="22"/>
                <w:lang w:val="pl-PL"/>
              </w:rPr>
              <w:t>wskaźników</w:t>
            </w:r>
            <w:r w:rsidR="000124A5">
              <w:rPr>
                <w:sz w:val="22"/>
                <w:szCs w:val="22"/>
                <w:lang w:val="pl-PL"/>
              </w:rPr>
              <w:t>: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 </w:t>
            </w:r>
            <w:r w:rsidR="000124A5">
              <w:rPr>
                <w:sz w:val="22"/>
                <w:szCs w:val="22"/>
                <w:lang w:val="pl-PL"/>
              </w:rPr>
              <w:t>o</w:t>
            </w:r>
            <w:r w:rsidR="000124A5" w:rsidRPr="000124A5">
              <w:rPr>
                <w:sz w:val="22"/>
                <w:szCs w:val="22"/>
                <w:lang w:val="pl-PL"/>
              </w:rPr>
              <w:t>bce gatunki inwazyjne</w:t>
            </w:r>
            <w:r w:rsidR="000124A5">
              <w:rPr>
                <w:sz w:val="22"/>
                <w:szCs w:val="22"/>
                <w:lang w:val="pl-PL"/>
              </w:rPr>
              <w:t xml:space="preserve">, 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>o</w:t>
            </w:r>
            <w:r w:rsidR="000124A5" w:rsidRPr="000651E5">
              <w:rPr>
                <w:bCs/>
                <w:color w:val="000000"/>
                <w:sz w:val="22"/>
                <w:szCs w:val="22"/>
                <w:lang w:val="pl-PL"/>
              </w:rPr>
              <w:t>cienienie muraw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 xml:space="preserve"> i</w:t>
            </w:r>
            <w:r w:rsidR="000124A5" w:rsidRPr="000651E5">
              <w:rPr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>ś</w:t>
            </w:r>
            <w:r w:rsidR="000124A5" w:rsidRPr="000651E5">
              <w:rPr>
                <w:bCs/>
                <w:color w:val="000000"/>
                <w:sz w:val="22"/>
                <w:szCs w:val="22"/>
                <w:lang w:val="pl-PL"/>
              </w:rPr>
              <w:t>lady ognisk w pobliżu ścian skalnych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>,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 ślady wspinaczki lub wydeptywania, ślady ognisk w pobliżu ścian skalnych</w:t>
            </w:r>
            <w:r w:rsidR="000124A5">
              <w:rPr>
                <w:sz w:val="22"/>
                <w:szCs w:val="22"/>
                <w:lang w:val="pl-PL"/>
              </w:rPr>
              <w:t xml:space="preserve"> na stanowisku</w:t>
            </w:r>
            <w:r w:rsidR="000124A5" w:rsidRPr="000124A5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Kielniki</w:t>
            </w:r>
            <w:proofErr w:type="spellEnd"/>
            <w:r w:rsidR="000124A5">
              <w:rPr>
                <w:sz w:val="22"/>
                <w:szCs w:val="22"/>
                <w:lang w:val="pl-PL"/>
              </w:rPr>
              <w:t>; wskaźników: e</w:t>
            </w:r>
            <w:r w:rsidR="000124A5" w:rsidRPr="000124A5">
              <w:rPr>
                <w:sz w:val="22"/>
                <w:szCs w:val="22"/>
                <w:lang w:val="pl-PL"/>
              </w:rPr>
              <w:t>kspansja krzewów i podrostu drzew</w:t>
            </w:r>
            <w:r w:rsidR="000124A5">
              <w:rPr>
                <w:sz w:val="22"/>
                <w:szCs w:val="22"/>
                <w:lang w:val="pl-PL"/>
              </w:rPr>
              <w:t xml:space="preserve"> oraz 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>ś</w:t>
            </w:r>
            <w:r w:rsidR="000124A5" w:rsidRPr="000651E5">
              <w:rPr>
                <w:bCs/>
                <w:color w:val="000000"/>
                <w:sz w:val="22"/>
                <w:szCs w:val="22"/>
                <w:lang w:val="pl-PL"/>
              </w:rPr>
              <w:t>lady ognisk w pobliżu ścian skalnych</w:t>
            </w:r>
            <w:r w:rsidR="000124A5">
              <w:rPr>
                <w:bCs/>
                <w:color w:val="000000"/>
                <w:sz w:val="22"/>
                <w:szCs w:val="22"/>
                <w:lang w:val="pl-PL"/>
              </w:rPr>
              <w:t xml:space="preserve"> na stanowisku</w:t>
            </w:r>
            <w:r w:rsidRPr="00F740A5">
              <w:rPr>
                <w:sz w:val="22"/>
                <w:szCs w:val="22"/>
                <w:lang w:val="pl-PL"/>
              </w:rPr>
              <w:t xml:space="preserve"> Puchacz</w:t>
            </w:r>
            <w:r w:rsidR="000124A5">
              <w:rPr>
                <w:sz w:val="22"/>
                <w:szCs w:val="22"/>
                <w:lang w:val="pl-PL"/>
              </w:rPr>
              <w:t>;</w:t>
            </w:r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="003D799B">
              <w:rPr>
                <w:sz w:val="22"/>
                <w:szCs w:val="22"/>
                <w:lang w:val="pl-PL"/>
              </w:rPr>
              <w:t xml:space="preserve">wskaźnika: </w:t>
            </w:r>
            <w:r w:rsidR="003D799B" w:rsidRPr="000124A5">
              <w:rPr>
                <w:sz w:val="22"/>
                <w:szCs w:val="22"/>
                <w:lang w:val="pl-PL"/>
              </w:rPr>
              <w:t>ślady wspinaczki lub wydeptywania</w:t>
            </w:r>
            <w:r w:rsidR="003D799B" w:rsidRPr="00F740A5">
              <w:rPr>
                <w:sz w:val="22"/>
                <w:szCs w:val="22"/>
                <w:lang w:val="pl-PL"/>
              </w:rPr>
              <w:t xml:space="preserve"> </w:t>
            </w:r>
            <w:r w:rsidR="003D799B">
              <w:rPr>
                <w:sz w:val="22"/>
                <w:szCs w:val="22"/>
                <w:lang w:val="pl-PL"/>
              </w:rPr>
              <w:t xml:space="preserve">na stanowisku </w:t>
            </w:r>
            <w:r w:rsidRPr="00F740A5">
              <w:rPr>
                <w:sz w:val="22"/>
                <w:szCs w:val="22"/>
                <w:lang w:val="pl-PL"/>
              </w:rPr>
              <w:t>Góra Sokola.</w:t>
            </w:r>
          </w:p>
        </w:tc>
      </w:tr>
      <w:tr w:rsidR="001D422C" w:rsidRPr="00F740A5" w14:paraId="69C648F1" w14:textId="77777777" w:rsidTr="0014311A">
        <w:trPr>
          <w:cantSplit/>
          <w:trHeight w:val="4544"/>
        </w:trPr>
        <w:tc>
          <w:tcPr>
            <w:tcW w:w="567" w:type="dxa"/>
            <w:vAlign w:val="center"/>
          </w:tcPr>
          <w:p w14:paraId="53BD77B0" w14:textId="77777777" w:rsidR="001D422C" w:rsidRPr="00F740A5" w:rsidRDefault="00836CBD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</w:p>
        </w:tc>
        <w:tc>
          <w:tcPr>
            <w:tcW w:w="2410" w:type="dxa"/>
          </w:tcPr>
          <w:p w14:paraId="26A58C15" w14:textId="77777777" w:rsidR="001D422C" w:rsidRPr="00F740A5" w:rsidRDefault="001D422C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8310 Jaskinie nieudostępnione do zwiedzania</w:t>
            </w:r>
          </w:p>
        </w:tc>
        <w:tc>
          <w:tcPr>
            <w:tcW w:w="6023" w:type="dxa"/>
          </w:tcPr>
          <w:p w14:paraId="37FBCB36" w14:textId="77777777" w:rsidR="001D422C" w:rsidRPr="00F740A5" w:rsidRDefault="001D422C" w:rsidP="0014311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iCs/>
                <w:sz w:val="22"/>
                <w:szCs w:val="22"/>
                <w:lang w:val="pl-PL"/>
              </w:rPr>
              <w:t xml:space="preserve">Utrzymanie obecnego stanu ochrony FV na stanowiskach: </w:t>
            </w:r>
            <w:r w:rsidRPr="00F740A5">
              <w:rPr>
                <w:sz w:val="22"/>
                <w:szCs w:val="22"/>
                <w:lang w:val="pl-PL"/>
              </w:rPr>
              <w:t xml:space="preserve">Schronisko Królicze, Jaskinia Fikuśna, Jaskinia w Donicy, Jaskinia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Szpatowców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 w Donicy, Schronisko w Dębowej Górze, Jaskinia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Basieta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.</w:t>
            </w:r>
          </w:p>
          <w:p w14:paraId="51AF9854" w14:textId="77777777" w:rsidR="001D422C" w:rsidRPr="00F740A5" w:rsidRDefault="001D422C" w:rsidP="0014311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 xml:space="preserve">Utrzymanie obecnego </w:t>
            </w:r>
            <w:r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stanu ochrony U1 </w:t>
            </w:r>
            <w:r w:rsidR="00A2069B" w:rsidRPr="00A2069B">
              <w:rPr>
                <w:bCs/>
                <w:color w:val="000000"/>
                <w:sz w:val="22"/>
                <w:szCs w:val="22"/>
                <w:lang w:val="pl-PL"/>
              </w:rPr>
              <w:t>poprzez utrzymanie oceny parametrów specyficzna struktura i funkcje oraz perspektywy ochrony na stanowiskach</w:t>
            </w:r>
            <w:r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: </w:t>
            </w:r>
            <w:r w:rsidRPr="00A2069B">
              <w:rPr>
                <w:sz w:val="22"/>
                <w:szCs w:val="22"/>
                <w:lang w:val="pl-PL"/>
              </w:rPr>
              <w:t xml:space="preserve">Jaskinia Maurycego, Jaskinia w Wysokiej Turni, Jaskinia Komarowa, Jaskinia Koralowa, </w:t>
            </w:r>
            <w:proofErr w:type="spellStart"/>
            <w:r w:rsidRPr="00A2069B">
              <w:rPr>
                <w:sz w:val="22"/>
                <w:szCs w:val="22"/>
                <w:lang w:val="pl-PL"/>
              </w:rPr>
              <w:t>Studnisko</w:t>
            </w:r>
            <w:proofErr w:type="spellEnd"/>
            <w:r w:rsidRPr="00A2069B">
              <w:rPr>
                <w:sz w:val="22"/>
                <w:szCs w:val="22"/>
                <w:lang w:val="pl-PL"/>
              </w:rPr>
              <w:t>, Schronisko</w:t>
            </w:r>
            <w:r w:rsidRPr="00F740A5">
              <w:rPr>
                <w:sz w:val="22"/>
                <w:szCs w:val="22"/>
                <w:lang w:val="pl-PL"/>
              </w:rPr>
              <w:t xml:space="preserve"> w Amfiteatrze, Jaskinia Pod Sokolą Górą, Jaskinia w Lipówce, Jaskinia Magazyn, Jaskinia </w:t>
            </w:r>
            <w:r w:rsidR="0014311A">
              <w:rPr>
                <w:sz w:val="22"/>
                <w:szCs w:val="22"/>
                <w:lang w:val="pl-PL"/>
              </w:rPr>
              <w:br/>
            </w:r>
            <w:r w:rsidRPr="00F740A5">
              <w:rPr>
                <w:sz w:val="22"/>
                <w:szCs w:val="22"/>
                <w:lang w:val="pl-PL"/>
              </w:rPr>
              <w:t xml:space="preserve">w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Kielnikach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, Jaskinia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Cabanowa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, System Jaskiń Srockich, Jaskinia Urwista, Jaskinia w Dziedzińcu, Szczelina Frakcji „N”.</w:t>
            </w:r>
          </w:p>
          <w:p w14:paraId="5873B3D1" w14:textId="77777777" w:rsidR="001D422C" w:rsidRPr="00F740A5" w:rsidRDefault="001D422C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 xml:space="preserve">Poprawa obecnego stanu U2 </w:t>
            </w:r>
            <w:r w:rsidR="00333488"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poprzez </w:t>
            </w:r>
            <w:r w:rsidR="003B648F">
              <w:rPr>
                <w:bCs/>
                <w:color w:val="000000"/>
                <w:sz w:val="22"/>
                <w:szCs w:val="22"/>
                <w:lang w:val="pl-PL"/>
              </w:rPr>
              <w:t>poprawę</w:t>
            </w:r>
            <w:r w:rsidR="00333488"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 oceny parametrów specyficzna struktura i funkcje oraz perspektywy ochrony </w:t>
            </w:r>
            <w:r w:rsidRPr="00F740A5">
              <w:rPr>
                <w:sz w:val="22"/>
                <w:szCs w:val="22"/>
                <w:lang w:val="pl-PL"/>
              </w:rPr>
              <w:t xml:space="preserve">na stanowiskach: System Jaskini Olsztyńskiej, Jaskinia w Zielonej Górze, System Jaskiń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Towarnych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, Jaskinia w Skałkach Dużych.</w:t>
            </w:r>
          </w:p>
        </w:tc>
      </w:tr>
      <w:tr w:rsidR="00F06907" w:rsidRPr="00F740A5" w14:paraId="40DF8A87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76E93497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8.</w:t>
            </w:r>
          </w:p>
        </w:tc>
        <w:tc>
          <w:tcPr>
            <w:tcW w:w="2410" w:type="dxa"/>
          </w:tcPr>
          <w:p w14:paraId="6B938C66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9110 Kwaśne buczyny (</w:t>
            </w:r>
            <w:proofErr w:type="spellStart"/>
            <w:r w:rsidRPr="00AD4DEE">
              <w:rPr>
                <w:i/>
                <w:sz w:val="22"/>
                <w:szCs w:val="22"/>
                <w:lang w:val="pl-PL"/>
              </w:rPr>
              <w:t>Luzulo-Fagenion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586" w14:textId="77777777" w:rsidR="00F06907" w:rsidRDefault="00F06907" w:rsidP="0014311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>
              <w:rPr>
                <w:iCs/>
                <w:sz w:val="22"/>
                <w:szCs w:val="22"/>
                <w:lang w:val="pl-PL"/>
              </w:rPr>
              <w:t xml:space="preserve">Utrzymanie obecnego stanu ochrony FV na stanowiskach: </w:t>
            </w:r>
            <w:r>
              <w:rPr>
                <w:sz w:val="22"/>
                <w:szCs w:val="22"/>
                <w:lang w:val="pl-PL"/>
              </w:rPr>
              <w:t>Góra Sokola, Puchacz, Knieja 1.</w:t>
            </w:r>
          </w:p>
          <w:p w14:paraId="7E0C81E1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>
              <w:rPr>
                <w:bCs/>
                <w:color w:val="000000"/>
                <w:sz w:val="22"/>
                <w:szCs w:val="22"/>
                <w:lang w:val="pl-PL"/>
              </w:rPr>
              <w:t>Utrzymanie obecnego stanu ochrony U1 poprzez poprawę oceny parametrów specyficzna struktura i funkcje oraz perspektywy ochrony na stanowiskach:</w:t>
            </w:r>
            <w:r>
              <w:rPr>
                <w:sz w:val="22"/>
                <w:szCs w:val="22"/>
                <w:lang w:val="pl-PL"/>
              </w:rPr>
              <w:t xml:space="preserve"> Hektary (poprzez poprawę ocen wskaźników</w:t>
            </w:r>
            <w:r>
              <w:rPr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struktura pionowa i przestrzenna roślinności</w:t>
            </w:r>
            <w:r>
              <w:rPr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wiek drzewostanu (obecność starodrzewu), martwe drewno wielkowymiarowe,</w:t>
            </w:r>
            <w:r>
              <w:rPr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mikrosiedliska drzewne (drzewa biocenotyczne)), Przymiłowice 1 (m. in. poprzez poprawę oceny wskaźnika</w:t>
            </w:r>
            <w:r>
              <w:rPr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martwe drewno wielkowymiarowe), Przymiłowice 2 (m. in. poprzez poprawę ocen wskaźników</w:t>
            </w:r>
            <w:r>
              <w:rPr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wiek drzewostanu (obecność starodrzewu), martwe drewno wielkowymiarowe,</w:t>
            </w:r>
            <w:r>
              <w:rPr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mikrosiedliska drzewne (drzewa biocenotyczne))</w:t>
            </w:r>
          </w:p>
        </w:tc>
      </w:tr>
      <w:tr w:rsidR="00F06907" w:rsidRPr="00F740A5" w14:paraId="2114EE2A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5AD22533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9.</w:t>
            </w:r>
          </w:p>
        </w:tc>
        <w:tc>
          <w:tcPr>
            <w:tcW w:w="2410" w:type="dxa"/>
          </w:tcPr>
          <w:p w14:paraId="4AE9EC4B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9130 Żyzne buczyny (</w:t>
            </w:r>
            <w:proofErr w:type="spellStart"/>
            <w:r w:rsidRPr="00AD4DEE">
              <w:rPr>
                <w:i/>
                <w:sz w:val="22"/>
                <w:szCs w:val="22"/>
                <w:lang w:val="pl-PL"/>
              </w:rPr>
              <w:t>Dentario</w:t>
            </w:r>
            <w:proofErr w:type="spellEnd"/>
            <w:r w:rsidRPr="00AD4DEE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D4DEE">
              <w:rPr>
                <w:i/>
                <w:sz w:val="22"/>
                <w:szCs w:val="22"/>
                <w:lang w:val="pl-PL"/>
              </w:rPr>
              <w:t>glandulosae-Fagenion</w:t>
            </w:r>
            <w:proofErr w:type="spellEnd"/>
            <w:r w:rsidRPr="00AD4DEE">
              <w:rPr>
                <w:i/>
                <w:sz w:val="22"/>
                <w:szCs w:val="22"/>
                <w:lang w:val="pl-PL"/>
              </w:rPr>
              <w:t xml:space="preserve">, Galio </w:t>
            </w:r>
            <w:proofErr w:type="spellStart"/>
            <w:r w:rsidRPr="00AD4DEE">
              <w:rPr>
                <w:i/>
                <w:sz w:val="22"/>
                <w:szCs w:val="22"/>
                <w:lang w:val="pl-PL"/>
              </w:rPr>
              <w:t>odorati-Fagenion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6023" w:type="dxa"/>
            <w:vAlign w:val="center"/>
          </w:tcPr>
          <w:p w14:paraId="0B1AE020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 w:rsidRPr="00F740A5">
              <w:rPr>
                <w:iCs/>
                <w:sz w:val="22"/>
                <w:szCs w:val="22"/>
                <w:lang w:val="pl-PL"/>
              </w:rPr>
              <w:t>Utrzymanie obecnego stanu ochrony FV</w:t>
            </w:r>
            <w:r>
              <w:rPr>
                <w:iCs/>
                <w:sz w:val="22"/>
                <w:szCs w:val="22"/>
                <w:lang w:val="pl-PL"/>
              </w:rPr>
              <w:t>.</w:t>
            </w:r>
          </w:p>
        </w:tc>
      </w:tr>
      <w:tr w:rsidR="00F06907" w:rsidRPr="00F740A5" w14:paraId="677C2044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3B018020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0</w:t>
            </w:r>
            <w:r w:rsidRPr="00F740A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2410" w:type="dxa"/>
          </w:tcPr>
          <w:p w14:paraId="439D0E50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9150 Ciepłolubne buczyny storczykowe (</w:t>
            </w:r>
            <w:proofErr w:type="spellStart"/>
            <w:r w:rsidRPr="00AD4DEE">
              <w:rPr>
                <w:i/>
                <w:sz w:val="22"/>
                <w:szCs w:val="22"/>
                <w:lang w:val="pl-PL"/>
              </w:rPr>
              <w:t>Cephalanthero-Fagenion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6023" w:type="dxa"/>
          </w:tcPr>
          <w:p w14:paraId="7B3ADFDC" w14:textId="77777777" w:rsidR="00F06907" w:rsidRPr="00F740A5" w:rsidRDefault="00F06907" w:rsidP="0014311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iCs/>
                <w:sz w:val="22"/>
                <w:szCs w:val="22"/>
                <w:lang w:val="pl-PL"/>
              </w:rPr>
              <w:t>Utrzymanie obecnego stanu ochrony FV na stanowiskach:</w:t>
            </w:r>
            <w:r w:rsidRPr="00F740A5">
              <w:rPr>
                <w:sz w:val="22"/>
                <w:szCs w:val="22"/>
                <w:lang w:val="pl-PL"/>
              </w:rPr>
              <w:t xml:space="preserve"> Zielona Góra 2,</w:t>
            </w:r>
            <w:r w:rsidRPr="00F740A5">
              <w:rPr>
                <w:iCs/>
                <w:sz w:val="22"/>
                <w:szCs w:val="22"/>
                <w:lang w:val="pl-PL"/>
              </w:rPr>
              <w:t xml:space="preserve"> </w:t>
            </w:r>
            <w:r w:rsidRPr="00F740A5">
              <w:rPr>
                <w:sz w:val="22"/>
                <w:szCs w:val="22"/>
                <w:lang w:val="pl-PL"/>
              </w:rPr>
              <w:t>Setki, Karzełek 2, Knieja 2, Skałki Św. Idziego.</w:t>
            </w:r>
          </w:p>
          <w:p w14:paraId="1CAB0218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  <w:lang w:val="pl-PL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 oceny parametrów specyficzna struktura i funkcje oraz perspektywy ochrony </w:t>
            </w: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>na stanowiskach:</w:t>
            </w:r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r w:rsidRPr="00F06907">
              <w:rPr>
                <w:sz w:val="22"/>
                <w:szCs w:val="22"/>
                <w:lang w:val="pl-PL"/>
              </w:rPr>
              <w:t>Srocko (poprzez poprawę oceny wskaźnika struktura przestrzenna płatów siedliska), Kamienne Górki 1 (poprzez poprawę oceny wskaźnika gatunki charakterystyczne).</w:t>
            </w:r>
          </w:p>
        </w:tc>
      </w:tr>
      <w:tr w:rsidR="00F06907" w:rsidRPr="00F740A5" w14:paraId="41552EBF" w14:textId="77777777" w:rsidTr="0014311A">
        <w:trPr>
          <w:cantSplit/>
          <w:trHeight w:val="1556"/>
        </w:trPr>
        <w:tc>
          <w:tcPr>
            <w:tcW w:w="567" w:type="dxa"/>
            <w:vAlign w:val="center"/>
          </w:tcPr>
          <w:p w14:paraId="1FEED0D5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</w:t>
            </w:r>
            <w:r w:rsidRPr="00F740A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2410" w:type="dxa"/>
          </w:tcPr>
          <w:p w14:paraId="27CE4616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 xml:space="preserve">9170 Grąd środkowoeuropejski i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subkontynentalny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 (Galio-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Carpinetum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Tilio-Carpinetum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6023" w:type="dxa"/>
            <w:vAlign w:val="center"/>
          </w:tcPr>
          <w:p w14:paraId="2F637124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 w:rsidRPr="00F740A5">
              <w:rPr>
                <w:iCs/>
                <w:sz w:val="22"/>
                <w:szCs w:val="22"/>
                <w:lang w:val="pl-PL"/>
              </w:rPr>
              <w:t>Utrzymanie obecnego stanu ochrony FV.</w:t>
            </w:r>
          </w:p>
          <w:p w14:paraId="14F83FEE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</w:p>
          <w:p w14:paraId="12B95CBD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</w:p>
          <w:p w14:paraId="6C2778E1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</w:p>
        </w:tc>
      </w:tr>
      <w:tr w:rsidR="00F06907" w:rsidRPr="00F740A5" w14:paraId="1A70FF59" w14:textId="77777777" w:rsidTr="0014311A">
        <w:trPr>
          <w:cantSplit/>
          <w:trHeight w:val="1418"/>
        </w:trPr>
        <w:tc>
          <w:tcPr>
            <w:tcW w:w="567" w:type="dxa"/>
            <w:vAlign w:val="center"/>
          </w:tcPr>
          <w:p w14:paraId="7BEF3B83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2</w:t>
            </w:r>
            <w:r w:rsidRPr="00F740A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2410" w:type="dxa"/>
          </w:tcPr>
          <w:p w14:paraId="23CB0089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91I0 Ciepłolubne dąbrowy (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Quercetalia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740A5">
              <w:rPr>
                <w:sz w:val="22"/>
                <w:szCs w:val="22"/>
                <w:lang w:val="pl-PL"/>
              </w:rPr>
              <w:t>pubescentis-petraeae</w:t>
            </w:r>
            <w:proofErr w:type="spellEnd"/>
            <w:r w:rsidRPr="00F740A5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6023" w:type="dxa"/>
          </w:tcPr>
          <w:p w14:paraId="3DE049A2" w14:textId="77777777" w:rsidR="00F06907" w:rsidRPr="00F740A5" w:rsidRDefault="00F06907" w:rsidP="0014311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bCs/>
                <w:color w:val="000000"/>
                <w:sz w:val="22"/>
                <w:szCs w:val="22"/>
                <w:lang w:val="pl-PL"/>
              </w:rPr>
              <w:t>Utrzymanie obecnego stanu ochrony U1 na stanowiskach:</w:t>
            </w:r>
            <w:r w:rsidRPr="00F740A5">
              <w:rPr>
                <w:sz w:val="22"/>
                <w:szCs w:val="22"/>
                <w:lang w:val="pl-PL"/>
              </w:rPr>
              <w:t xml:space="preserve"> Mirów 1, Mirów 3.</w:t>
            </w:r>
          </w:p>
          <w:p w14:paraId="607598BA" w14:textId="77777777" w:rsidR="00F06907" w:rsidRPr="00F740A5" w:rsidRDefault="00F06907" w:rsidP="0014311A">
            <w:pPr>
              <w:pStyle w:val="Standard"/>
              <w:snapToGrid w:val="0"/>
              <w:rPr>
                <w:iCs/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Poprawa obecnego stanu U2 na stanowisku Mirów 2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  <w:lang w:val="pl-PL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  <w:lang w:val="pl-PL"/>
              </w:rPr>
              <w:t xml:space="preserve"> oceny parametrów specyficzna struktura i funkcje oraz perspektywy ochron</w:t>
            </w:r>
            <w:r>
              <w:rPr>
                <w:bCs/>
                <w:color w:val="000000"/>
                <w:sz w:val="22"/>
                <w:szCs w:val="22"/>
                <w:lang w:val="pl-PL"/>
              </w:rPr>
              <w:t>y.</w:t>
            </w:r>
          </w:p>
        </w:tc>
      </w:tr>
      <w:tr w:rsidR="00F06907" w:rsidRPr="00F740A5" w14:paraId="3229FEED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7C00C2C2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</w:t>
            </w:r>
            <w:r w:rsidRPr="00F740A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2410" w:type="dxa"/>
          </w:tcPr>
          <w:p w14:paraId="443C8CFB" w14:textId="77777777" w:rsidR="00F06907" w:rsidRPr="00F740A5" w:rsidRDefault="00F06907" w:rsidP="0014311A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91P0</w:t>
            </w:r>
            <w:r w:rsidRPr="00F740A5">
              <w:rPr>
                <w:iCs/>
                <w:sz w:val="22"/>
                <w:szCs w:val="22"/>
                <w:lang w:val="pl-PL"/>
              </w:rPr>
              <w:t xml:space="preserve"> </w:t>
            </w:r>
            <w:r>
              <w:rPr>
                <w:iCs/>
                <w:sz w:val="22"/>
                <w:szCs w:val="22"/>
                <w:lang w:val="pl-PL"/>
              </w:rPr>
              <w:t>Świętokrzyski bór jodłowy</w:t>
            </w:r>
            <w:r w:rsidRPr="00F740A5">
              <w:rPr>
                <w:iCs/>
                <w:sz w:val="22"/>
                <w:szCs w:val="22"/>
                <w:lang w:val="pl-PL"/>
              </w:rPr>
              <w:t xml:space="preserve"> (</w:t>
            </w:r>
            <w:proofErr w:type="spellStart"/>
            <w:r w:rsidRPr="00F740A5">
              <w:rPr>
                <w:i/>
                <w:iCs/>
                <w:sz w:val="22"/>
                <w:szCs w:val="22"/>
                <w:lang w:val="pl-PL"/>
              </w:rPr>
              <w:t>Abietetum</w:t>
            </w:r>
            <w:proofErr w:type="spellEnd"/>
            <w:r w:rsidRPr="00F740A5">
              <w:rPr>
                <w:i/>
                <w:iCs/>
                <w:sz w:val="22"/>
                <w:szCs w:val="22"/>
                <w:lang w:val="pl-PL"/>
              </w:rPr>
              <w:t xml:space="preserve"> polonicum</w:t>
            </w:r>
            <w:r w:rsidRPr="00F740A5">
              <w:rPr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6023" w:type="dxa"/>
            <w:vAlign w:val="center"/>
          </w:tcPr>
          <w:p w14:paraId="61F94070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836CBD">
              <w:rPr>
                <w:bCs/>
                <w:iCs/>
                <w:sz w:val="22"/>
                <w:szCs w:val="22"/>
              </w:rPr>
              <w:t>Nie określono działań ochronnych w związku z brakiem potwierdzenia występowania siedliska w obszarze.</w:t>
            </w:r>
          </w:p>
        </w:tc>
      </w:tr>
      <w:tr w:rsidR="00F06907" w:rsidRPr="00F740A5" w14:paraId="7EA4DDAC" w14:textId="77777777" w:rsidTr="0014311A">
        <w:trPr>
          <w:cantSplit/>
          <w:trHeight w:val="1955"/>
        </w:trPr>
        <w:tc>
          <w:tcPr>
            <w:tcW w:w="567" w:type="dxa"/>
            <w:vAlign w:val="center"/>
          </w:tcPr>
          <w:p w14:paraId="102595B4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F740A5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4</w:t>
            </w:r>
            <w:r w:rsidRPr="00F740A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2410" w:type="dxa"/>
          </w:tcPr>
          <w:p w14:paraId="0CECD86F" w14:textId="77777777" w:rsidR="00F06907" w:rsidRPr="00F740A5" w:rsidRDefault="00F06907" w:rsidP="0014311A">
            <w:pPr>
              <w:widowControl/>
              <w:rPr>
                <w:bCs/>
                <w:sz w:val="22"/>
                <w:szCs w:val="22"/>
              </w:rPr>
            </w:pPr>
            <w:r w:rsidRPr="00F740A5">
              <w:rPr>
                <w:bCs/>
                <w:sz w:val="22"/>
                <w:szCs w:val="22"/>
              </w:rPr>
              <w:t xml:space="preserve">2189 Przytulia krakowska </w:t>
            </w:r>
            <w:proofErr w:type="spellStart"/>
            <w:r w:rsidRPr="00F740A5">
              <w:rPr>
                <w:bCs/>
                <w:i/>
                <w:sz w:val="22"/>
                <w:szCs w:val="22"/>
              </w:rPr>
              <w:t>Galium</w:t>
            </w:r>
            <w:proofErr w:type="spellEnd"/>
            <w:r w:rsidRPr="00F740A5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bCs/>
                <w:i/>
                <w:sz w:val="22"/>
                <w:szCs w:val="22"/>
              </w:rPr>
              <w:t>cracoviense</w:t>
            </w:r>
            <w:proofErr w:type="spellEnd"/>
          </w:p>
        </w:tc>
        <w:tc>
          <w:tcPr>
            <w:tcW w:w="6023" w:type="dxa"/>
          </w:tcPr>
          <w:p w14:paraId="7537DD15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iCs/>
                <w:sz w:val="22"/>
                <w:szCs w:val="22"/>
              </w:rPr>
              <w:t xml:space="preserve">Utrzymanie obecnego stanu ochrony FV na stanowiskach:; </w:t>
            </w:r>
            <w:r w:rsidRPr="00F740A5">
              <w:rPr>
                <w:sz w:val="22"/>
                <w:szCs w:val="22"/>
              </w:rPr>
              <w:t xml:space="preserve">Góry </w:t>
            </w:r>
            <w:proofErr w:type="spellStart"/>
            <w:r w:rsidRPr="00F740A5">
              <w:rPr>
                <w:sz w:val="22"/>
                <w:szCs w:val="22"/>
              </w:rPr>
              <w:t>Towarne</w:t>
            </w:r>
            <w:proofErr w:type="spellEnd"/>
            <w:r w:rsidRPr="00F740A5">
              <w:rPr>
                <w:sz w:val="22"/>
                <w:szCs w:val="22"/>
              </w:rPr>
              <w:t xml:space="preserve">, Góra Zamkowa, </w:t>
            </w:r>
            <w:proofErr w:type="spellStart"/>
            <w:r w:rsidRPr="00F740A5">
              <w:rPr>
                <w:sz w:val="22"/>
                <w:szCs w:val="22"/>
              </w:rPr>
              <w:t>Biakło</w:t>
            </w:r>
            <w:proofErr w:type="spellEnd"/>
            <w:r w:rsidRPr="00F740A5">
              <w:rPr>
                <w:sz w:val="22"/>
                <w:szCs w:val="22"/>
              </w:rPr>
              <w:t>, Lipówki, Niwki, Cegielnia, Statkowa, Ostra Góra.</w:t>
            </w:r>
          </w:p>
          <w:p w14:paraId="7B2968C2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 oceny parametrów specyficzna struktura i funkcje oraz perspektywy ochrony </w:t>
            </w:r>
            <w:r w:rsidRPr="00F740A5">
              <w:rPr>
                <w:bCs/>
                <w:color w:val="000000"/>
                <w:sz w:val="22"/>
                <w:szCs w:val="22"/>
              </w:rPr>
              <w:t>na stanowiskach:</w:t>
            </w:r>
            <w:r w:rsidRPr="00F740A5">
              <w:rPr>
                <w:sz w:val="22"/>
                <w:szCs w:val="22"/>
              </w:rPr>
              <w:t xml:space="preserve"> Skałki Duże, Skałki Małe, </w:t>
            </w:r>
            <w:proofErr w:type="spellStart"/>
            <w:r w:rsidRPr="00F740A5">
              <w:rPr>
                <w:sz w:val="22"/>
                <w:szCs w:val="22"/>
              </w:rPr>
              <w:t>Kielniki</w:t>
            </w:r>
            <w:proofErr w:type="spellEnd"/>
            <w:r w:rsidRPr="00F740A5">
              <w:rPr>
                <w:sz w:val="22"/>
                <w:szCs w:val="22"/>
              </w:rPr>
              <w:t>.</w:t>
            </w:r>
          </w:p>
        </w:tc>
      </w:tr>
      <w:tr w:rsidR="00F06907" w:rsidRPr="00F740A5" w14:paraId="4A47C390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15D911CA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15.</w:t>
            </w:r>
          </w:p>
        </w:tc>
        <w:tc>
          <w:tcPr>
            <w:tcW w:w="2410" w:type="dxa"/>
          </w:tcPr>
          <w:p w14:paraId="438C2110" w14:textId="77777777" w:rsidR="00F06907" w:rsidRPr="00F740A5" w:rsidRDefault="00F06907" w:rsidP="0014311A">
            <w:pPr>
              <w:rPr>
                <w:bCs/>
                <w:sz w:val="22"/>
                <w:szCs w:val="22"/>
              </w:rPr>
            </w:pPr>
            <w:r w:rsidRPr="00F740A5">
              <w:rPr>
                <w:bCs/>
                <w:sz w:val="22"/>
                <w:szCs w:val="22"/>
              </w:rPr>
              <w:t>1303</w:t>
            </w:r>
          </w:p>
          <w:p w14:paraId="71DD42DE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>Podkowiec mały</w:t>
            </w:r>
          </w:p>
          <w:p w14:paraId="505B399B" w14:textId="77777777" w:rsidR="00F06907" w:rsidRPr="00F740A5" w:rsidRDefault="00F06907" w:rsidP="0014311A">
            <w:pPr>
              <w:rPr>
                <w:bCs/>
                <w:sz w:val="22"/>
                <w:szCs w:val="22"/>
              </w:rPr>
            </w:pPr>
            <w:proofErr w:type="spellStart"/>
            <w:r w:rsidRPr="00F740A5">
              <w:rPr>
                <w:i/>
                <w:sz w:val="22"/>
                <w:szCs w:val="22"/>
              </w:rPr>
              <w:t>Rhinolophus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hipposideros</w:t>
            </w:r>
            <w:proofErr w:type="spellEnd"/>
          </w:p>
        </w:tc>
        <w:tc>
          <w:tcPr>
            <w:tcW w:w="6023" w:type="dxa"/>
            <w:vAlign w:val="center"/>
          </w:tcPr>
          <w:p w14:paraId="56BDCBFE" w14:textId="77777777" w:rsidR="00F06907" w:rsidRPr="00D7431B" w:rsidRDefault="00F06907" w:rsidP="0014311A">
            <w:pPr>
              <w:rPr>
                <w:b/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>
              <w:rPr>
                <w:bCs/>
                <w:color w:val="000000"/>
                <w:sz w:val="22"/>
                <w:szCs w:val="22"/>
              </w:rPr>
              <w:t>poprzez poprawę oceny parametru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z</w:t>
            </w:r>
            <w:r w:rsidRPr="00D7431B">
              <w:rPr>
                <w:bCs/>
                <w:color w:val="000000"/>
                <w:sz w:val="22"/>
                <w:szCs w:val="22"/>
              </w:rPr>
              <w:t>abezpieczenie przed niepokojeniem nietoperzy</w:t>
            </w:r>
            <w:r>
              <w:rPr>
                <w:bCs/>
                <w:color w:val="000000"/>
                <w:sz w:val="22"/>
                <w:szCs w:val="22"/>
              </w:rPr>
              <w:t xml:space="preserve"> oraz parametru perspektywy ochrony.</w:t>
            </w:r>
          </w:p>
        </w:tc>
      </w:tr>
      <w:tr w:rsidR="00F06907" w:rsidRPr="00F740A5" w14:paraId="55E8129A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3E26418E" w14:textId="77777777" w:rsidR="00F06907" w:rsidRPr="00F740A5" w:rsidRDefault="00F06907" w:rsidP="0014311A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</w:t>
            </w:r>
          </w:p>
        </w:tc>
        <w:tc>
          <w:tcPr>
            <w:tcW w:w="2410" w:type="dxa"/>
          </w:tcPr>
          <w:p w14:paraId="5CADC10C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>1308</w:t>
            </w:r>
          </w:p>
          <w:p w14:paraId="10D3C8BF" w14:textId="77777777" w:rsidR="00F06907" w:rsidRPr="00F740A5" w:rsidRDefault="00F06907" w:rsidP="0014311A">
            <w:pPr>
              <w:rPr>
                <w:i/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 xml:space="preserve">Mopek  </w:t>
            </w:r>
            <w:proofErr w:type="spellStart"/>
            <w:r w:rsidRPr="00F740A5">
              <w:rPr>
                <w:i/>
                <w:sz w:val="22"/>
                <w:szCs w:val="22"/>
              </w:rPr>
              <w:t>Barbastella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barbastellus</w:t>
            </w:r>
            <w:proofErr w:type="spellEnd"/>
          </w:p>
          <w:p w14:paraId="27C903A2" w14:textId="77777777" w:rsidR="00F06907" w:rsidRPr="00F740A5" w:rsidRDefault="00F06907" w:rsidP="0014311A">
            <w:pPr>
              <w:rPr>
                <w:bCs/>
                <w:sz w:val="22"/>
                <w:szCs w:val="22"/>
              </w:rPr>
            </w:pPr>
          </w:p>
        </w:tc>
        <w:tc>
          <w:tcPr>
            <w:tcW w:w="6023" w:type="dxa"/>
            <w:vAlign w:val="center"/>
          </w:tcPr>
          <w:p w14:paraId="659D12D3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 oceny parametr</w:t>
            </w:r>
            <w:r>
              <w:rPr>
                <w:bCs/>
                <w:color w:val="000000"/>
                <w:sz w:val="22"/>
                <w:szCs w:val="22"/>
              </w:rPr>
              <w:t>u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z</w:t>
            </w:r>
            <w:r w:rsidRPr="00D7431B">
              <w:rPr>
                <w:bCs/>
                <w:color w:val="000000"/>
                <w:sz w:val="22"/>
                <w:szCs w:val="22"/>
              </w:rPr>
              <w:t>abezpieczenie przed niepokojeniem nietoperzy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06907" w:rsidRPr="00F740A5" w14:paraId="0B93E9E8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431E71A4" w14:textId="77777777" w:rsidR="00F06907" w:rsidRPr="00F740A5" w:rsidRDefault="00F06907" w:rsidP="0014311A">
            <w:pPr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2410" w:type="dxa"/>
          </w:tcPr>
          <w:p w14:paraId="01FA764D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 xml:space="preserve">1318 Nocek łydkowłosy  </w:t>
            </w: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dasycneme</w:t>
            </w:r>
            <w:proofErr w:type="spellEnd"/>
          </w:p>
        </w:tc>
        <w:tc>
          <w:tcPr>
            <w:tcW w:w="6023" w:type="dxa"/>
            <w:vAlign w:val="center"/>
          </w:tcPr>
          <w:p w14:paraId="009913A9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 oceny parametr</w:t>
            </w:r>
            <w:r>
              <w:rPr>
                <w:bCs/>
                <w:color w:val="000000"/>
                <w:sz w:val="22"/>
                <w:szCs w:val="22"/>
              </w:rPr>
              <w:t>u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z</w:t>
            </w:r>
            <w:r w:rsidRPr="00D7431B">
              <w:rPr>
                <w:bCs/>
                <w:color w:val="000000"/>
                <w:sz w:val="22"/>
                <w:szCs w:val="22"/>
              </w:rPr>
              <w:t>abezpieczenie przed niepokojeniem nietoperzy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06907" w:rsidRPr="00F740A5" w14:paraId="13619799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44811389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</w:tcPr>
          <w:p w14:paraId="26D74692" w14:textId="77777777" w:rsidR="00F06907" w:rsidRPr="00F740A5" w:rsidRDefault="00F06907" w:rsidP="0014311A">
            <w:pPr>
              <w:rPr>
                <w:i/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 xml:space="preserve">1321 Nocek orzęsiony </w:t>
            </w: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emarginatus</w:t>
            </w:r>
            <w:proofErr w:type="spellEnd"/>
          </w:p>
          <w:p w14:paraId="2BBB05E3" w14:textId="77777777" w:rsidR="00F06907" w:rsidRPr="00F740A5" w:rsidRDefault="00F06907" w:rsidP="0014311A">
            <w:pPr>
              <w:rPr>
                <w:sz w:val="22"/>
                <w:szCs w:val="22"/>
              </w:rPr>
            </w:pPr>
          </w:p>
        </w:tc>
        <w:tc>
          <w:tcPr>
            <w:tcW w:w="6023" w:type="dxa"/>
          </w:tcPr>
          <w:p w14:paraId="40DDADCE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>Utrzymanie obecnego stanu ochrony U1</w:t>
            </w:r>
            <w:r w:rsidR="004143C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143C7"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 w:rsidR="004143C7">
              <w:rPr>
                <w:bCs/>
                <w:color w:val="000000"/>
                <w:sz w:val="22"/>
                <w:szCs w:val="22"/>
              </w:rPr>
              <w:t>poprawę</w:t>
            </w:r>
            <w:r w:rsidR="004143C7" w:rsidRPr="00A2069B">
              <w:rPr>
                <w:bCs/>
                <w:color w:val="000000"/>
                <w:sz w:val="22"/>
                <w:szCs w:val="22"/>
              </w:rPr>
              <w:t xml:space="preserve"> oceny parametr</w:t>
            </w:r>
            <w:r w:rsidR="004143C7">
              <w:rPr>
                <w:bCs/>
                <w:color w:val="000000"/>
                <w:sz w:val="22"/>
                <w:szCs w:val="22"/>
              </w:rPr>
              <w:t>u</w:t>
            </w:r>
            <w:r w:rsidR="004143C7" w:rsidRPr="00B63A90">
              <w:t xml:space="preserve"> </w:t>
            </w:r>
            <w:r w:rsidR="004143C7">
              <w:rPr>
                <w:bCs/>
                <w:color w:val="000000"/>
                <w:sz w:val="22"/>
                <w:szCs w:val="22"/>
              </w:rPr>
              <w:t>z</w:t>
            </w:r>
            <w:r w:rsidRPr="00D7431B">
              <w:rPr>
                <w:bCs/>
                <w:color w:val="000000"/>
                <w:sz w:val="22"/>
                <w:szCs w:val="22"/>
              </w:rPr>
              <w:t>abezpieczenie przed niepokojeniem nietoperzy</w:t>
            </w:r>
            <w:r>
              <w:rPr>
                <w:bCs/>
                <w:color w:val="000000"/>
                <w:sz w:val="22"/>
                <w:szCs w:val="22"/>
              </w:rPr>
              <w:t xml:space="preserve"> oraz parametru perspektywy ochrony.</w:t>
            </w:r>
          </w:p>
        </w:tc>
      </w:tr>
      <w:tr w:rsidR="00F06907" w:rsidRPr="00F740A5" w14:paraId="3DCF83C6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2201814E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19.</w:t>
            </w:r>
          </w:p>
        </w:tc>
        <w:tc>
          <w:tcPr>
            <w:tcW w:w="2410" w:type="dxa"/>
          </w:tcPr>
          <w:p w14:paraId="2ECA5412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>1323 Nocek Bechsteina</w:t>
            </w:r>
          </w:p>
          <w:p w14:paraId="2307FC00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bechsteinii</w:t>
            </w:r>
            <w:proofErr w:type="spellEnd"/>
          </w:p>
        </w:tc>
        <w:tc>
          <w:tcPr>
            <w:tcW w:w="6023" w:type="dxa"/>
            <w:vAlign w:val="center"/>
          </w:tcPr>
          <w:p w14:paraId="045B4E17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 oceny parametr</w:t>
            </w:r>
            <w:r>
              <w:rPr>
                <w:bCs/>
                <w:color w:val="000000"/>
                <w:sz w:val="22"/>
                <w:szCs w:val="22"/>
              </w:rPr>
              <w:t>u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z</w:t>
            </w:r>
            <w:r w:rsidRPr="00D7431B">
              <w:rPr>
                <w:bCs/>
                <w:color w:val="000000"/>
                <w:sz w:val="22"/>
                <w:szCs w:val="22"/>
              </w:rPr>
              <w:t>abezpieczenie przed niepokojeniem nietoperzy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06907" w:rsidRPr="00F740A5" w14:paraId="2F7FB948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5CFF1E57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20.</w:t>
            </w:r>
          </w:p>
        </w:tc>
        <w:tc>
          <w:tcPr>
            <w:tcW w:w="2410" w:type="dxa"/>
          </w:tcPr>
          <w:p w14:paraId="423BE086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 xml:space="preserve">1324 Nocek duży </w:t>
            </w:r>
            <w:r w:rsidRPr="00F740A5">
              <w:rPr>
                <w:sz w:val="22"/>
                <w:szCs w:val="22"/>
              </w:rPr>
              <w:br/>
            </w: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</w:p>
          <w:p w14:paraId="0E214442" w14:textId="77777777" w:rsidR="00F06907" w:rsidRPr="00F740A5" w:rsidRDefault="00F06907" w:rsidP="0014311A">
            <w:pPr>
              <w:rPr>
                <w:bCs/>
                <w:sz w:val="22"/>
                <w:szCs w:val="22"/>
              </w:rPr>
            </w:pPr>
          </w:p>
        </w:tc>
        <w:tc>
          <w:tcPr>
            <w:tcW w:w="6023" w:type="dxa"/>
            <w:vAlign w:val="center"/>
          </w:tcPr>
          <w:p w14:paraId="2D4447B5" w14:textId="77777777" w:rsidR="00F06907" w:rsidRDefault="00F06907" w:rsidP="0014311A">
            <w:r w:rsidRPr="00B63A90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 oceny parametr</w:t>
            </w:r>
            <w:r>
              <w:rPr>
                <w:bCs/>
                <w:color w:val="000000"/>
                <w:sz w:val="22"/>
                <w:szCs w:val="22"/>
              </w:rPr>
              <w:t>u</w:t>
            </w:r>
            <w:r w:rsidRPr="00B63A90">
              <w:t xml:space="preserve"> </w:t>
            </w:r>
            <w:r w:rsidRPr="00B63A90">
              <w:rPr>
                <w:bCs/>
                <w:color w:val="000000"/>
                <w:sz w:val="22"/>
                <w:szCs w:val="22"/>
              </w:rPr>
              <w:t>zabezpieczenie przed niepokojeniem nietoperzy oraz parametru perspektywy ochrony.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06907" w:rsidRPr="00F740A5" w14:paraId="2E031EDA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51F3C06B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21.</w:t>
            </w:r>
          </w:p>
        </w:tc>
        <w:tc>
          <w:tcPr>
            <w:tcW w:w="2410" w:type="dxa"/>
          </w:tcPr>
          <w:p w14:paraId="0F29AABB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sz w:val="22"/>
                <w:szCs w:val="22"/>
              </w:rPr>
              <w:t xml:space="preserve">1324 Nocek duży </w:t>
            </w:r>
            <w:r w:rsidRPr="00F740A5">
              <w:rPr>
                <w:sz w:val="22"/>
                <w:szCs w:val="22"/>
              </w:rPr>
              <w:br/>
            </w: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i/>
                <w:sz w:val="22"/>
                <w:szCs w:val="22"/>
              </w:rPr>
              <w:t>myotis</w:t>
            </w:r>
            <w:proofErr w:type="spellEnd"/>
            <w:r w:rsidRPr="00F740A5">
              <w:rPr>
                <w:i/>
                <w:sz w:val="22"/>
                <w:szCs w:val="22"/>
              </w:rPr>
              <w:t xml:space="preserve"> </w:t>
            </w:r>
            <w:r w:rsidRPr="00F740A5">
              <w:rPr>
                <w:sz w:val="22"/>
                <w:szCs w:val="22"/>
              </w:rPr>
              <w:t>(r)</w:t>
            </w:r>
            <w:r w:rsidR="0014311A">
              <w:rPr>
                <w:sz w:val="22"/>
                <w:szCs w:val="22"/>
              </w:rPr>
              <w:t xml:space="preserve"> – nie wymieniony w SDF</w:t>
            </w:r>
          </w:p>
          <w:p w14:paraId="4C8783F3" w14:textId="77777777" w:rsidR="00F06907" w:rsidRPr="00F740A5" w:rsidRDefault="00F06907" w:rsidP="0014311A">
            <w:pPr>
              <w:rPr>
                <w:bCs/>
                <w:sz w:val="22"/>
                <w:szCs w:val="22"/>
              </w:rPr>
            </w:pPr>
          </w:p>
        </w:tc>
        <w:tc>
          <w:tcPr>
            <w:tcW w:w="6023" w:type="dxa"/>
            <w:vAlign w:val="center"/>
          </w:tcPr>
          <w:p w14:paraId="05DDEE14" w14:textId="77777777" w:rsidR="00F06907" w:rsidRDefault="00F06907" w:rsidP="0014311A">
            <w:r w:rsidRPr="00B63A90">
              <w:rPr>
                <w:bCs/>
                <w:color w:val="000000"/>
                <w:sz w:val="22"/>
                <w:szCs w:val="22"/>
              </w:rPr>
              <w:t xml:space="preserve">Utrzymanie obecnego stanu ochrony U1 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poprzez </w:t>
            </w:r>
            <w:r>
              <w:rPr>
                <w:bCs/>
                <w:color w:val="000000"/>
                <w:sz w:val="22"/>
                <w:szCs w:val="22"/>
              </w:rPr>
              <w:t>poprawę</w:t>
            </w:r>
            <w:r w:rsidRPr="00A2069B">
              <w:rPr>
                <w:bCs/>
                <w:color w:val="000000"/>
                <w:sz w:val="22"/>
                <w:szCs w:val="22"/>
              </w:rPr>
              <w:t xml:space="preserve"> oceny parametr</w:t>
            </w:r>
            <w:r>
              <w:rPr>
                <w:bCs/>
                <w:color w:val="000000"/>
                <w:sz w:val="22"/>
                <w:szCs w:val="22"/>
              </w:rPr>
              <w:t>u</w:t>
            </w:r>
            <w:r>
              <w:t xml:space="preserve"> </w:t>
            </w:r>
            <w:r w:rsidRPr="00B63A90">
              <w:rPr>
                <w:bCs/>
                <w:color w:val="000000"/>
                <w:sz w:val="22"/>
                <w:szCs w:val="22"/>
              </w:rPr>
              <w:t>zabezpieczenie przed niepokojeniem nietoperzy oraz parametru perspektywy ochrony.</w:t>
            </w:r>
          </w:p>
        </w:tc>
      </w:tr>
      <w:tr w:rsidR="00F06907" w:rsidRPr="00F740A5" w14:paraId="521DF71B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48C363C4" w14:textId="77777777" w:rsidR="00F06907" w:rsidRPr="00F740A5" w:rsidRDefault="00F06907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22.</w:t>
            </w:r>
          </w:p>
        </w:tc>
        <w:tc>
          <w:tcPr>
            <w:tcW w:w="2410" w:type="dxa"/>
          </w:tcPr>
          <w:p w14:paraId="0AD7367D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r w:rsidRPr="00F740A5">
              <w:rPr>
                <w:bCs/>
                <w:sz w:val="22"/>
                <w:szCs w:val="22"/>
              </w:rPr>
              <w:t xml:space="preserve">6177 Modraszek </w:t>
            </w:r>
            <w:proofErr w:type="spellStart"/>
            <w:r w:rsidRPr="00F740A5">
              <w:rPr>
                <w:bCs/>
                <w:sz w:val="22"/>
                <w:szCs w:val="22"/>
              </w:rPr>
              <w:t>telejus</w:t>
            </w:r>
            <w:proofErr w:type="spellEnd"/>
            <w:r w:rsidRPr="00F740A5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bCs/>
                <w:i/>
                <w:sz w:val="22"/>
                <w:szCs w:val="22"/>
              </w:rPr>
              <w:t>Phengaris</w:t>
            </w:r>
            <w:proofErr w:type="spellEnd"/>
            <w:r w:rsidRPr="00F740A5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F740A5">
              <w:rPr>
                <w:bCs/>
                <w:i/>
                <w:sz w:val="22"/>
                <w:szCs w:val="22"/>
              </w:rPr>
              <w:t>teleius</w:t>
            </w:r>
            <w:proofErr w:type="spellEnd"/>
          </w:p>
        </w:tc>
        <w:tc>
          <w:tcPr>
            <w:tcW w:w="6023" w:type="dxa"/>
            <w:vAlign w:val="center"/>
          </w:tcPr>
          <w:p w14:paraId="7D521C8B" w14:textId="77777777" w:rsidR="00F06907" w:rsidRPr="00F740A5" w:rsidRDefault="00F06907" w:rsidP="0014311A">
            <w:pPr>
              <w:rPr>
                <w:sz w:val="22"/>
                <w:szCs w:val="22"/>
              </w:rPr>
            </w:pPr>
            <w:bookmarkStart w:id="0" w:name="_GoBack"/>
            <w:r w:rsidRPr="00F740A5">
              <w:rPr>
                <w:sz w:val="22"/>
                <w:szCs w:val="22"/>
              </w:rPr>
              <w:t xml:space="preserve">Nie określono – brak badań terenowych weryfikujących dane </w:t>
            </w:r>
            <w:r>
              <w:rPr>
                <w:sz w:val="22"/>
                <w:szCs w:val="22"/>
              </w:rPr>
              <w:br/>
            </w:r>
            <w:r w:rsidRPr="00F740A5">
              <w:rPr>
                <w:sz w:val="22"/>
                <w:szCs w:val="22"/>
              </w:rPr>
              <w:t>z SDF</w:t>
            </w:r>
            <w:bookmarkEnd w:id="0"/>
            <w:r>
              <w:rPr>
                <w:sz w:val="22"/>
                <w:szCs w:val="22"/>
              </w:rPr>
              <w:t>.</w:t>
            </w:r>
          </w:p>
        </w:tc>
      </w:tr>
      <w:tr w:rsidR="00DB1AAF" w:rsidRPr="00DB1AAF" w14:paraId="57422E48" w14:textId="77777777" w:rsidTr="0014311A">
        <w:trPr>
          <w:cantSplit/>
          <w:trHeight w:val="471"/>
        </w:trPr>
        <w:tc>
          <w:tcPr>
            <w:tcW w:w="9000" w:type="dxa"/>
            <w:gridSpan w:val="3"/>
            <w:vAlign w:val="center"/>
          </w:tcPr>
          <w:p w14:paraId="629DB553" w14:textId="77777777" w:rsidR="00DB1AAF" w:rsidRPr="00DB1AAF" w:rsidRDefault="00DB1AAF" w:rsidP="0014311A">
            <w:pPr>
              <w:rPr>
                <w:sz w:val="22"/>
                <w:szCs w:val="22"/>
              </w:rPr>
            </w:pPr>
            <w:r w:rsidRPr="00DB1AAF">
              <w:rPr>
                <w:sz w:val="22"/>
                <w:szCs w:val="22"/>
              </w:rPr>
              <w:t>Siedliska niewymienione w SDF - proponowane do włączenia jako przedmioty ochrony.</w:t>
            </w:r>
          </w:p>
        </w:tc>
      </w:tr>
      <w:tr w:rsidR="00F32674" w:rsidRPr="00DB1AAF" w14:paraId="505BC316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20F66709" w14:textId="77777777" w:rsidR="00F32674" w:rsidRPr="00DB1AAF" w:rsidRDefault="00F32674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DB1AAF">
              <w:rPr>
                <w:sz w:val="22"/>
                <w:szCs w:val="22"/>
                <w:lang w:val="pl-PL"/>
              </w:rPr>
              <w:t>23.</w:t>
            </w:r>
          </w:p>
        </w:tc>
        <w:tc>
          <w:tcPr>
            <w:tcW w:w="2410" w:type="dxa"/>
          </w:tcPr>
          <w:p w14:paraId="27DB86CF" w14:textId="77777777" w:rsidR="00F32674" w:rsidRPr="00DB1AAF" w:rsidRDefault="00F32674" w:rsidP="0014311A">
            <w:pPr>
              <w:rPr>
                <w:bCs/>
                <w:sz w:val="22"/>
                <w:szCs w:val="22"/>
              </w:rPr>
            </w:pPr>
            <w:r w:rsidRPr="00DB1AAF">
              <w:rPr>
                <w:kern w:val="3"/>
                <w:sz w:val="22"/>
                <w:szCs w:val="22"/>
              </w:rPr>
              <w:t xml:space="preserve">5130 Zarośla jałowca pospolitego na murawach </w:t>
            </w:r>
            <w:proofErr w:type="spellStart"/>
            <w:r w:rsidRPr="00DB1AAF">
              <w:rPr>
                <w:kern w:val="3"/>
                <w:sz w:val="22"/>
                <w:szCs w:val="22"/>
              </w:rPr>
              <w:t>nawapiennych</w:t>
            </w:r>
            <w:proofErr w:type="spellEnd"/>
            <w:r w:rsidRPr="00DB1AAF">
              <w:rPr>
                <w:kern w:val="3"/>
                <w:sz w:val="22"/>
                <w:szCs w:val="22"/>
              </w:rPr>
              <w:t xml:space="preserve"> lub na wrzosowiskach</w:t>
            </w:r>
          </w:p>
        </w:tc>
        <w:tc>
          <w:tcPr>
            <w:tcW w:w="6023" w:type="dxa"/>
            <w:vAlign w:val="center"/>
          </w:tcPr>
          <w:p w14:paraId="2BCF7211" w14:textId="77777777" w:rsidR="00F32674" w:rsidRPr="00DB1AAF" w:rsidRDefault="00F32674" w:rsidP="0014311A">
            <w:pPr>
              <w:rPr>
                <w:rFonts w:eastAsia="DejaVu Sans"/>
                <w:kern w:val="3"/>
                <w:sz w:val="22"/>
                <w:szCs w:val="22"/>
              </w:rPr>
            </w:pPr>
            <w:r w:rsidRPr="00DB1AAF">
              <w:rPr>
                <w:iCs/>
                <w:kern w:val="3"/>
                <w:sz w:val="22"/>
                <w:szCs w:val="22"/>
              </w:rPr>
              <w:t xml:space="preserve">Utrzymanie obecnego stanu ochrony siedliska (FV) na stanowiskach: </w:t>
            </w:r>
            <w:r w:rsidRPr="00DB1AAF">
              <w:rPr>
                <w:rFonts w:eastAsia="DejaVu Sans"/>
                <w:kern w:val="3"/>
                <w:sz w:val="22"/>
                <w:szCs w:val="22"/>
              </w:rPr>
              <w:t xml:space="preserve">Skałki Małe II, Góry </w:t>
            </w:r>
            <w:proofErr w:type="spellStart"/>
            <w:r w:rsidRPr="00DB1AAF">
              <w:rPr>
                <w:rFonts w:eastAsia="DejaVu Sans"/>
                <w:kern w:val="3"/>
                <w:sz w:val="22"/>
                <w:szCs w:val="22"/>
              </w:rPr>
              <w:t>Towarne</w:t>
            </w:r>
            <w:proofErr w:type="spellEnd"/>
            <w:r w:rsidRPr="00DB1AAF">
              <w:rPr>
                <w:rFonts w:eastAsia="DejaVu Sans"/>
                <w:kern w:val="3"/>
                <w:sz w:val="22"/>
                <w:szCs w:val="22"/>
              </w:rPr>
              <w:t xml:space="preserve"> II, Skałki Duże II, Cegielnia II.</w:t>
            </w:r>
          </w:p>
          <w:p w14:paraId="5057B8DC" w14:textId="77777777" w:rsidR="00F32674" w:rsidRPr="00DB1AAF" w:rsidRDefault="00F32674" w:rsidP="0014311A">
            <w:pPr>
              <w:rPr>
                <w:rFonts w:eastAsia="DejaVu Sans"/>
                <w:kern w:val="3"/>
                <w:sz w:val="22"/>
                <w:szCs w:val="22"/>
              </w:rPr>
            </w:pPr>
            <w:r w:rsidRPr="00DB1AAF">
              <w:rPr>
                <w:iCs/>
                <w:kern w:val="3"/>
                <w:sz w:val="22"/>
                <w:szCs w:val="22"/>
              </w:rPr>
              <w:t xml:space="preserve">Utrzymanie stanu ochrony U1 poprzez utrzymanie oceny parametrów „specyficzna struktura i funkcje” oraz „perspektywy ochrony” na stanowiskach: </w:t>
            </w:r>
            <w:proofErr w:type="spellStart"/>
            <w:r w:rsidRPr="00DB1AAF">
              <w:rPr>
                <w:rFonts w:eastAsia="DejaVu Sans"/>
                <w:kern w:val="3"/>
                <w:sz w:val="22"/>
                <w:szCs w:val="22"/>
              </w:rPr>
              <w:t>Biakło</w:t>
            </w:r>
            <w:proofErr w:type="spellEnd"/>
            <w:r w:rsidRPr="00DB1AAF">
              <w:rPr>
                <w:rFonts w:eastAsia="DejaVu Sans"/>
                <w:kern w:val="3"/>
                <w:sz w:val="22"/>
                <w:szCs w:val="22"/>
              </w:rPr>
              <w:t xml:space="preserve"> II, </w:t>
            </w:r>
            <w:proofErr w:type="spellStart"/>
            <w:r w:rsidRPr="00DB1AAF">
              <w:rPr>
                <w:rFonts w:eastAsia="DejaVu Sans"/>
                <w:kern w:val="3"/>
                <w:sz w:val="22"/>
                <w:szCs w:val="22"/>
              </w:rPr>
              <w:t>Biakło</w:t>
            </w:r>
            <w:proofErr w:type="spellEnd"/>
            <w:r w:rsidRPr="00DB1AAF">
              <w:rPr>
                <w:rFonts w:eastAsia="DejaVu Sans"/>
                <w:kern w:val="3"/>
                <w:sz w:val="22"/>
                <w:szCs w:val="22"/>
              </w:rPr>
              <w:t xml:space="preserve"> IV, Ostra Górka I, Olsztyn E I.</w:t>
            </w:r>
          </w:p>
        </w:tc>
      </w:tr>
      <w:tr w:rsidR="00F32674" w:rsidRPr="00DB1AAF" w14:paraId="3EB6967D" w14:textId="77777777" w:rsidTr="0014311A">
        <w:trPr>
          <w:cantSplit/>
          <w:trHeight w:val="1134"/>
        </w:trPr>
        <w:tc>
          <w:tcPr>
            <w:tcW w:w="567" w:type="dxa"/>
            <w:vAlign w:val="center"/>
          </w:tcPr>
          <w:p w14:paraId="6B5803CC" w14:textId="77777777" w:rsidR="00F32674" w:rsidRPr="00DB1AAF" w:rsidRDefault="00F32674" w:rsidP="0014311A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sz w:val="22"/>
                <w:szCs w:val="22"/>
                <w:lang w:val="pl-PL"/>
              </w:rPr>
            </w:pPr>
            <w:r w:rsidRPr="00DB1AAF">
              <w:rPr>
                <w:sz w:val="22"/>
                <w:szCs w:val="22"/>
                <w:lang w:val="pl-PL"/>
              </w:rPr>
              <w:lastRenderedPageBreak/>
              <w:t>24.</w:t>
            </w:r>
          </w:p>
        </w:tc>
        <w:tc>
          <w:tcPr>
            <w:tcW w:w="2410" w:type="dxa"/>
          </w:tcPr>
          <w:p w14:paraId="2A969D06" w14:textId="77777777" w:rsidR="00F32674" w:rsidRPr="00DB1AAF" w:rsidRDefault="00F32674" w:rsidP="0014311A">
            <w:pPr>
              <w:rPr>
                <w:bCs/>
                <w:sz w:val="22"/>
                <w:szCs w:val="22"/>
              </w:rPr>
            </w:pPr>
            <w:r w:rsidRPr="00DB1AAF">
              <w:rPr>
                <w:kern w:val="3"/>
                <w:sz w:val="22"/>
                <w:szCs w:val="22"/>
              </w:rPr>
              <w:t xml:space="preserve">7140 Torfowiska przejściowe i trzęsawiska (przeważnie z roślinnością z </w:t>
            </w:r>
            <w:proofErr w:type="spellStart"/>
            <w:r w:rsidRPr="00DB1AAF">
              <w:rPr>
                <w:kern w:val="3"/>
                <w:sz w:val="22"/>
                <w:szCs w:val="22"/>
              </w:rPr>
              <w:t>Scheuchzerio-Caricetea</w:t>
            </w:r>
            <w:proofErr w:type="spellEnd"/>
            <w:r w:rsidRPr="00DB1AAF">
              <w:rPr>
                <w:kern w:val="3"/>
                <w:sz w:val="22"/>
                <w:szCs w:val="22"/>
              </w:rPr>
              <w:t xml:space="preserve"> </w:t>
            </w:r>
            <w:proofErr w:type="spellStart"/>
            <w:r w:rsidRPr="00DB1AAF">
              <w:rPr>
                <w:kern w:val="3"/>
                <w:sz w:val="22"/>
                <w:szCs w:val="22"/>
              </w:rPr>
              <w:t>nigrae</w:t>
            </w:r>
            <w:proofErr w:type="spellEnd"/>
            <w:r w:rsidRPr="00DB1AAF">
              <w:rPr>
                <w:kern w:val="3"/>
                <w:sz w:val="22"/>
                <w:szCs w:val="22"/>
              </w:rPr>
              <w:t>)</w:t>
            </w:r>
          </w:p>
        </w:tc>
        <w:tc>
          <w:tcPr>
            <w:tcW w:w="6023" w:type="dxa"/>
            <w:vAlign w:val="center"/>
          </w:tcPr>
          <w:p w14:paraId="6F12C904" w14:textId="77777777" w:rsidR="00F32674" w:rsidRPr="00DB1AAF" w:rsidRDefault="00DB1AAF" w:rsidP="0014311A">
            <w:pPr>
              <w:rPr>
                <w:sz w:val="22"/>
                <w:szCs w:val="22"/>
              </w:rPr>
            </w:pPr>
            <w:r w:rsidRPr="00DB1AAF">
              <w:rPr>
                <w:iCs/>
                <w:kern w:val="3"/>
                <w:sz w:val="22"/>
                <w:szCs w:val="22"/>
              </w:rPr>
              <w:t>Utrzymanie stanu ochrony U1 poprzez utrzymanie oceny parametrów „specyficzna struktura i funkcje” oraz „perspektywy ochrony” na stanowisku</w:t>
            </w:r>
            <w:r w:rsidRPr="00DB1AAF">
              <w:rPr>
                <w:rFonts w:eastAsia="DejaVu Sans"/>
                <w:kern w:val="3"/>
                <w:sz w:val="22"/>
                <w:szCs w:val="22"/>
              </w:rPr>
              <w:t xml:space="preserve"> Trzęsawiska w Kusiętach.</w:t>
            </w:r>
          </w:p>
        </w:tc>
      </w:tr>
    </w:tbl>
    <w:p w14:paraId="7DB812F2" w14:textId="77777777" w:rsidR="00C17185" w:rsidRPr="00F740A5" w:rsidRDefault="00C17185" w:rsidP="006C7821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19BBD071" w14:textId="77777777" w:rsidR="0025705A" w:rsidRPr="00F740A5" w:rsidRDefault="0025705A">
      <w:pPr>
        <w:rPr>
          <w:sz w:val="22"/>
          <w:szCs w:val="22"/>
        </w:rPr>
      </w:pPr>
    </w:p>
    <w:sectPr w:rsidR="0025705A" w:rsidRPr="00F740A5" w:rsidSect="003577C1">
      <w:pgSz w:w="11909" w:h="16834"/>
      <w:pgMar w:top="1417" w:right="1417" w:bottom="1417" w:left="1417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21"/>
    <w:rsid w:val="000124A5"/>
    <w:rsid w:val="000651E5"/>
    <w:rsid w:val="001347C5"/>
    <w:rsid w:val="00136F7F"/>
    <w:rsid w:val="0014311A"/>
    <w:rsid w:val="00146F03"/>
    <w:rsid w:val="001D422C"/>
    <w:rsid w:val="0025705A"/>
    <w:rsid w:val="002C7B1C"/>
    <w:rsid w:val="00333488"/>
    <w:rsid w:val="003577C1"/>
    <w:rsid w:val="003A0815"/>
    <w:rsid w:val="003B648F"/>
    <w:rsid w:val="003D799B"/>
    <w:rsid w:val="004143C7"/>
    <w:rsid w:val="004A3813"/>
    <w:rsid w:val="004E2AC1"/>
    <w:rsid w:val="00527B5A"/>
    <w:rsid w:val="005701A0"/>
    <w:rsid w:val="0069104F"/>
    <w:rsid w:val="006C7821"/>
    <w:rsid w:val="006D4CA6"/>
    <w:rsid w:val="0070677E"/>
    <w:rsid w:val="007E043E"/>
    <w:rsid w:val="00836CBD"/>
    <w:rsid w:val="0089330B"/>
    <w:rsid w:val="008A338B"/>
    <w:rsid w:val="0090472D"/>
    <w:rsid w:val="009560DD"/>
    <w:rsid w:val="00971771"/>
    <w:rsid w:val="00987534"/>
    <w:rsid w:val="009A0237"/>
    <w:rsid w:val="00A161CC"/>
    <w:rsid w:val="00A2069B"/>
    <w:rsid w:val="00A34565"/>
    <w:rsid w:val="00A459E5"/>
    <w:rsid w:val="00A46EC6"/>
    <w:rsid w:val="00A60B85"/>
    <w:rsid w:val="00AB42E4"/>
    <w:rsid w:val="00AD4DEE"/>
    <w:rsid w:val="00B601ED"/>
    <w:rsid w:val="00B83468"/>
    <w:rsid w:val="00B84AD5"/>
    <w:rsid w:val="00BA485B"/>
    <w:rsid w:val="00BC560D"/>
    <w:rsid w:val="00BE1C83"/>
    <w:rsid w:val="00C02197"/>
    <w:rsid w:val="00C163F0"/>
    <w:rsid w:val="00C17185"/>
    <w:rsid w:val="00C83951"/>
    <w:rsid w:val="00C94B8B"/>
    <w:rsid w:val="00CE290D"/>
    <w:rsid w:val="00D068D9"/>
    <w:rsid w:val="00D72C2A"/>
    <w:rsid w:val="00D7431B"/>
    <w:rsid w:val="00DB1AAF"/>
    <w:rsid w:val="00DE2A5D"/>
    <w:rsid w:val="00E46677"/>
    <w:rsid w:val="00E67562"/>
    <w:rsid w:val="00ED3633"/>
    <w:rsid w:val="00F06907"/>
    <w:rsid w:val="00F32674"/>
    <w:rsid w:val="00F70F69"/>
    <w:rsid w:val="00F740A5"/>
    <w:rsid w:val="00F96628"/>
    <w:rsid w:val="00FD6E96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1AC7"/>
  <w15:chartTrackingRefBased/>
  <w15:docId w15:val="{5BE6C2EA-35A4-4494-8490-82D13BDA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6C782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6C7821"/>
    <w:rPr>
      <w:rFonts w:ascii="Times New Roman" w:eastAsia="Times New Roman" w:hAnsi="Times New Roman" w:cs="Times New Roman"/>
      <w:kern w:val="3"/>
      <w:sz w:val="24"/>
      <w:szCs w:val="24"/>
      <w:lang w:val="en-GB" w:eastAsia="pl-PL" w:bidi="ar-SA"/>
    </w:rPr>
  </w:style>
  <w:style w:type="character" w:styleId="Odwoaniedokomentarza">
    <w:name w:val="annotation reference"/>
    <w:uiPriority w:val="99"/>
    <w:semiHidden/>
    <w:unhideWhenUsed/>
    <w:rsid w:val="003A0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815"/>
  </w:style>
  <w:style w:type="character" w:customStyle="1" w:styleId="TekstkomentarzaZnak">
    <w:name w:val="Tekst komentarza Znak"/>
    <w:link w:val="Tekstkomentarza"/>
    <w:uiPriority w:val="99"/>
    <w:semiHidden/>
    <w:rsid w:val="003A08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8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08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8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A081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czechowskid</dc:creator>
  <cp:keywords/>
  <cp:lastModifiedBy>Damian</cp:lastModifiedBy>
  <cp:revision>2</cp:revision>
  <dcterms:created xsi:type="dcterms:W3CDTF">2021-02-26T13:01:00Z</dcterms:created>
  <dcterms:modified xsi:type="dcterms:W3CDTF">2021-02-26T13:01:00Z</dcterms:modified>
</cp:coreProperties>
</file>