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BC95" w14:textId="48326ECA" w:rsidR="009E0F60" w:rsidRPr="00DC3B3D" w:rsidRDefault="00CF788A" w:rsidP="00072FBB">
      <w:pPr>
        <w:spacing w:before="0" w:after="0" w:line="240" w:lineRule="auto"/>
        <w:contextualSpacing/>
        <w:jc w:val="center"/>
        <w:rPr>
          <w:rFonts w:ascii="Times New Roman" w:hAnsi="Times New Roman" w:cs="Times New Roman"/>
          <w:b/>
        </w:rPr>
      </w:pPr>
      <w:bookmarkStart w:id="0" w:name="_Hlk176441431"/>
      <w:r w:rsidRPr="00DC3B3D">
        <w:rPr>
          <w:rFonts w:ascii="Times New Roman" w:hAnsi="Times New Roman" w:cs="Times New Roman"/>
          <w:b/>
        </w:rPr>
        <w:t>Tabela uwag zgłoszonych</w:t>
      </w:r>
      <w:r w:rsidR="003E15D8" w:rsidRPr="00DC3B3D">
        <w:rPr>
          <w:rFonts w:ascii="Times New Roman" w:hAnsi="Times New Roman" w:cs="Times New Roman"/>
          <w:b/>
        </w:rPr>
        <w:t xml:space="preserve"> </w:t>
      </w:r>
      <w:r w:rsidR="003E15D8" w:rsidRPr="00DC3B3D">
        <w:rPr>
          <w:rFonts w:ascii="Times New Roman" w:hAnsi="Times New Roman" w:cs="Times New Roman"/>
          <w:b/>
          <w:u w:val="single"/>
        </w:rPr>
        <w:t>w</w:t>
      </w:r>
      <w:r w:rsidR="003E15D8" w:rsidRPr="00DC3B3D">
        <w:rPr>
          <w:rFonts w:ascii="Times New Roman" w:hAnsi="Times New Roman" w:cs="Times New Roman"/>
          <w:b/>
        </w:rPr>
        <w:t> </w:t>
      </w:r>
      <w:r w:rsidR="00234E5B" w:rsidRPr="00DC3B3D">
        <w:rPr>
          <w:rFonts w:ascii="Times New Roman" w:hAnsi="Times New Roman" w:cs="Times New Roman"/>
          <w:b/>
          <w:u w:val="single"/>
        </w:rPr>
        <w:t>ramach opiniowania</w:t>
      </w:r>
      <w:r w:rsidRPr="00DC3B3D">
        <w:rPr>
          <w:rFonts w:ascii="Times New Roman" w:hAnsi="Times New Roman" w:cs="Times New Roman"/>
          <w:b/>
        </w:rPr>
        <w:t xml:space="preserve"> projektu </w:t>
      </w:r>
      <w:r w:rsidR="002B0DAD" w:rsidRPr="00DC3B3D">
        <w:rPr>
          <w:rFonts w:ascii="Times New Roman" w:hAnsi="Times New Roman" w:cs="Times New Roman"/>
          <w:b/>
        </w:rPr>
        <w:t>rozporządzenia Ministra Cyfryzacji</w:t>
      </w:r>
      <w:r w:rsidR="003E15D8" w:rsidRPr="00DC3B3D">
        <w:rPr>
          <w:rFonts w:ascii="Times New Roman" w:hAnsi="Times New Roman" w:cs="Times New Roman"/>
          <w:b/>
        </w:rPr>
        <w:t xml:space="preserve"> w </w:t>
      </w:r>
      <w:r w:rsidR="00234E5B" w:rsidRPr="00DC3B3D">
        <w:rPr>
          <w:rFonts w:ascii="Times New Roman" w:hAnsi="Times New Roman" w:cs="Times New Roman"/>
          <w:b/>
        </w:rPr>
        <w:t>sprawie szczegółowego zakresu informacji wymaganych dla wniosków</w:t>
      </w:r>
      <w:r w:rsidR="003E15D8" w:rsidRPr="00DC3B3D">
        <w:rPr>
          <w:rFonts w:ascii="Times New Roman" w:hAnsi="Times New Roman" w:cs="Times New Roman"/>
          <w:b/>
        </w:rPr>
        <w:t xml:space="preserve"> o </w:t>
      </w:r>
      <w:r w:rsidR="00234E5B" w:rsidRPr="00DC3B3D">
        <w:rPr>
          <w:rFonts w:ascii="Times New Roman" w:hAnsi="Times New Roman" w:cs="Times New Roman"/>
          <w:b/>
        </w:rPr>
        <w:t>realizację uprawnień abonentów</w:t>
      </w:r>
      <w:r w:rsidR="003E15D8" w:rsidRPr="00DC3B3D">
        <w:rPr>
          <w:rFonts w:ascii="Times New Roman" w:hAnsi="Times New Roman" w:cs="Times New Roman"/>
          <w:b/>
        </w:rPr>
        <w:t xml:space="preserve"> i </w:t>
      </w:r>
      <w:r w:rsidR="00234E5B" w:rsidRPr="00DC3B3D">
        <w:rPr>
          <w:rFonts w:ascii="Times New Roman" w:hAnsi="Times New Roman" w:cs="Times New Roman"/>
          <w:b/>
        </w:rPr>
        <w:t>trybu procedowania tych wniosków,</w:t>
      </w:r>
      <w:r w:rsidR="003E15D8" w:rsidRPr="00DC3B3D">
        <w:rPr>
          <w:rFonts w:ascii="Times New Roman" w:hAnsi="Times New Roman" w:cs="Times New Roman"/>
          <w:b/>
        </w:rPr>
        <w:t xml:space="preserve"> a </w:t>
      </w:r>
      <w:r w:rsidR="00234E5B" w:rsidRPr="00DC3B3D">
        <w:rPr>
          <w:rFonts w:ascii="Times New Roman" w:hAnsi="Times New Roman" w:cs="Times New Roman"/>
          <w:b/>
        </w:rPr>
        <w:t>także określenia szczegółowych warunków realizacji uprawnienia do wyboru dostawcy usług komunikacji głosowej</w:t>
      </w:r>
      <w:r w:rsidR="00234E5B" w:rsidRPr="00DC3B3D">
        <w:rPr>
          <w:rFonts w:ascii="Times New Roman" w:hAnsi="Times New Roman" w:cs="Times New Roman"/>
          <w:b/>
          <w:bCs/>
        </w:rPr>
        <w:t xml:space="preserve"> </w:t>
      </w:r>
      <w:r w:rsidR="006F65E2" w:rsidRPr="00DC3B3D">
        <w:rPr>
          <w:rStyle w:val="normaltextrun"/>
          <w:rFonts w:ascii="Times New Roman" w:eastAsiaTheme="majorEastAsia" w:hAnsi="Times New Roman" w:cs="Times New Roman"/>
          <w:b/>
          <w:bCs/>
        </w:rPr>
        <w:t xml:space="preserve">(WPL MC </w:t>
      </w:r>
      <w:r w:rsidR="00234E5B" w:rsidRPr="00DC3B3D">
        <w:rPr>
          <w:rStyle w:val="normaltextrun"/>
          <w:rFonts w:ascii="Times New Roman" w:eastAsiaTheme="majorEastAsia" w:hAnsi="Times New Roman" w:cs="Times New Roman"/>
          <w:b/>
          <w:bCs/>
        </w:rPr>
        <w:t>47</w:t>
      </w:r>
      <w:r w:rsidR="006F65E2" w:rsidRPr="00DC3B3D">
        <w:rPr>
          <w:rStyle w:val="normaltextrun"/>
          <w:rFonts w:ascii="Times New Roman" w:eastAsiaTheme="majorEastAsia" w:hAnsi="Times New Roman" w:cs="Times New Roman"/>
          <w:b/>
          <w:bCs/>
        </w:rPr>
        <w:t>)</w:t>
      </w:r>
    </w:p>
    <w:p w14:paraId="117FBC96" w14:textId="77777777" w:rsidR="009E0F60" w:rsidRPr="00DC3B3D" w:rsidRDefault="009E0F60" w:rsidP="00072FBB">
      <w:pPr>
        <w:spacing w:before="0" w:after="0" w:line="240" w:lineRule="auto"/>
        <w:contextualSpacing/>
        <w:jc w:val="both"/>
        <w:rPr>
          <w:rFonts w:ascii="Times New Roman" w:hAnsi="Times New Roman" w:cs="Times New Roman"/>
        </w:rPr>
      </w:pPr>
    </w:p>
    <w:tbl>
      <w:tblPr>
        <w:tblW w:w="13633" w:type="dxa"/>
        <w:tblInd w:w="-171" w:type="dxa"/>
        <w:tblLayout w:type="fixed"/>
        <w:tblCellMar>
          <w:top w:w="113" w:type="dxa"/>
          <w:left w:w="113" w:type="dxa"/>
          <w:bottom w:w="113" w:type="dxa"/>
          <w:right w:w="113" w:type="dxa"/>
        </w:tblCellMar>
        <w:tblLook w:val="04A0" w:firstRow="1" w:lastRow="0" w:firstColumn="1" w:lastColumn="0" w:noHBand="0" w:noVBand="1"/>
      </w:tblPr>
      <w:tblGrid>
        <w:gridCol w:w="733"/>
        <w:gridCol w:w="1114"/>
        <w:gridCol w:w="1580"/>
        <w:gridCol w:w="7024"/>
        <w:gridCol w:w="3114"/>
        <w:gridCol w:w="25"/>
        <w:gridCol w:w="43"/>
      </w:tblGrid>
      <w:tr w:rsidR="009E0F60" w:rsidRPr="00DC3B3D" w14:paraId="117FBC9C" w14:textId="21BD2A86" w:rsidTr="00B15734">
        <w:trPr>
          <w:gridAfter w:val="2"/>
          <w:wAfter w:w="68" w:type="dxa"/>
          <w:cantSplit/>
          <w:trHeight w:val="1126"/>
        </w:trPr>
        <w:tc>
          <w:tcPr>
            <w:tcW w:w="733" w:type="dxa"/>
            <w:tcBorders>
              <w:top w:val="single" w:sz="4" w:space="0" w:color="000000" w:themeColor="text1"/>
              <w:left w:val="single" w:sz="4" w:space="0" w:color="000000" w:themeColor="text1"/>
              <w:bottom w:val="single" w:sz="4" w:space="0" w:color="auto"/>
              <w:right w:val="nil"/>
            </w:tcBorders>
            <w:shd w:val="clear" w:color="auto" w:fill="D9D9D9" w:themeFill="background1" w:themeFillShade="D9"/>
            <w:vAlign w:val="center"/>
            <w:hideMark/>
          </w:tcPr>
          <w:p w14:paraId="117FBC97" w14:textId="1F9DC418" w:rsidR="009E0F60" w:rsidRPr="00DC3B3D" w:rsidRDefault="00177EF3" w:rsidP="00072FBB">
            <w:pPr>
              <w:snapToGrid w:val="0"/>
              <w:spacing w:before="0" w:after="0" w:line="240" w:lineRule="auto"/>
              <w:jc w:val="center"/>
              <w:rPr>
                <w:rFonts w:ascii="Times New Roman" w:hAnsi="Times New Roman" w:cs="Times New Roman"/>
                <w:b/>
              </w:rPr>
            </w:pPr>
            <w:r w:rsidRPr="00DC3B3D">
              <w:rPr>
                <w:rFonts w:ascii="Times New Roman" w:hAnsi="Times New Roman" w:cs="Times New Roman"/>
                <w:b/>
              </w:rPr>
              <w:t>Lp.</w:t>
            </w:r>
          </w:p>
        </w:tc>
        <w:tc>
          <w:tcPr>
            <w:tcW w:w="1114" w:type="dxa"/>
            <w:tcBorders>
              <w:top w:val="single" w:sz="4" w:space="0" w:color="000000" w:themeColor="text1"/>
              <w:left w:val="single" w:sz="4" w:space="0" w:color="000000" w:themeColor="text1"/>
              <w:bottom w:val="single" w:sz="4" w:space="0" w:color="auto"/>
              <w:right w:val="nil"/>
            </w:tcBorders>
            <w:shd w:val="clear" w:color="auto" w:fill="D9D9D9" w:themeFill="background1" w:themeFillShade="D9"/>
            <w:vAlign w:val="center"/>
            <w:hideMark/>
          </w:tcPr>
          <w:p w14:paraId="117FBC98" w14:textId="77C07EBC" w:rsidR="009E0F60" w:rsidRPr="00DC3B3D" w:rsidRDefault="00CF788A" w:rsidP="00072FBB">
            <w:pPr>
              <w:snapToGrid w:val="0"/>
              <w:spacing w:before="0" w:after="0" w:line="240" w:lineRule="auto"/>
              <w:jc w:val="center"/>
              <w:rPr>
                <w:rFonts w:ascii="Times New Roman" w:hAnsi="Times New Roman" w:cs="Times New Roman"/>
                <w:b/>
              </w:rPr>
            </w:pPr>
            <w:r w:rsidRPr="00DC3B3D">
              <w:rPr>
                <w:rFonts w:ascii="Times New Roman" w:hAnsi="Times New Roman" w:cs="Times New Roman"/>
                <w:b/>
              </w:rPr>
              <w:t>Jedn</w:t>
            </w:r>
            <w:r w:rsidR="00231B5C" w:rsidRPr="00DC3B3D">
              <w:rPr>
                <w:rFonts w:ascii="Times New Roman" w:hAnsi="Times New Roman" w:cs="Times New Roman"/>
                <w:b/>
              </w:rPr>
              <w:t>.</w:t>
            </w:r>
            <w:r w:rsidRPr="00DC3B3D">
              <w:rPr>
                <w:rFonts w:ascii="Times New Roman" w:hAnsi="Times New Roman" w:cs="Times New Roman"/>
                <w:b/>
              </w:rPr>
              <w:t xml:space="preserve"> red</w:t>
            </w:r>
            <w:r w:rsidR="00231B5C" w:rsidRPr="00DC3B3D">
              <w:rPr>
                <w:rFonts w:ascii="Times New Roman" w:hAnsi="Times New Roman" w:cs="Times New Roman"/>
                <w:b/>
              </w:rPr>
              <w:t>. projektu</w:t>
            </w:r>
            <w:r w:rsidRPr="00DC3B3D">
              <w:rPr>
                <w:rFonts w:ascii="Times New Roman" w:hAnsi="Times New Roman" w:cs="Times New Roman"/>
                <w:b/>
              </w:rPr>
              <w:t xml:space="preserve"> </w:t>
            </w:r>
          </w:p>
        </w:tc>
        <w:tc>
          <w:tcPr>
            <w:tcW w:w="1580" w:type="dxa"/>
            <w:tcBorders>
              <w:top w:val="single" w:sz="4" w:space="0" w:color="000000" w:themeColor="text1"/>
              <w:left w:val="single" w:sz="4" w:space="0" w:color="000000" w:themeColor="text1"/>
              <w:bottom w:val="single" w:sz="4" w:space="0" w:color="auto"/>
              <w:right w:val="nil"/>
            </w:tcBorders>
            <w:shd w:val="clear" w:color="auto" w:fill="D9D9D9" w:themeFill="background1" w:themeFillShade="D9"/>
            <w:vAlign w:val="center"/>
            <w:hideMark/>
          </w:tcPr>
          <w:p w14:paraId="117FBC99" w14:textId="68ECA44C" w:rsidR="009E0F60" w:rsidRPr="00DC3B3D" w:rsidRDefault="00177EF3" w:rsidP="00072FBB">
            <w:pPr>
              <w:snapToGrid w:val="0"/>
              <w:spacing w:before="0" w:after="0" w:line="240" w:lineRule="auto"/>
              <w:jc w:val="center"/>
              <w:rPr>
                <w:rFonts w:ascii="Times New Roman" w:hAnsi="Times New Roman" w:cs="Times New Roman"/>
                <w:b/>
              </w:rPr>
            </w:pPr>
            <w:r w:rsidRPr="00DC3B3D">
              <w:rPr>
                <w:rFonts w:ascii="Times New Roman" w:hAnsi="Times New Roman" w:cs="Times New Roman"/>
                <w:b/>
              </w:rPr>
              <w:t>Podmiot z</w:t>
            </w:r>
            <w:r w:rsidR="00CF788A" w:rsidRPr="00DC3B3D">
              <w:rPr>
                <w:rFonts w:ascii="Times New Roman" w:hAnsi="Times New Roman" w:cs="Times New Roman"/>
                <w:b/>
              </w:rPr>
              <w:t>głaszający</w:t>
            </w:r>
            <w:r w:rsidR="00231B5C" w:rsidRPr="00DC3B3D">
              <w:rPr>
                <w:rFonts w:ascii="Times New Roman" w:hAnsi="Times New Roman" w:cs="Times New Roman"/>
                <w:b/>
              </w:rPr>
              <w:t xml:space="preserve"> uwagę</w:t>
            </w:r>
          </w:p>
        </w:tc>
        <w:tc>
          <w:tcPr>
            <w:tcW w:w="7024" w:type="dxa"/>
            <w:tcBorders>
              <w:top w:val="single" w:sz="4" w:space="0" w:color="000000" w:themeColor="text1"/>
              <w:left w:val="single" w:sz="4" w:space="0" w:color="000000" w:themeColor="text1"/>
              <w:bottom w:val="single" w:sz="4" w:space="0" w:color="auto"/>
              <w:right w:val="nil"/>
            </w:tcBorders>
            <w:shd w:val="clear" w:color="auto" w:fill="D9D9D9" w:themeFill="background1" w:themeFillShade="D9"/>
            <w:vAlign w:val="center"/>
            <w:hideMark/>
          </w:tcPr>
          <w:p w14:paraId="117FBC9A" w14:textId="77777777" w:rsidR="009E0F60" w:rsidRPr="00DC3B3D" w:rsidRDefault="00CF788A" w:rsidP="00072FBB">
            <w:pPr>
              <w:tabs>
                <w:tab w:val="left" w:pos="2076"/>
              </w:tabs>
              <w:snapToGrid w:val="0"/>
              <w:spacing w:before="0" w:after="0" w:line="240" w:lineRule="auto"/>
              <w:jc w:val="center"/>
              <w:rPr>
                <w:rFonts w:ascii="Times New Roman" w:hAnsi="Times New Roman" w:cs="Times New Roman"/>
                <w:b/>
              </w:rPr>
            </w:pPr>
            <w:r w:rsidRPr="00DC3B3D">
              <w:rPr>
                <w:rFonts w:ascii="Times New Roman" w:hAnsi="Times New Roman" w:cs="Times New Roman"/>
                <w:b/>
              </w:rPr>
              <w:t>Treść uwagi</w:t>
            </w:r>
          </w:p>
        </w:tc>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117FBC9B" w14:textId="109269BD" w:rsidR="009E0F60" w:rsidRPr="00DC3B3D" w:rsidRDefault="00CF788A" w:rsidP="00072FBB">
            <w:pPr>
              <w:snapToGrid w:val="0"/>
              <w:spacing w:before="0" w:after="0" w:line="240" w:lineRule="auto"/>
              <w:jc w:val="center"/>
              <w:rPr>
                <w:rFonts w:ascii="Times New Roman" w:hAnsi="Times New Roman" w:cs="Times New Roman"/>
                <w:b/>
              </w:rPr>
            </w:pPr>
            <w:r w:rsidRPr="00DC3B3D">
              <w:rPr>
                <w:rFonts w:ascii="Times New Roman" w:hAnsi="Times New Roman" w:cs="Times New Roman"/>
                <w:b/>
              </w:rPr>
              <w:t>Stanowisko M</w:t>
            </w:r>
            <w:r w:rsidR="006F65E2" w:rsidRPr="00DC3B3D">
              <w:rPr>
                <w:rFonts w:ascii="Times New Roman" w:hAnsi="Times New Roman" w:cs="Times New Roman"/>
                <w:b/>
              </w:rPr>
              <w:t>inistra Cyfryzacji</w:t>
            </w:r>
          </w:p>
        </w:tc>
      </w:tr>
      <w:tr w:rsidR="009E0F60" w:rsidRPr="00DC3B3D" w14:paraId="117FBCE4" w14:textId="16D9986D" w:rsidTr="003E15D8">
        <w:trPr>
          <w:gridAfter w:val="2"/>
          <w:wAfter w:w="68" w:type="dxa"/>
          <w:trHeight w:val="312"/>
        </w:trPr>
        <w:tc>
          <w:tcPr>
            <w:tcW w:w="135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7FBCE3" w14:textId="7576E85B" w:rsidR="009E0F60" w:rsidRPr="00DC3B3D" w:rsidRDefault="00B85E97" w:rsidP="00072FBB">
            <w:pPr>
              <w:pStyle w:val="Nagwek"/>
              <w:spacing w:before="0" w:after="0" w:line="240" w:lineRule="auto"/>
              <w:jc w:val="center"/>
              <w:rPr>
                <w:rFonts w:ascii="Times New Roman" w:hAnsi="Times New Roman" w:cs="Times New Roman"/>
                <w:sz w:val="20"/>
                <w:szCs w:val="20"/>
              </w:rPr>
            </w:pPr>
            <w:r w:rsidRPr="00DC3B3D">
              <w:rPr>
                <w:rFonts w:ascii="Times New Roman" w:hAnsi="Times New Roman" w:cs="Times New Roman"/>
                <w:b/>
                <w:sz w:val="20"/>
                <w:szCs w:val="20"/>
              </w:rPr>
              <w:t>UWAGI OGÓLNE DO PROJEKTU</w:t>
            </w:r>
          </w:p>
        </w:tc>
      </w:tr>
      <w:tr w:rsidR="007B0C51" w:rsidRPr="00DC3B3D" w14:paraId="5F821A89"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21A6C112" w14:textId="77777777" w:rsidR="007B0C51" w:rsidRPr="00DC3B3D" w:rsidRDefault="007B0C51"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15499021" w14:textId="2ECAF4C0" w:rsidR="007B0C51" w:rsidRPr="00DC3B3D" w:rsidRDefault="007B0C51" w:rsidP="00072FBB">
            <w:pPr>
              <w:spacing w:before="0" w:after="0" w:line="240" w:lineRule="auto"/>
              <w:jc w:val="both"/>
              <w:rPr>
                <w:rFonts w:ascii="Times New Roman" w:hAnsi="Times New Roman" w:cs="Times New Roman"/>
              </w:rPr>
            </w:pPr>
          </w:p>
        </w:tc>
        <w:tc>
          <w:tcPr>
            <w:tcW w:w="1580" w:type="dxa"/>
            <w:tcBorders>
              <w:top w:val="single" w:sz="4" w:space="0" w:color="auto"/>
              <w:left w:val="single" w:sz="4" w:space="0" w:color="auto"/>
              <w:bottom w:val="single" w:sz="4" w:space="0" w:color="auto"/>
              <w:right w:val="single" w:sz="4" w:space="0" w:color="auto"/>
            </w:tcBorders>
          </w:tcPr>
          <w:p w14:paraId="422B0B7E" w14:textId="714AEAC7" w:rsidR="007B0C51"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0026640D" w:rsidRPr="00DC3B3D">
              <w:rPr>
                <w:rFonts w:ascii="Times New Roman" w:hAnsi="Times New Roman" w:cs="Times New Roman"/>
                <w:b/>
                <w:bCs/>
                <w:color w:val="000000"/>
              </w:rPr>
              <w:t>Urz</w:t>
            </w:r>
            <w:r>
              <w:rPr>
                <w:rFonts w:ascii="Times New Roman" w:hAnsi="Times New Roman" w:cs="Times New Roman"/>
                <w:b/>
                <w:bCs/>
                <w:color w:val="000000"/>
              </w:rPr>
              <w:t>ę</w:t>
            </w:r>
            <w:r w:rsidR="0026640D" w:rsidRPr="00DC3B3D">
              <w:rPr>
                <w:rFonts w:ascii="Times New Roman" w:hAnsi="Times New Roman" w:cs="Times New Roman"/>
                <w:b/>
                <w:bCs/>
                <w:color w:val="000000"/>
              </w:rPr>
              <w:t>d</w:t>
            </w:r>
            <w:r>
              <w:rPr>
                <w:rFonts w:ascii="Times New Roman" w:hAnsi="Times New Roman" w:cs="Times New Roman"/>
                <w:b/>
                <w:bCs/>
                <w:color w:val="000000"/>
              </w:rPr>
              <w:t>u</w:t>
            </w:r>
            <w:r w:rsidR="0026640D"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689B9759" w14:textId="529611BE" w:rsidR="007B0C51" w:rsidRPr="00DC3B3D" w:rsidRDefault="0026640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Projektowana regulacja wydaje się wykonywać upoważnienie ustawowe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zakresie określenia trybu procedowania wniosków</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sposób niekompletny.</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przypadku wniosków dotyczących zachowania ciągłości świadczenia usługi dostępu do internetu oraz przeniesienia numeru przy zmianie dostawcy usługi komunikacji elektronicznej projekt określa terminy ich rozpatrzenia odpowiednio</w:t>
            </w:r>
            <w:r w:rsidR="003E15D8" w:rsidRPr="00DC3B3D">
              <w:rPr>
                <w:rFonts w:ascii="Times New Roman" w:hAnsi="Times New Roman" w:cs="Times New Roman"/>
                <w:sz w:val="20"/>
                <w:szCs w:val="20"/>
              </w:rPr>
              <w:t xml:space="preserve"> w § 5 i § </w:t>
            </w:r>
            <w:r w:rsidRPr="00DC3B3D">
              <w:rPr>
                <w:rFonts w:ascii="Times New Roman" w:hAnsi="Times New Roman" w:cs="Times New Roman"/>
                <w:sz w:val="20"/>
                <w:szCs w:val="20"/>
              </w:rPr>
              <w:t>18. Natomiast</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odniesieniu do wniosków dotyczących zapewnienia bezpłatnego dostępu do poczty elektronicznej,</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8 ust.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1 </w:t>
            </w:r>
            <w:r w:rsidRPr="00DC3B3D">
              <w:rPr>
                <w:rFonts w:ascii="Times New Roman" w:hAnsi="Times New Roman" w:cs="Times New Roman"/>
                <w:sz w:val="20"/>
                <w:szCs w:val="20"/>
              </w:rPr>
              <w:t>ustawy</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dnia 1</w:t>
            </w:r>
            <w:r w:rsidR="003E15D8" w:rsidRPr="00DC3B3D">
              <w:rPr>
                <w:rFonts w:ascii="Times New Roman" w:hAnsi="Times New Roman" w:cs="Times New Roman"/>
                <w:sz w:val="20"/>
                <w:szCs w:val="20"/>
              </w:rPr>
              <w:t>2 </w:t>
            </w:r>
            <w:r w:rsidRPr="00DC3B3D">
              <w:rPr>
                <w:rFonts w:ascii="Times New Roman" w:hAnsi="Times New Roman" w:cs="Times New Roman"/>
                <w:sz w:val="20"/>
                <w:szCs w:val="20"/>
              </w:rPr>
              <w:t>lipca 202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 xml:space="preserve">r. </w:t>
            </w:r>
            <w:r w:rsidR="003E15D8" w:rsidRPr="00DC3B3D">
              <w:rPr>
                <w:rFonts w:ascii="Times New Roman" w:hAnsi="Times New Roman" w:cs="Times New Roman"/>
                <w:sz w:val="20"/>
                <w:szCs w:val="20"/>
              </w:rPr>
              <w:noBreakHyphen/>
              <w:t xml:space="preserve"> </w:t>
            </w:r>
            <w:r w:rsidRPr="00DC3B3D">
              <w:rPr>
                <w:rFonts w:ascii="Times New Roman" w:hAnsi="Times New Roman" w:cs="Times New Roman"/>
                <w:sz w:val="20"/>
                <w:szCs w:val="20"/>
              </w:rPr>
              <w:t>Prawo komunikacji elektronicznej (dalej „PKE”), zmiany numeru ze względu na uciążliwość korzystania</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niego,</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której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3 </w:t>
            </w:r>
            <w:r w:rsidRPr="00DC3B3D">
              <w:rPr>
                <w:rFonts w:ascii="Times New Roman" w:hAnsi="Times New Roman" w:cs="Times New Roman"/>
                <w:sz w:val="20"/>
                <w:szCs w:val="20"/>
              </w:rPr>
              <w:t>PKE, oraz przeniesienia numeru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związku ze zmianą miejsca zamieszkania, siedziby lub miejsca wykonywania działalności,</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PKE, projektowane</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7–1</w:t>
            </w:r>
            <w:r w:rsidR="003E15D8" w:rsidRPr="00DC3B3D">
              <w:rPr>
                <w:rFonts w:ascii="Times New Roman" w:hAnsi="Times New Roman" w:cs="Times New Roman"/>
                <w:sz w:val="20"/>
                <w:szCs w:val="20"/>
              </w:rPr>
              <w:t>5 </w:t>
            </w:r>
            <w:r w:rsidRPr="00DC3B3D">
              <w:rPr>
                <w:rFonts w:ascii="Times New Roman" w:hAnsi="Times New Roman" w:cs="Times New Roman"/>
                <w:sz w:val="20"/>
                <w:szCs w:val="20"/>
              </w:rPr>
              <w:t xml:space="preserve">nie określają terminów rozpatrzenia wniosków. </w:t>
            </w:r>
          </w:p>
          <w:p w14:paraId="04663A1A" w14:textId="77777777" w:rsidR="002641DA" w:rsidRPr="00DC3B3D" w:rsidRDefault="002641DA" w:rsidP="00072FBB">
            <w:pPr>
              <w:pStyle w:val="Default"/>
              <w:jc w:val="both"/>
              <w:rPr>
                <w:rFonts w:ascii="Times New Roman" w:hAnsi="Times New Roman" w:cs="Times New Roman"/>
                <w:sz w:val="20"/>
                <w:szCs w:val="20"/>
              </w:rPr>
            </w:pPr>
          </w:p>
          <w:p w14:paraId="0864C1E2" w14:textId="7D6CF67B" w:rsidR="002641DA" w:rsidRPr="00DC3B3D" w:rsidDel="00F61633" w:rsidRDefault="002641DA"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Regulacja ogranicza się</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tych przypadkach zasadniczo do określenia dodatkowych informacji wymaganych we wniosku, obowiązku przekazania abonentowi informacji</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przyjęciu wniosku oraz obowiązku niezwłocznego zawiadomienia go</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pozytywnym rozpatrzeniu wniosku. Należy jednakże zaznaczyć, że określenie terminu zawiadomienia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wyniku postępowania nie zastępuje określenia terminu,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którym wniosek powinien zostać rozpatrzony. Powstaje zatem wątpliwość, czy projektowana regulacja może zostać uznana za wyczerpujące określenie „trybu procedowania wniosków”, wymagane przez</w:t>
            </w:r>
            <w:r w:rsidR="003E15D8" w:rsidRPr="00DC3B3D">
              <w:rPr>
                <w:rFonts w:ascii="Times New Roman" w:hAnsi="Times New Roman" w:cs="Times New Roman"/>
                <w:sz w:val="20"/>
                <w:szCs w:val="20"/>
              </w:rPr>
              <w:t xml:space="preserve"> art. </w:t>
            </w:r>
            <w:r w:rsidRPr="00DC3B3D">
              <w:rPr>
                <w:rFonts w:ascii="Times New Roman" w:hAnsi="Times New Roman" w:cs="Times New Roman"/>
                <w:sz w:val="20"/>
                <w:szCs w:val="20"/>
              </w:rPr>
              <w:t>33</w:t>
            </w:r>
            <w:r w:rsidR="003E15D8" w:rsidRPr="00DC3B3D">
              <w:rPr>
                <w:rFonts w:ascii="Times New Roman" w:hAnsi="Times New Roman" w:cs="Times New Roman"/>
                <w:sz w:val="20"/>
                <w:szCs w:val="20"/>
              </w:rPr>
              <w:t>0 ust. 6 </w:t>
            </w:r>
            <w:r w:rsidRPr="00DC3B3D">
              <w:rPr>
                <w:rFonts w:ascii="Times New Roman" w:hAnsi="Times New Roman" w:cs="Times New Roman"/>
                <w:sz w:val="20"/>
                <w:szCs w:val="20"/>
              </w:rPr>
              <w:t>PKE. Wobec powyższego proponuje się uzupełnienie projektu</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terminy rozpatrzenia wskazanych kategorii wniosków.</w:t>
            </w:r>
          </w:p>
        </w:tc>
        <w:tc>
          <w:tcPr>
            <w:tcW w:w="3114" w:type="dxa"/>
            <w:tcBorders>
              <w:top w:val="single" w:sz="4" w:space="0" w:color="auto"/>
              <w:left w:val="single" w:sz="4" w:space="0" w:color="auto"/>
              <w:bottom w:val="single" w:sz="4" w:space="0" w:color="auto"/>
              <w:right w:val="single" w:sz="4" w:space="0" w:color="auto"/>
            </w:tcBorders>
          </w:tcPr>
          <w:p w14:paraId="211AC2F6" w14:textId="7152D0A3" w:rsidR="00A24800" w:rsidRPr="00DC3B3D" w:rsidRDefault="0A305154" w:rsidP="00072FBB">
            <w:pPr>
              <w:spacing w:before="0" w:after="0" w:line="240" w:lineRule="auto"/>
              <w:jc w:val="both"/>
              <w:rPr>
                <w:rFonts w:ascii="Times New Roman" w:hAnsi="Times New Roman" w:cs="Times New Roman"/>
                <w:b/>
                <w:bCs/>
                <w:color w:val="000000" w:themeColor="text1"/>
              </w:rPr>
            </w:pPr>
            <w:r w:rsidRPr="00DC3B3D">
              <w:rPr>
                <w:rFonts w:ascii="Times New Roman" w:hAnsi="Times New Roman" w:cs="Times New Roman"/>
                <w:b/>
                <w:bCs/>
                <w:color w:val="000000" w:themeColor="text1"/>
              </w:rPr>
              <w:t xml:space="preserve">Uwaga </w:t>
            </w:r>
            <w:r w:rsidR="23505B65" w:rsidRPr="00DC3B3D">
              <w:rPr>
                <w:rFonts w:ascii="Times New Roman" w:hAnsi="Times New Roman" w:cs="Times New Roman"/>
                <w:b/>
                <w:bCs/>
                <w:color w:val="000000" w:themeColor="text1"/>
              </w:rPr>
              <w:t>częściowo</w:t>
            </w:r>
            <w:r w:rsidR="7D82A16D" w:rsidRPr="00DC3B3D">
              <w:rPr>
                <w:rFonts w:ascii="Times New Roman" w:hAnsi="Times New Roman" w:cs="Times New Roman"/>
                <w:b/>
                <w:bCs/>
                <w:color w:val="000000" w:themeColor="text1"/>
              </w:rPr>
              <w:t xml:space="preserve"> </w:t>
            </w:r>
            <w:r w:rsidRPr="00DC3B3D">
              <w:rPr>
                <w:rFonts w:ascii="Times New Roman" w:hAnsi="Times New Roman" w:cs="Times New Roman"/>
                <w:b/>
                <w:bCs/>
                <w:color w:val="000000" w:themeColor="text1"/>
              </w:rPr>
              <w:t>uwzględniona</w:t>
            </w:r>
          </w:p>
          <w:p w14:paraId="4F8FA6AD" w14:textId="2858DAC4" w:rsidR="00A24800" w:rsidRPr="00DC3B3D" w:rsidRDefault="4E5D7E2D" w:rsidP="00072FBB">
            <w:pPr>
              <w:spacing w:before="0" w:after="0" w:line="240" w:lineRule="auto"/>
              <w:jc w:val="both"/>
              <w:rPr>
                <w:rFonts w:ascii="Times New Roman" w:hAnsi="Times New Roman" w:cs="Times New Roman"/>
                <w:color w:val="000000" w:themeColor="text1"/>
              </w:rPr>
            </w:pPr>
            <w:r w:rsidRPr="00DC3B3D">
              <w:rPr>
                <w:rFonts w:ascii="Times New Roman" w:hAnsi="Times New Roman" w:cs="Times New Roman"/>
                <w:color w:val="000000" w:themeColor="text1"/>
              </w:rPr>
              <w:t xml:space="preserve">Projekt </w:t>
            </w:r>
            <w:r w:rsidR="6FEF8615" w:rsidRPr="00DC3B3D">
              <w:rPr>
                <w:rFonts w:ascii="Times New Roman" w:hAnsi="Times New Roman" w:cs="Times New Roman"/>
                <w:color w:val="000000" w:themeColor="text1"/>
              </w:rPr>
              <w:t>rozporządzenia</w:t>
            </w:r>
            <w:r w:rsidRPr="00DC3B3D">
              <w:rPr>
                <w:rFonts w:ascii="Times New Roman" w:hAnsi="Times New Roman" w:cs="Times New Roman"/>
                <w:color w:val="000000" w:themeColor="text1"/>
              </w:rPr>
              <w:t xml:space="preserve"> został przygotowany na podstawie </w:t>
            </w:r>
            <w:r w:rsidR="224D3168" w:rsidRPr="00DC3B3D">
              <w:rPr>
                <w:rFonts w:ascii="Times New Roman" w:hAnsi="Times New Roman" w:cs="Times New Roman"/>
                <w:color w:val="000000" w:themeColor="text1"/>
              </w:rPr>
              <w:t>u</w:t>
            </w:r>
            <w:r w:rsidR="1E4F6C09" w:rsidRPr="00DC3B3D">
              <w:rPr>
                <w:rFonts w:ascii="Times New Roman" w:hAnsi="Times New Roman" w:cs="Times New Roman"/>
                <w:color w:val="000000" w:themeColor="text1"/>
              </w:rPr>
              <w:t>poważnieni</w:t>
            </w:r>
            <w:r w:rsidR="086355FE" w:rsidRPr="00DC3B3D">
              <w:rPr>
                <w:rFonts w:ascii="Times New Roman" w:hAnsi="Times New Roman" w:cs="Times New Roman"/>
                <w:color w:val="000000" w:themeColor="text1"/>
              </w:rPr>
              <w:t>a</w:t>
            </w:r>
            <w:r w:rsidR="1E4F6C09" w:rsidRPr="00DC3B3D">
              <w:rPr>
                <w:rFonts w:ascii="Times New Roman" w:hAnsi="Times New Roman" w:cs="Times New Roman"/>
                <w:color w:val="000000" w:themeColor="text1"/>
              </w:rPr>
              <w:t xml:space="preserve"> ustawowe</w:t>
            </w:r>
            <w:r w:rsidR="50F36A04" w:rsidRPr="00DC3B3D">
              <w:rPr>
                <w:rFonts w:ascii="Times New Roman" w:hAnsi="Times New Roman" w:cs="Times New Roman"/>
                <w:color w:val="000000" w:themeColor="text1"/>
              </w:rPr>
              <w:t>go</w:t>
            </w:r>
            <w:r w:rsidR="003E15D8" w:rsidRPr="00DC3B3D">
              <w:rPr>
                <w:rFonts w:ascii="Times New Roman" w:hAnsi="Times New Roman" w:cs="Times New Roman"/>
                <w:color w:val="000000" w:themeColor="text1"/>
              </w:rPr>
              <w:t xml:space="preserve"> i </w:t>
            </w:r>
            <w:r w:rsidR="12A04D5E" w:rsidRPr="00DC3B3D">
              <w:rPr>
                <w:rFonts w:ascii="Times New Roman" w:hAnsi="Times New Roman" w:cs="Times New Roman"/>
                <w:color w:val="000000" w:themeColor="text1"/>
              </w:rPr>
              <w:t>sprawdzony</w:t>
            </w:r>
            <w:r w:rsidR="1E4F6C09" w:rsidRPr="00DC3B3D">
              <w:rPr>
                <w:rFonts w:ascii="Times New Roman" w:hAnsi="Times New Roman" w:cs="Times New Roman"/>
                <w:color w:val="000000" w:themeColor="text1"/>
              </w:rPr>
              <w:t xml:space="preserve"> pod kątem legislacyjnym</w:t>
            </w:r>
            <w:r w:rsidR="1E6FB214" w:rsidRPr="00DC3B3D">
              <w:rPr>
                <w:rFonts w:ascii="Times New Roman" w:hAnsi="Times New Roman" w:cs="Times New Roman"/>
                <w:color w:val="000000" w:themeColor="text1"/>
              </w:rPr>
              <w:t>.</w:t>
            </w:r>
          </w:p>
          <w:p w14:paraId="1C486F76" w14:textId="77777777" w:rsidR="00FA60A5" w:rsidRPr="00DC3B3D" w:rsidRDefault="00FA60A5" w:rsidP="00072FBB">
            <w:pPr>
              <w:spacing w:before="0" w:after="0" w:line="240" w:lineRule="auto"/>
              <w:jc w:val="both"/>
              <w:rPr>
                <w:rFonts w:ascii="Times New Roman" w:hAnsi="Times New Roman" w:cs="Times New Roman"/>
                <w:color w:val="000000"/>
              </w:rPr>
            </w:pPr>
          </w:p>
          <w:p w14:paraId="1C6EBE2A" w14:textId="37C9F2B1" w:rsidR="00FA60A5" w:rsidRPr="00DC3B3D" w:rsidDel="00F61633" w:rsidRDefault="41F099A2" w:rsidP="00072FBB">
            <w:pPr>
              <w:spacing w:before="0" w:after="0" w:line="240" w:lineRule="auto"/>
              <w:jc w:val="both"/>
              <w:rPr>
                <w:rFonts w:ascii="Times New Roman" w:hAnsi="Times New Roman" w:cs="Times New Roman"/>
                <w:color w:val="000000" w:themeColor="text1"/>
              </w:rPr>
            </w:pPr>
            <w:r w:rsidRPr="00DC3B3D">
              <w:rPr>
                <w:rFonts w:ascii="Times New Roman" w:hAnsi="Times New Roman" w:cs="Times New Roman"/>
                <w:color w:val="000000" w:themeColor="text1"/>
              </w:rPr>
              <w:t xml:space="preserve">W zakresie </w:t>
            </w:r>
            <w:r w:rsidR="765B1C8D" w:rsidRPr="00DC3B3D">
              <w:rPr>
                <w:rFonts w:ascii="Times New Roman" w:hAnsi="Times New Roman" w:cs="Times New Roman"/>
                <w:color w:val="000000" w:themeColor="text1"/>
              </w:rPr>
              <w:t xml:space="preserve">uwagi dotyczącej </w:t>
            </w:r>
            <w:r w:rsidR="1E4F6C09" w:rsidRPr="00DC3B3D">
              <w:rPr>
                <w:rFonts w:ascii="Times New Roman" w:hAnsi="Times New Roman" w:cs="Times New Roman"/>
                <w:color w:val="000000" w:themeColor="text1"/>
              </w:rPr>
              <w:t>termin</w:t>
            </w:r>
            <w:r w:rsidR="4274B2A8" w:rsidRPr="00DC3B3D">
              <w:rPr>
                <w:rFonts w:ascii="Times New Roman" w:hAnsi="Times New Roman" w:cs="Times New Roman"/>
                <w:color w:val="000000" w:themeColor="text1"/>
              </w:rPr>
              <w:t>ów</w:t>
            </w:r>
            <w:r w:rsidR="1E4F6C09" w:rsidRPr="00DC3B3D">
              <w:rPr>
                <w:rFonts w:ascii="Times New Roman" w:hAnsi="Times New Roman" w:cs="Times New Roman"/>
                <w:color w:val="000000" w:themeColor="text1"/>
              </w:rPr>
              <w:t xml:space="preserve"> na rozpatrzenie </w:t>
            </w:r>
            <w:r w:rsidR="3DCA4496" w:rsidRPr="00DC3B3D">
              <w:rPr>
                <w:rFonts w:ascii="Times New Roman" w:hAnsi="Times New Roman" w:cs="Times New Roman"/>
                <w:color w:val="000000" w:themeColor="text1"/>
              </w:rPr>
              <w:t>wskaz</w:t>
            </w:r>
            <w:r w:rsidR="5EE1CE31" w:rsidRPr="00DC3B3D">
              <w:rPr>
                <w:rFonts w:ascii="Times New Roman" w:hAnsi="Times New Roman" w:cs="Times New Roman"/>
                <w:color w:val="000000" w:themeColor="text1"/>
              </w:rPr>
              <w:t>a</w:t>
            </w:r>
            <w:r w:rsidR="3DCA4496" w:rsidRPr="00DC3B3D">
              <w:rPr>
                <w:rFonts w:ascii="Times New Roman" w:hAnsi="Times New Roman" w:cs="Times New Roman"/>
                <w:color w:val="000000" w:themeColor="text1"/>
              </w:rPr>
              <w:t xml:space="preserve">nych kategorii </w:t>
            </w:r>
            <w:r w:rsidR="1E4F6C09" w:rsidRPr="00DC3B3D">
              <w:rPr>
                <w:rFonts w:ascii="Times New Roman" w:hAnsi="Times New Roman" w:cs="Times New Roman"/>
                <w:color w:val="000000" w:themeColor="text1"/>
              </w:rPr>
              <w:t>wniosk</w:t>
            </w:r>
            <w:r w:rsidR="1421E860" w:rsidRPr="00DC3B3D">
              <w:rPr>
                <w:rFonts w:ascii="Times New Roman" w:hAnsi="Times New Roman" w:cs="Times New Roman"/>
                <w:color w:val="000000" w:themeColor="text1"/>
              </w:rPr>
              <w:t>ów</w:t>
            </w:r>
            <w:r w:rsidR="5BF006EA" w:rsidRPr="00DC3B3D">
              <w:rPr>
                <w:rFonts w:ascii="Times New Roman" w:hAnsi="Times New Roman" w:cs="Times New Roman"/>
                <w:color w:val="000000" w:themeColor="text1"/>
              </w:rPr>
              <w:t xml:space="preserve"> przepisy zostały uzupełnione</w:t>
            </w:r>
            <w:r w:rsidR="3391267A" w:rsidRPr="00DC3B3D">
              <w:rPr>
                <w:rFonts w:ascii="Times New Roman" w:hAnsi="Times New Roman" w:cs="Times New Roman"/>
                <w:color w:val="000000" w:themeColor="text1"/>
              </w:rPr>
              <w:t>.</w:t>
            </w:r>
          </w:p>
        </w:tc>
      </w:tr>
      <w:bookmarkEnd w:id="0"/>
      <w:tr w:rsidR="006A017D" w:rsidRPr="00DC3B3D" w14:paraId="1D53935D" w14:textId="77777777" w:rsidTr="00B15734">
        <w:trPr>
          <w:gridAfter w:val="2"/>
          <w:wAfter w:w="68" w:type="dxa"/>
          <w:trHeight w:val="879"/>
        </w:trPr>
        <w:tc>
          <w:tcPr>
            <w:tcW w:w="733" w:type="dxa"/>
            <w:tcBorders>
              <w:top w:val="single" w:sz="4" w:space="0" w:color="auto"/>
              <w:left w:val="single" w:sz="4" w:space="0" w:color="auto"/>
              <w:bottom w:val="single" w:sz="4" w:space="0" w:color="auto"/>
              <w:right w:val="single" w:sz="4" w:space="0" w:color="auto"/>
            </w:tcBorders>
          </w:tcPr>
          <w:p w14:paraId="60F16013"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26FFADA4" w14:textId="0BFD0E43" w:rsidR="006A017D" w:rsidRPr="00DC3B3D" w:rsidRDefault="006A017D" w:rsidP="00072FBB">
            <w:pPr>
              <w:spacing w:before="0" w:after="0" w:line="240" w:lineRule="auto"/>
              <w:jc w:val="both"/>
              <w:rPr>
                <w:rFonts w:ascii="Times New Roman" w:hAnsi="Times New Roman" w:cs="Times New Roman"/>
              </w:rPr>
            </w:pPr>
          </w:p>
        </w:tc>
        <w:tc>
          <w:tcPr>
            <w:tcW w:w="1580" w:type="dxa"/>
            <w:tcBorders>
              <w:top w:val="single" w:sz="4" w:space="0" w:color="auto"/>
              <w:left w:val="single" w:sz="4" w:space="0" w:color="auto"/>
              <w:bottom w:val="single" w:sz="4" w:space="0" w:color="auto"/>
              <w:right w:val="single" w:sz="4" w:space="0" w:color="auto"/>
            </w:tcBorders>
          </w:tcPr>
          <w:p w14:paraId="39B54645" w14:textId="389CBECA"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006A017D" w:rsidRPr="00DC3B3D">
              <w:rPr>
                <w:rFonts w:ascii="Times New Roman" w:hAnsi="Times New Roman" w:cs="Times New Roman"/>
                <w:b/>
                <w:bCs/>
                <w:color w:val="000000"/>
              </w:rPr>
              <w:t>Urz</w:t>
            </w:r>
            <w:r>
              <w:rPr>
                <w:rFonts w:ascii="Times New Roman" w:hAnsi="Times New Roman" w:cs="Times New Roman"/>
                <w:b/>
                <w:bCs/>
                <w:color w:val="000000"/>
              </w:rPr>
              <w:t>ę</w:t>
            </w:r>
            <w:r w:rsidR="006A017D" w:rsidRPr="00DC3B3D">
              <w:rPr>
                <w:rFonts w:ascii="Times New Roman" w:hAnsi="Times New Roman" w:cs="Times New Roman"/>
                <w:b/>
                <w:bCs/>
                <w:color w:val="000000"/>
              </w:rPr>
              <w:t>d</w:t>
            </w:r>
            <w:r>
              <w:rPr>
                <w:rFonts w:ascii="Times New Roman" w:hAnsi="Times New Roman" w:cs="Times New Roman"/>
                <w:b/>
                <w:bCs/>
                <w:color w:val="000000"/>
              </w:rPr>
              <w:t>u</w:t>
            </w:r>
            <w:r w:rsidR="006A017D" w:rsidRPr="00DC3B3D">
              <w:rPr>
                <w:rFonts w:ascii="Times New Roman" w:hAnsi="Times New Roman" w:cs="Times New Roman"/>
                <w:b/>
                <w:bCs/>
                <w:color w:val="000000"/>
              </w:rPr>
              <w:t xml:space="preserve"> Ochrony Konkurencji</w:t>
            </w:r>
            <w:r w:rsidR="003E15D8" w:rsidRPr="00DC3B3D">
              <w:rPr>
                <w:rFonts w:ascii="Times New Roman" w:hAnsi="Times New Roman" w:cs="Times New Roman"/>
                <w:b/>
                <w:bCs/>
                <w:color w:val="000000"/>
              </w:rPr>
              <w:t xml:space="preserve"> i </w:t>
            </w:r>
            <w:r w:rsidR="006A017D" w:rsidRPr="00DC3B3D">
              <w:rPr>
                <w:rFonts w:ascii="Times New Roman" w:hAnsi="Times New Roman" w:cs="Times New Roman"/>
                <w:b/>
                <w:bCs/>
                <w:color w:val="000000"/>
              </w:rPr>
              <w:t>Konsumentów</w:t>
            </w:r>
          </w:p>
        </w:tc>
        <w:tc>
          <w:tcPr>
            <w:tcW w:w="7024" w:type="dxa"/>
            <w:tcBorders>
              <w:top w:val="single" w:sz="4" w:space="0" w:color="auto"/>
              <w:left w:val="single" w:sz="4" w:space="0" w:color="auto"/>
              <w:bottom w:val="single" w:sz="4" w:space="0" w:color="auto"/>
              <w:right w:val="single" w:sz="4" w:space="0" w:color="auto"/>
            </w:tcBorders>
          </w:tcPr>
          <w:p w14:paraId="51F6D0EA" w14:textId="29F2C19B"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Ponadto zasadne jest uzupełnienie projektu rozporządzenia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przepisy określające terminy rozpatrywania wniosków</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realizację uprawnień,</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których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3 oraz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PKE.</w:t>
            </w:r>
          </w:p>
          <w:p w14:paraId="04B98A83" w14:textId="77777777" w:rsidR="006A017D" w:rsidRPr="00DC3B3D" w:rsidRDefault="006A017D" w:rsidP="00072FBB">
            <w:pPr>
              <w:pStyle w:val="Default"/>
              <w:jc w:val="both"/>
              <w:rPr>
                <w:rFonts w:ascii="Times New Roman" w:hAnsi="Times New Roman" w:cs="Times New Roman"/>
                <w:sz w:val="20"/>
                <w:szCs w:val="20"/>
              </w:rPr>
            </w:pPr>
          </w:p>
          <w:p w14:paraId="5D036D79" w14:textId="1CF883F4"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Obecnie projekt określa terminy rozpatrywania wniosków dotyczących uprawnień wynikających</w:t>
            </w:r>
            <w:r w:rsidR="003E15D8" w:rsidRPr="00DC3B3D">
              <w:rPr>
                <w:rFonts w:ascii="Times New Roman" w:hAnsi="Times New Roman" w:cs="Times New Roman"/>
                <w:sz w:val="20"/>
                <w:szCs w:val="20"/>
              </w:rPr>
              <w:t xml:space="preserve"> z art.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8 oraz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5 </w:t>
            </w:r>
            <w:r w:rsidRPr="00DC3B3D">
              <w:rPr>
                <w:rFonts w:ascii="Times New Roman" w:hAnsi="Times New Roman" w:cs="Times New Roman"/>
                <w:sz w:val="20"/>
                <w:szCs w:val="20"/>
              </w:rPr>
              <w:t>PKE, natomiast brak jest analogicznych rozwiązań</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odniesieniu do wniosków składanych na podstawie</w:t>
            </w:r>
            <w:r w:rsidR="003E15D8" w:rsidRPr="00DC3B3D">
              <w:rPr>
                <w:rFonts w:ascii="Times New Roman" w:hAnsi="Times New Roman" w:cs="Times New Roman"/>
                <w:sz w:val="20"/>
                <w:szCs w:val="20"/>
              </w:rPr>
              <w:t xml:space="preserve">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3 i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PKE. Taki stan rzeczy prowadzi do nieuzasadnionego zróżnicowania sytuacji abonentów korzystających</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poszczególnych uprawnień oraz może skutkować wydłużeniem czasu rozpatrywania wniosków</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przypadkach nieobjętych regulacją.</w:t>
            </w:r>
          </w:p>
          <w:p w14:paraId="678BA966" w14:textId="77777777" w:rsidR="006A017D" w:rsidRPr="00DC3B3D" w:rsidRDefault="006A017D" w:rsidP="00072FBB">
            <w:pPr>
              <w:pStyle w:val="Default"/>
              <w:jc w:val="both"/>
              <w:rPr>
                <w:rFonts w:ascii="Times New Roman" w:hAnsi="Times New Roman" w:cs="Times New Roman"/>
                <w:sz w:val="20"/>
                <w:szCs w:val="20"/>
              </w:rPr>
            </w:pPr>
          </w:p>
          <w:p w14:paraId="7A5588CC" w14:textId="73EEA437" w:rsidR="006A017D" w:rsidRPr="00DC3B3D" w:rsidDel="00F61633"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Wprowadzenie terminów dla wszystkich kategorii wniosków przyczyni się do zwiększenia transparentności procedur, usprawnienia ich przebiegu oraz zapewnienia spójnego standardu ochrony abonentów.</w:t>
            </w:r>
          </w:p>
        </w:tc>
        <w:tc>
          <w:tcPr>
            <w:tcW w:w="3114" w:type="dxa"/>
            <w:tcBorders>
              <w:top w:val="single" w:sz="4" w:space="0" w:color="auto"/>
              <w:left w:val="single" w:sz="4" w:space="0" w:color="auto"/>
              <w:bottom w:val="single" w:sz="4" w:space="0" w:color="auto"/>
              <w:right w:val="single" w:sz="4" w:space="0" w:color="auto"/>
            </w:tcBorders>
          </w:tcPr>
          <w:p w14:paraId="2D88375C" w14:textId="38099349" w:rsidR="006A017D" w:rsidRPr="00DC3B3D" w:rsidDel="00F61633" w:rsidRDefault="0F38F9F1" w:rsidP="00072FBB">
            <w:pPr>
              <w:pStyle w:val="Nagwek"/>
              <w:spacing w:before="0" w:after="0" w:line="240" w:lineRule="auto"/>
              <w:jc w:val="both"/>
              <w:rPr>
                <w:rFonts w:ascii="Times New Roman" w:hAnsi="Times New Roman" w:cs="Times New Roman"/>
                <w:b/>
                <w:bCs/>
                <w:color w:val="000000" w:themeColor="text1"/>
                <w:sz w:val="20"/>
                <w:szCs w:val="20"/>
              </w:rPr>
            </w:pPr>
            <w:r w:rsidRPr="00DC3B3D">
              <w:rPr>
                <w:rFonts w:ascii="Times New Roman" w:hAnsi="Times New Roman" w:cs="Times New Roman"/>
                <w:b/>
                <w:bCs/>
                <w:color w:val="000000" w:themeColor="text1"/>
                <w:sz w:val="20"/>
                <w:szCs w:val="20"/>
              </w:rPr>
              <w:t>Uwaga uwzględniona</w:t>
            </w:r>
          </w:p>
          <w:p w14:paraId="3E6E021B" w14:textId="6F056BB5" w:rsidR="006A017D" w:rsidRPr="00DC3B3D" w:rsidDel="00F61633" w:rsidRDefault="0F38F9F1" w:rsidP="00072FBB">
            <w:pPr>
              <w:pStyle w:val="Nagwek"/>
              <w:spacing w:before="0" w:after="0" w:line="240" w:lineRule="auto"/>
              <w:jc w:val="both"/>
              <w:rPr>
                <w:rFonts w:ascii="Times New Roman" w:hAnsi="Times New Roman" w:cs="Times New Roman"/>
                <w:color w:val="000000" w:themeColor="text1"/>
                <w:sz w:val="20"/>
                <w:szCs w:val="20"/>
              </w:rPr>
            </w:pPr>
            <w:r w:rsidRPr="00DC3B3D">
              <w:rPr>
                <w:rFonts w:ascii="Times New Roman" w:hAnsi="Times New Roman" w:cs="Times New Roman"/>
                <w:color w:val="000000" w:themeColor="text1"/>
                <w:sz w:val="20"/>
                <w:szCs w:val="20"/>
              </w:rPr>
              <w:t>Terminy na rozpatrzenie wskazanych kategorii wniosków dotyczących poszczególnych uprawnień zostały uzupełnione</w:t>
            </w:r>
            <w:r w:rsidR="003E15D8" w:rsidRPr="00DC3B3D">
              <w:rPr>
                <w:rFonts w:ascii="Times New Roman" w:hAnsi="Times New Roman" w:cs="Times New Roman"/>
                <w:color w:val="000000" w:themeColor="text1"/>
                <w:sz w:val="20"/>
                <w:szCs w:val="20"/>
              </w:rPr>
              <w:t xml:space="preserve"> w </w:t>
            </w:r>
            <w:r w:rsidRPr="00DC3B3D">
              <w:rPr>
                <w:rFonts w:ascii="Times New Roman" w:hAnsi="Times New Roman" w:cs="Times New Roman"/>
                <w:color w:val="000000" w:themeColor="text1"/>
                <w:sz w:val="20"/>
                <w:szCs w:val="20"/>
              </w:rPr>
              <w:t>przepisach rozporządzenia.</w:t>
            </w:r>
          </w:p>
        </w:tc>
      </w:tr>
      <w:tr w:rsidR="006A017D" w:rsidRPr="00DC3B3D" w14:paraId="0286F99A" w14:textId="77777777" w:rsidTr="003E15D8">
        <w:trPr>
          <w:gridAfter w:val="2"/>
          <w:wAfter w:w="68" w:type="dxa"/>
          <w:trHeight w:val="300"/>
        </w:trPr>
        <w:tc>
          <w:tcPr>
            <w:tcW w:w="13565" w:type="dxa"/>
            <w:gridSpan w:val="5"/>
            <w:tcBorders>
              <w:top w:val="single" w:sz="4" w:space="0" w:color="auto"/>
              <w:left w:val="single" w:sz="4" w:space="0" w:color="auto"/>
              <w:bottom w:val="single" w:sz="4" w:space="0" w:color="auto"/>
            </w:tcBorders>
            <w:shd w:val="clear" w:color="auto" w:fill="D9D9D9" w:themeFill="background1" w:themeFillShade="D9"/>
          </w:tcPr>
          <w:p w14:paraId="6AACCED0" w14:textId="4D947B94" w:rsidR="006A017D" w:rsidRPr="00DC3B3D" w:rsidRDefault="006A017D" w:rsidP="00072FBB">
            <w:pPr>
              <w:pStyle w:val="Nagwek"/>
              <w:spacing w:before="0" w:after="0" w:line="240" w:lineRule="auto"/>
              <w:jc w:val="center"/>
              <w:rPr>
                <w:rFonts w:ascii="Times New Roman" w:hAnsi="Times New Roman" w:cs="Times New Roman"/>
                <w:b/>
                <w:sz w:val="20"/>
                <w:szCs w:val="20"/>
              </w:rPr>
            </w:pPr>
            <w:r w:rsidRPr="00DC3B3D">
              <w:rPr>
                <w:rFonts w:ascii="Times New Roman" w:hAnsi="Times New Roman" w:cs="Times New Roman"/>
                <w:b/>
                <w:sz w:val="20"/>
                <w:szCs w:val="20"/>
              </w:rPr>
              <w:t>UWAGI SZCZEGÓŁOWE DO PROJEKTU</w:t>
            </w:r>
          </w:p>
        </w:tc>
      </w:tr>
      <w:tr w:rsidR="006A017D" w:rsidRPr="00DC3B3D" w14:paraId="06488B3B"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0687FB2A"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29BB4171" w14:textId="5BC8579B" w:rsidR="006A017D" w:rsidRPr="00DC3B3D" w:rsidRDefault="006A017D" w:rsidP="00072FBB">
            <w:pPr>
              <w:spacing w:before="0" w:after="0" w:line="240" w:lineRule="auto"/>
              <w:jc w:val="center"/>
              <w:rPr>
                <w:rFonts w:ascii="Times New Roman" w:eastAsiaTheme="minorHAnsi" w:hAnsi="Times New Roman" w:cs="Times New Roman"/>
                <w:color w:val="000000"/>
                <w:lang w:eastAsia="en-US"/>
              </w:rPr>
            </w:pPr>
            <w:r w:rsidRPr="00DC3B3D">
              <w:rPr>
                <w:rFonts w:ascii="Times New Roman" w:eastAsiaTheme="minorHAnsi" w:hAnsi="Times New Roman" w:cs="Times New Roman"/>
                <w:color w:val="000000"/>
                <w:lang w:eastAsia="en-US"/>
              </w:rPr>
              <w:t xml:space="preserve">§ </w:t>
            </w:r>
            <w:r w:rsidR="003E15D8" w:rsidRPr="00DC3B3D">
              <w:rPr>
                <w:rFonts w:ascii="Times New Roman" w:eastAsiaTheme="minorHAnsi" w:hAnsi="Times New Roman" w:cs="Times New Roman"/>
                <w:color w:val="000000"/>
                <w:lang w:eastAsia="en-US"/>
              </w:rPr>
              <w:t>1 pkt 1 lit. </w:t>
            </w:r>
            <w:r w:rsidRPr="00DC3B3D">
              <w:rPr>
                <w:rFonts w:ascii="Times New Roman" w:eastAsiaTheme="minorHAnsi" w:hAnsi="Times New Roman" w:cs="Times New Roman"/>
                <w:color w:val="000000"/>
                <w:lang w:eastAsia="en-US"/>
              </w:rPr>
              <w:t>d</w:t>
            </w:r>
          </w:p>
        </w:tc>
        <w:tc>
          <w:tcPr>
            <w:tcW w:w="1580" w:type="dxa"/>
            <w:tcBorders>
              <w:top w:val="single" w:sz="4" w:space="0" w:color="auto"/>
              <w:left w:val="single" w:sz="4" w:space="0" w:color="auto"/>
              <w:bottom w:val="single" w:sz="4" w:space="0" w:color="auto"/>
              <w:right w:val="single" w:sz="4" w:space="0" w:color="auto"/>
            </w:tcBorders>
          </w:tcPr>
          <w:p w14:paraId="0FCA54F6" w14:textId="5BB18B84"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602A0ABA" w14:textId="09B3AEC0"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Wątpliwości budzi zakres regulacji</w:t>
            </w:r>
            <w:r w:rsidR="003E15D8" w:rsidRPr="00DC3B3D">
              <w:rPr>
                <w:rFonts w:ascii="Times New Roman" w:hAnsi="Times New Roman" w:cs="Times New Roman"/>
                <w:sz w:val="20"/>
                <w:szCs w:val="20"/>
              </w:rPr>
              <w:t xml:space="preserve"> § 1 pkt 1 lit. </w:t>
            </w:r>
            <w:r w:rsidRPr="00DC3B3D">
              <w:rPr>
                <w:rFonts w:ascii="Times New Roman" w:hAnsi="Times New Roman" w:cs="Times New Roman"/>
                <w:sz w:val="20"/>
                <w:szCs w:val="20"/>
              </w:rPr>
              <w:t>d projektu. Przepis ten obejmuje wnioski abonenta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przeniesienie przydzielonego numeru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przypadku zmiany miejsca zamieszkania, siedziby lub miejsca wykonywania działalności zarówno</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ramach istniejącej sieci tego samego operatora, jak</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do istniejącej sieci innego operatora. Tymczasem</w:t>
            </w:r>
            <w:r w:rsidR="003E15D8" w:rsidRPr="00DC3B3D">
              <w:rPr>
                <w:rFonts w:ascii="Times New Roman" w:hAnsi="Times New Roman" w:cs="Times New Roman"/>
                <w:sz w:val="20"/>
                <w:szCs w:val="20"/>
              </w:rPr>
              <w:t xml:space="preserve">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ustawy – Prawo komunikacji elektronicznej przewiduje uprawnienie do przeniesienia numeru wyłącznie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ramach istniejącej sieci tego samego operatora. Przeniesienie numeru związane ze zmianą dostawcy usługi komunikacji głosowej stanowi natomiast odrębne uprawnienie uregulowane</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5 </w:t>
            </w:r>
            <w:r w:rsidRPr="00DC3B3D">
              <w:rPr>
                <w:rFonts w:ascii="Times New Roman" w:hAnsi="Times New Roman" w:cs="Times New Roman"/>
                <w:sz w:val="20"/>
                <w:szCs w:val="20"/>
              </w:rPr>
              <w:t>ustawy.</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związku</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powyższym należy rozważyć skreślenie</w:t>
            </w:r>
            <w:r w:rsidR="003E15D8" w:rsidRPr="00DC3B3D">
              <w:rPr>
                <w:rFonts w:ascii="Times New Roman" w:hAnsi="Times New Roman" w:cs="Times New Roman"/>
                <w:sz w:val="20"/>
                <w:szCs w:val="20"/>
              </w:rPr>
              <w:t xml:space="preserve"> w § 1 pkt 1 lit. </w:t>
            </w:r>
            <w:r w:rsidRPr="00DC3B3D">
              <w:rPr>
                <w:rFonts w:ascii="Times New Roman" w:hAnsi="Times New Roman" w:cs="Times New Roman"/>
                <w:sz w:val="20"/>
                <w:szCs w:val="20"/>
              </w:rPr>
              <w:t>d tiret drugiego. Pozostawienie bowiem projektowanej regulacji może prowadzić do objęcia rozporządzeniem przypadku niewynikającego</w:t>
            </w:r>
            <w:r w:rsidR="003E15D8" w:rsidRPr="00DC3B3D">
              <w:rPr>
                <w:rFonts w:ascii="Times New Roman" w:hAnsi="Times New Roman" w:cs="Times New Roman"/>
                <w:sz w:val="20"/>
                <w:szCs w:val="20"/>
              </w:rPr>
              <w:t xml:space="preserve"> z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ustawy oraz do zatarcia rozgraniczenia między uprawnieniami określonymi</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i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5 </w:t>
            </w:r>
            <w:r w:rsidRPr="00DC3B3D">
              <w:rPr>
                <w:rFonts w:ascii="Times New Roman" w:hAnsi="Times New Roman" w:cs="Times New Roman"/>
                <w:sz w:val="20"/>
                <w:szCs w:val="20"/>
              </w:rPr>
              <w:t>ustawy</w:t>
            </w:r>
          </w:p>
        </w:tc>
        <w:tc>
          <w:tcPr>
            <w:tcW w:w="3114" w:type="dxa"/>
            <w:tcBorders>
              <w:top w:val="single" w:sz="4" w:space="0" w:color="auto"/>
              <w:left w:val="single" w:sz="4" w:space="0" w:color="auto"/>
              <w:bottom w:val="single" w:sz="4" w:space="0" w:color="auto"/>
              <w:right w:val="single" w:sz="4" w:space="0" w:color="auto"/>
            </w:tcBorders>
          </w:tcPr>
          <w:p w14:paraId="52052BDC" w14:textId="5EC4EE60" w:rsidR="7278D20C" w:rsidRPr="00DC3B3D" w:rsidRDefault="7DC657B6" w:rsidP="00072FBB">
            <w:pPr>
              <w:spacing w:before="0" w:after="0" w:line="240" w:lineRule="auto"/>
              <w:jc w:val="both"/>
              <w:rPr>
                <w:rFonts w:ascii="Times New Roman" w:hAnsi="Times New Roman" w:cs="Times New Roman"/>
                <w:b/>
                <w:bCs/>
                <w:color w:val="000000" w:themeColor="text1"/>
              </w:rPr>
            </w:pPr>
            <w:r w:rsidRPr="00DC3B3D">
              <w:rPr>
                <w:rFonts w:ascii="Times New Roman" w:hAnsi="Times New Roman" w:cs="Times New Roman"/>
                <w:b/>
                <w:bCs/>
                <w:color w:val="000000" w:themeColor="text1"/>
              </w:rPr>
              <w:t>Uwaga uwzględniona</w:t>
            </w:r>
          </w:p>
          <w:p w14:paraId="1243146C" w14:textId="72C44ECA" w:rsidR="7DC657B6" w:rsidRPr="00DC3B3D" w:rsidRDefault="7DC657B6" w:rsidP="00072FBB">
            <w:pPr>
              <w:spacing w:before="0" w:after="0" w:line="240" w:lineRule="auto"/>
              <w:jc w:val="both"/>
              <w:rPr>
                <w:rFonts w:ascii="Times New Roman" w:hAnsi="Times New Roman" w:cs="Times New Roman"/>
                <w:color w:val="000000" w:themeColor="text1"/>
              </w:rPr>
            </w:pPr>
            <w:r w:rsidRPr="00DC3B3D">
              <w:rPr>
                <w:rFonts w:ascii="Times New Roman" w:hAnsi="Times New Roman" w:cs="Times New Roman"/>
                <w:color w:val="000000" w:themeColor="text1"/>
              </w:rPr>
              <w:t>Przepis został przeredagowany.</w:t>
            </w:r>
          </w:p>
          <w:p w14:paraId="47EA6599" w14:textId="24B6B641" w:rsidR="006A017D" w:rsidRPr="00DC3B3D" w:rsidRDefault="006A017D" w:rsidP="00072FBB">
            <w:pPr>
              <w:spacing w:before="0" w:after="0" w:line="240" w:lineRule="auto"/>
              <w:jc w:val="both"/>
              <w:rPr>
                <w:rFonts w:ascii="Times New Roman" w:hAnsi="Times New Roman" w:cs="Times New Roman"/>
                <w:b/>
                <w:bCs/>
                <w:color w:val="000000"/>
                <w:highlight w:val="yellow"/>
              </w:rPr>
            </w:pPr>
          </w:p>
        </w:tc>
      </w:tr>
      <w:tr w:rsidR="006A017D" w:rsidRPr="00DC3B3D" w14:paraId="25754DCC" w14:textId="77777777" w:rsidTr="00B15734">
        <w:trPr>
          <w:trHeight w:val="300"/>
        </w:trPr>
        <w:tc>
          <w:tcPr>
            <w:tcW w:w="733" w:type="dxa"/>
            <w:tcBorders>
              <w:top w:val="single" w:sz="4" w:space="0" w:color="auto"/>
              <w:left w:val="single" w:sz="4" w:space="0" w:color="auto"/>
              <w:bottom w:val="single" w:sz="4" w:space="0" w:color="auto"/>
              <w:right w:val="single" w:sz="4" w:space="0" w:color="auto"/>
            </w:tcBorders>
          </w:tcPr>
          <w:p w14:paraId="2A3AADBC"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2827D4DF" w14:textId="5130881E" w:rsidR="006A017D" w:rsidRPr="00DC3B3D" w:rsidRDefault="006A017D" w:rsidP="00072FBB">
            <w:pPr>
              <w:spacing w:before="0" w:after="0" w:line="240" w:lineRule="auto"/>
              <w:jc w:val="center"/>
              <w:rPr>
                <w:rFonts w:ascii="Times New Roman" w:hAnsi="Times New Roman" w:cs="Times New Roman"/>
              </w:rPr>
            </w:pPr>
            <w:r w:rsidRPr="00DC3B3D">
              <w:rPr>
                <w:rFonts w:ascii="Times New Roman" w:hAnsi="Times New Roman" w:cs="Times New Roman"/>
              </w:rPr>
              <w:t xml:space="preserve">§ </w:t>
            </w:r>
            <w:r w:rsidR="003E15D8" w:rsidRPr="00DC3B3D">
              <w:rPr>
                <w:rFonts w:ascii="Times New Roman" w:hAnsi="Times New Roman" w:cs="Times New Roman"/>
              </w:rPr>
              <w:t>1 pkt </w:t>
            </w:r>
            <w:r w:rsidRPr="00DC3B3D">
              <w:rPr>
                <w:rFonts w:ascii="Times New Roman" w:hAnsi="Times New Roman" w:cs="Times New Roman"/>
              </w:rPr>
              <w:t>3</w:t>
            </w:r>
          </w:p>
        </w:tc>
        <w:tc>
          <w:tcPr>
            <w:tcW w:w="1580" w:type="dxa"/>
            <w:tcBorders>
              <w:top w:val="single" w:sz="4" w:space="0" w:color="auto"/>
              <w:left w:val="single" w:sz="4" w:space="0" w:color="auto"/>
              <w:bottom w:val="single" w:sz="4" w:space="0" w:color="auto"/>
              <w:right w:val="single" w:sz="4" w:space="0" w:color="auto"/>
            </w:tcBorders>
          </w:tcPr>
          <w:p w14:paraId="1B1E451B" w14:textId="18FBAEDD"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0E966D94" w14:textId="06F02200"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Należy rozważyć uzupełnienie przepisu</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bezpośrednie odesłanie do</w:t>
            </w:r>
            <w:r w:rsidR="003E15D8" w:rsidRPr="00DC3B3D">
              <w:rPr>
                <w:rFonts w:ascii="Times New Roman" w:hAnsi="Times New Roman" w:cs="Times New Roman"/>
                <w:sz w:val="20"/>
                <w:szCs w:val="20"/>
              </w:rPr>
              <w:t xml:space="preserve">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8 ust. 1 </w:t>
            </w:r>
            <w:r w:rsidRPr="00DC3B3D">
              <w:rPr>
                <w:rFonts w:ascii="Times New Roman" w:hAnsi="Times New Roman" w:cs="Times New Roman"/>
                <w:sz w:val="20"/>
                <w:szCs w:val="20"/>
              </w:rPr>
              <w:t>PKE. Uprawnienie do wyboru dowolnego dostawcy usługi komunikacji głosowej nie przysługuje każdemu abonentowi takiej usługi, lecz – zgodnie</w:t>
            </w:r>
            <w:r w:rsidR="003E15D8" w:rsidRPr="00DC3B3D">
              <w:rPr>
                <w:rFonts w:ascii="Times New Roman" w:hAnsi="Times New Roman" w:cs="Times New Roman"/>
                <w:sz w:val="20"/>
                <w:szCs w:val="20"/>
              </w:rPr>
              <w:t xml:space="preserve"> z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8 ust. 1 </w:t>
            </w:r>
            <w:r w:rsidRPr="00DC3B3D">
              <w:rPr>
                <w:rFonts w:ascii="Times New Roman" w:hAnsi="Times New Roman" w:cs="Times New Roman"/>
                <w:sz w:val="20"/>
                <w:szCs w:val="20"/>
              </w:rPr>
              <w:t>PKE – abonentowi będącemu stroną umowy</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 xml:space="preserve">dostawcą usług telekomunikacyjnych zapewniającym przyłączenie do stacjonarnej publicznej sieci </w:t>
            </w:r>
            <w:r w:rsidRPr="00DC3B3D">
              <w:rPr>
                <w:rFonts w:ascii="Times New Roman" w:hAnsi="Times New Roman" w:cs="Times New Roman"/>
                <w:sz w:val="20"/>
                <w:szCs w:val="20"/>
              </w:rPr>
              <w:lastRenderedPageBreak/>
              <w:t>telekomunikacyjnej operatora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znaczącej pozycji rynkowej na rynku rozpoczynania połączeń</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sieci stacjonarnej.</w:t>
            </w:r>
          </w:p>
          <w:p w14:paraId="0EBDE4A8" w14:textId="3666A63C"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Doprecyzowanie jest zasadne również ze względu na definicję zawartą</w:t>
            </w:r>
            <w:r w:rsidR="003E15D8" w:rsidRPr="00DC3B3D">
              <w:rPr>
                <w:rFonts w:ascii="Times New Roman" w:hAnsi="Times New Roman" w:cs="Times New Roman"/>
                <w:sz w:val="20"/>
                <w:szCs w:val="20"/>
              </w:rPr>
              <w:t xml:space="preserve"> w § 2 pkt 2 </w:t>
            </w:r>
            <w:r w:rsidRPr="00DC3B3D">
              <w:rPr>
                <w:rFonts w:ascii="Times New Roman" w:hAnsi="Times New Roman" w:cs="Times New Roman"/>
                <w:sz w:val="20"/>
                <w:szCs w:val="20"/>
              </w:rPr>
              <w:t>projektu, która odwołuje się do abonenta,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5 ust. 1 </w:t>
            </w:r>
            <w:r w:rsidRPr="00DC3B3D">
              <w:rPr>
                <w:rFonts w:ascii="Times New Roman" w:hAnsi="Times New Roman" w:cs="Times New Roman"/>
                <w:sz w:val="20"/>
                <w:szCs w:val="20"/>
              </w:rPr>
              <w:t>PKE,</w:t>
            </w:r>
            <w:r w:rsidR="003E15D8" w:rsidRPr="00DC3B3D">
              <w:rPr>
                <w:rFonts w:ascii="Times New Roman" w:hAnsi="Times New Roman" w:cs="Times New Roman"/>
                <w:sz w:val="20"/>
                <w:szCs w:val="20"/>
              </w:rPr>
              <w:t xml:space="preserve"> a </w:t>
            </w:r>
            <w:r w:rsidRPr="00DC3B3D">
              <w:rPr>
                <w:rFonts w:ascii="Times New Roman" w:hAnsi="Times New Roman" w:cs="Times New Roman"/>
                <w:sz w:val="20"/>
                <w:szCs w:val="20"/>
              </w:rPr>
              <w:t>zatem do innego uprawnienia</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innego zakresu regulacji. Posłużenie się</w:t>
            </w:r>
            <w:r w:rsidR="003E15D8" w:rsidRPr="00DC3B3D">
              <w:rPr>
                <w:rFonts w:ascii="Times New Roman" w:hAnsi="Times New Roman" w:cs="Times New Roman"/>
                <w:sz w:val="20"/>
                <w:szCs w:val="20"/>
              </w:rPr>
              <w:t xml:space="preserve"> w § 1 pkt 3 </w:t>
            </w:r>
            <w:r w:rsidRPr="00DC3B3D">
              <w:rPr>
                <w:rFonts w:ascii="Times New Roman" w:hAnsi="Times New Roman" w:cs="Times New Roman"/>
                <w:sz w:val="20"/>
                <w:szCs w:val="20"/>
              </w:rPr>
              <w:t>określeniem „abonent usługi komunikacji głosowej” może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związku</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tym prowadzić do niezamierzonego powiązania zakresu tego przepisu</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definicją nieadekwatną do uprawnienia określonego</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8 </w:t>
            </w:r>
            <w:r w:rsidRPr="00DC3B3D">
              <w:rPr>
                <w:rFonts w:ascii="Times New Roman" w:hAnsi="Times New Roman" w:cs="Times New Roman"/>
                <w:sz w:val="20"/>
                <w:szCs w:val="20"/>
              </w:rPr>
              <w:t>PKE.</w:t>
            </w:r>
          </w:p>
          <w:p w14:paraId="6497045C" w14:textId="7D5E522D"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Proponuje się zatem nadanie</w:t>
            </w:r>
            <w:r w:rsidR="003E15D8" w:rsidRPr="00DC3B3D">
              <w:rPr>
                <w:rFonts w:ascii="Times New Roman" w:hAnsi="Times New Roman" w:cs="Times New Roman"/>
                <w:sz w:val="20"/>
                <w:szCs w:val="20"/>
              </w:rPr>
              <w:t xml:space="preserve"> § 1 pkt 3 </w:t>
            </w:r>
            <w:r w:rsidRPr="00DC3B3D">
              <w:rPr>
                <w:rFonts w:ascii="Times New Roman" w:hAnsi="Times New Roman" w:cs="Times New Roman"/>
                <w:sz w:val="20"/>
                <w:szCs w:val="20"/>
              </w:rPr>
              <w:t>następującego brzmienia:</w:t>
            </w:r>
          </w:p>
          <w:p w14:paraId="734DEB55" w14:textId="1BDE8038" w:rsidR="006A017D" w:rsidRPr="00DC3B3D" w:rsidDel="00F61633"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„3) szczegółowe warunki realizacji uprawnienia,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8 ust. 1 </w:t>
            </w:r>
            <w:r w:rsidRPr="00DC3B3D">
              <w:rPr>
                <w:rFonts w:ascii="Times New Roman" w:hAnsi="Times New Roman" w:cs="Times New Roman"/>
                <w:sz w:val="20"/>
                <w:szCs w:val="20"/>
              </w:rPr>
              <w:t>ustawy.”</w:t>
            </w:r>
            <w:r w:rsidR="00354FFE">
              <w:rPr>
                <w:rFonts w:ascii="Times New Roman" w:hAnsi="Times New Roman" w:cs="Times New Roman"/>
                <w:sz w:val="20"/>
                <w:szCs w:val="20"/>
              </w:rPr>
              <w:t>.</w:t>
            </w:r>
          </w:p>
        </w:tc>
        <w:tc>
          <w:tcPr>
            <w:tcW w:w="3182" w:type="dxa"/>
            <w:gridSpan w:val="3"/>
            <w:tcBorders>
              <w:top w:val="single" w:sz="4" w:space="0" w:color="auto"/>
              <w:left w:val="single" w:sz="4" w:space="0" w:color="auto"/>
              <w:bottom w:val="single" w:sz="4" w:space="0" w:color="auto"/>
              <w:right w:val="single" w:sz="4" w:space="0" w:color="auto"/>
            </w:tcBorders>
          </w:tcPr>
          <w:p w14:paraId="4B09D652" w14:textId="1DC305AA" w:rsidR="006A017D" w:rsidRPr="00DC3B3D" w:rsidRDefault="21A3398F" w:rsidP="00072FBB">
            <w:pPr>
              <w:spacing w:before="0" w:after="0" w:line="240" w:lineRule="auto"/>
              <w:jc w:val="both"/>
              <w:rPr>
                <w:rFonts w:ascii="Times New Roman" w:hAnsi="Times New Roman" w:cs="Times New Roman"/>
                <w:b/>
                <w:bCs/>
                <w:color w:val="000000" w:themeColor="text1"/>
              </w:rPr>
            </w:pPr>
            <w:r w:rsidRPr="00DC3B3D">
              <w:rPr>
                <w:rFonts w:ascii="Times New Roman" w:hAnsi="Times New Roman" w:cs="Times New Roman"/>
                <w:b/>
                <w:bCs/>
                <w:color w:val="000000" w:themeColor="text1"/>
              </w:rPr>
              <w:lastRenderedPageBreak/>
              <w:t>U</w:t>
            </w:r>
            <w:r w:rsidR="104B0B18" w:rsidRPr="00DC3B3D">
              <w:rPr>
                <w:rFonts w:ascii="Times New Roman" w:hAnsi="Times New Roman" w:cs="Times New Roman"/>
                <w:b/>
                <w:bCs/>
                <w:color w:val="000000" w:themeColor="text1"/>
              </w:rPr>
              <w:t>w</w:t>
            </w:r>
            <w:r w:rsidRPr="00DC3B3D">
              <w:rPr>
                <w:rFonts w:ascii="Times New Roman" w:hAnsi="Times New Roman" w:cs="Times New Roman"/>
                <w:b/>
                <w:bCs/>
                <w:color w:val="000000" w:themeColor="text1"/>
              </w:rPr>
              <w:t xml:space="preserve">aga </w:t>
            </w:r>
            <w:r w:rsidR="24938B24" w:rsidRPr="00DC3B3D">
              <w:rPr>
                <w:rFonts w:ascii="Times New Roman" w:hAnsi="Times New Roman" w:cs="Times New Roman"/>
                <w:b/>
                <w:bCs/>
                <w:color w:val="000000" w:themeColor="text1"/>
              </w:rPr>
              <w:t>nieuwzględniona</w:t>
            </w:r>
          </w:p>
          <w:p w14:paraId="0481A54A" w14:textId="657A4584" w:rsidR="006A017D" w:rsidRPr="00DC3B3D" w:rsidRDefault="72EBBFF4" w:rsidP="00072FBB">
            <w:pPr>
              <w:spacing w:before="0" w:after="0" w:line="240" w:lineRule="auto"/>
              <w:jc w:val="both"/>
              <w:rPr>
                <w:rFonts w:ascii="Times New Roman" w:hAnsi="Times New Roman" w:cs="Times New Roman"/>
                <w:color w:val="000000" w:themeColor="text1"/>
              </w:rPr>
            </w:pPr>
            <w:r w:rsidRPr="00DC3B3D">
              <w:rPr>
                <w:rFonts w:ascii="Times New Roman" w:hAnsi="Times New Roman" w:cs="Times New Roman"/>
                <w:color w:val="000000" w:themeColor="text1"/>
              </w:rPr>
              <w:t>Doprecyzowanie zakresu przepisu nie jest konieczne; zakres podmiotowy uprawnienia wynika</w:t>
            </w:r>
            <w:r w:rsidR="003E15D8" w:rsidRPr="00DC3B3D">
              <w:rPr>
                <w:rFonts w:ascii="Times New Roman" w:hAnsi="Times New Roman" w:cs="Times New Roman"/>
                <w:color w:val="000000" w:themeColor="text1"/>
              </w:rPr>
              <w:t xml:space="preserve"> z art. </w:t>
            </w:r>
            <w:r w:rsidRPr="00DC3B3D">
              <w:rPr>
                <w:rFonts w:ascii="Times New Roman" w:hAnsi="Times New Roman" w:cs="Times New Roman"/>
                <w:color w:val="000000" w:themeColor="text1"/>
              </w:rPr>
              <w:t>32</w:t>
            </w:r>
            <w:r w:rsidR="003E15D8" w:rsidRPr="00DC3B3D">
              <w:rPr>
                <w:rFonts w:ascii="Times New Roman" w:hAnsi="Times New Roman" w:cs="Times New Roman"/>
                <w:color w:val="000000" w:themeColor="text1"/>
              </w:rPr>
              <w:t>8 ust. 1 </w:t>
            </w:r>
            <w:r w:rsidR="00072FBB" w:rsidRPr="00DC3B3D">
              <w:rPr>
                <w:rFonts w:ascii="Times New Roman" w:hAnsi="Times New Roman" w:cs="Times New Roman"/>
                <w:color w:val="000000" w:themeColor="text1"/>
              </w:rPr>
              <w:t xml:space="preserve">ustawy z dnia 16 </w:t>
            </w:r>
            <w:r w:rsidR="00072FBB" w:rsidRPr="00DC3B3D">
              <w:rPr>
                <w:rFonts w:ascii="Times New Roman" w:hAnsi="Times New Roman" w:cs="Times New Roman"/>
                <w:color w:val="000000" w:themeColor="text1"/>
              </w:rPr>
              <w:lastRenderedPageBreak/>
              <w:t>lipca 2004 r. – Prawo telekomunikacyjne (Dz. U. z 2024 r. poz. 34, 731 i 834), zwanej dalej „</w:t>
            </w:r>
            <w:r w:rsidRPr="00DC3B3D">
              <w:rPr>
                <w:rFonts w:ascii="Times New Roman" w:hAnsi="Times New Roman" w:cs="Times New Roman"/>
                <w:color w:val="000000" w:themeColor="text1"/>
              </w:rPr>
              <w:t>PKE</w:t>
            </w:r>
            <w:r w:rsidR="00072FBB" w:rsidRPr="00DC3B3D">
              <w:rPr>
                <w:rFonts w:ascii="Times New Roman" w:hAnsi="Times New Roman" w:cs="Times New Roman"/>
                <w:color w:val="000000" w:themeColor="text1"/>
              </w:rPr>
              <w:t>” lub „ustawą”</w:t>
            </w:r>
            <w:r w:rsidR="00DB4150">
              <w:rPr>
                <w:rFonts w:ascii="Times New Roman" w:hAnsi="Times New Roman" w:cs="Times New Roman"/>
                <w:color w:val="000000" w:themeColor="text1"/>
              </w:rPr>
              <w:t>,</w:t>
            </w:r>
            <w:r w:rsidRPr="00DC3B3D">
              <w:rPr>
                <w:rFonts w:ascii="Times New Roman" w:hAnsi="Times New Roman" w:cs="Times New Roman"/>
                <w:color w:val="000000" w:themeColor="text1"/>
              </w:rPr>
              <w:t xml:space="preserve"> oraz</w:t>
            </w:r>
            <w:r w:rsidR="003E15D8" w:rsidRPr="00DC3B3D">
              <w:rPr>
                <w:rFonts w:ascii="Times New Roman" w:hAnsi="Times New Roman" w:cs="Times New Roman"/>
                <w:color w:val="000000" w:themeColor="text1"/>
              </w:rPr>
              <w:t xml:space="preserve"> § </w:t>
            </w:r>
            <w:r w:rsidRPr="00DC3B3D">
              <w:rPr>
                <w:rFonts w:ascii="Times New Roman" w:hAnsi="Times New Roman" w:cs="Times New Roman"/>
                <w:color w:val="000000" w:themeColor="text1"/>
              </w:rPr>
              <w:t>2</w:t>
            </w:r>
            <w:r w:rsidR="003E15D8" w:rsidRPr="00DC3B3D">
              <w:rPr>
                <w:rFonts w:ascii="Times New Roman" w:hAnsi="Times New Roman" w:cs="Times New Roman"/>
                <w:color w:val="000000" w:themeColor="text1"/>
              </w:rPr>
              <w:t>5 </w:t>
            </w:r>
            <w:r w:rsidRPr="00DC3B3D">
              <w:rPr>
                <w:rFonts w:ascii="Times New Roman" w:hAnsi="Times New Roman" w:cs="Times New Roman"/>
                <w:color w:val="000000" w:themeColor="text1"/>
              </w:rPr>
              <w:t>projektu, który wskazuje dostawcę realizującego to uprawnienie. Uzasadnienie uzupełniono</w:t>
            </w:r>
            <w:r w:rsidR="003E15D8" w:rsidRPr="00DC3B3D">
              <w:rPr>
                <w:rFonts w:ascii="Times New Roman" w:hAnsi="Times New Roman" w:cs="Times New Roman"/>
                <w:color w:val="000000" w:themeColor="text1"/>
              </w:rPr>
              <w:t xml:space="preserve"> o </w:t>
            </w:r>
            <w:r w:rsidRPr="00DC3B3D">
              <w:rPr>
                <w:rFonts w:ascii="Times New Roman" w:hAnsi="Times New Roman" w:cs="Times New Roman"/>
                <w:color w:val="000000" w:themeColor="text1"/>
              </w:rPr>
              <w:t>wyjaśnienie tej kwestii.</w:t>
            </w:r>
          </w:p>
          <w:p w14:paraId="0F4A0382" w14:textId="0BE4A3F1" w:rsidR="006A017D" w:rsidRPr="00DC3B3D" w:rsidDel="00F61633" w:rsidRDefault="006A017D" w:rsidP="00072FBB">
            <w:pPr>
              <w:spacing w:before="0" w:after="0" w:line="240" w:lineRule="auto"/>
              <w:jc w:val="both"/>
              <w:rPr>
                <w:rFonts w:ascii="Times New Roman" w:hAnsi="Times New Roman" w:cs="Times New Roman"/>
                <w:b/>
                <w:bCs/>
                <w:color w:val="000000" w:themeColor="text1"/>
              </w:rPr>
            </w:pPr>
          </w:p>
        </w:tc>
      </w:tr>
      <w:tr w:rsidR="006A017D" w:rsidRPr="00DC3B3D" w14:paraId="654849CD"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1379AD17"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3DF219C5" w14:textId="2ECCD0C4" w:rsidR="006A017D" w:rsidRPr="00DC3B3D" w:rsidRDefault="006A017D" w:rsidP="00072FBB">
            <w:pPr>
              <w:spacing w:before="0" w:after="0" w:line="240" w:lineRule="auto"/>
              <w:jc w:val="center"/>
              <w:rPr>
                <w:rFonts w:ascii="Times New Roman" w:eastAsiaTheme="minorHAnsi" w:hAnsi="Times New Roman" w:cs="Times New Roman"/>
                <w:color w:val="000000"/>
                <w:lang w:eastAsia="en-US"/>
              </w:rPr>
            </w:pPr>
            <w:r w:rsidRPr="00DC3B3D">
              <w:rPr>
                <w:rFonts w:ascii="Times New Roman" w:eastAsiaTheme="minorHAnsi" w:hAnsi="Times New Roman" w:cs="Times New Roman"/>
                <w:color w:val="000000"/>
                <w:lang w:eastAsia="en-US"/>
              </w:rPr>
              <w:t>§ 6</w:t>
            </w:r>
          </w:p>
        </w:tc>
        <w:tc>
          <w:tcPr>
            <w:tcW w:w="1580" w:type="dxa"/>
            <w:tcBorders>
              <w:top w:val="single" w:sz="4" w:space="0" w:color="auto"/>
              <w:left w:val="single" w:sz="4" w:space="0" w:color="auto"/>
              <w:bottom w:val="single" w:sz="4" w:space="0" w:color="auto"/>
              <w:right w:val="single" w:sz="4" w:space="0" w:color="auto"/>
            </w:tcBorders>
          </w:tcPr>
          <w:p w14:paraId="0BD36490" w14:textId="08B84091"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2BD9F1CD" w14:textId="017F43DB"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Zgodnie</w:t>
            </w:r>
            <w:r w:rsidR="003E15D8" w:rsidRPr="00DC3B3D">
              <w:rPr>
                <w:rFonts w:ascii="Times New Roman" w:hAnsi="Times New Roman" w:cs="Times New Roman"/>
                <w:sz w:val="20"/>
                <w:szCs w:val="20"/>
              </w:rPr>
              <w:t xml:space="preserve"> z § 6 ust. 1 </w:t>
            </w:r>
            <w:r w:rsidRPr="00DC3B3D">
              <w:rPr>
                <w:rFonts w:ascii="Times New Roman" w:hAnsi="Times New Roman" w:cs="Times New Roman"/>
                <w:sz w:val="20"/>
                <w:szCs w:val="20"/>
              </w:rPr>
              <w:t>projektu nowy dostawca usługi dostępu do internetu nie zapewnia ciągłości świadczenia tej usługi, jeżeli otrzyma rezygnację abonenta</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uprawnienia,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8 ust. 1 </w:t>
            </w:r>
            <w:r w:rsidRPr="00DC3B3D">
              <w:rPr>
                <w:rFonts w:ascii="Times New Roman" w:hAnsi="Times New Roman" w:cs="Times New Roman"/>
                <w:sz w:val="20"/>
                <w:szCs w:val="20"/>
              </w:rPr>
              <w:t>PKE, najpóźniej</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terminie dwóch dni roboczych przed uzgodnionym terminem jego realizacji.</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literalnego brzmienia przepisu wynika zatem, że rezygnacja dotyczy wyłącznie prawa do zachowania ciągłości świadczenia usługi,</w:t>
            </w:r>
            <w:r w:rsidR="003E15D8" w:rsidRPr="00DC3B3D">
              <w:rPr>
                <w:rFonts w:ascii="Times New Roman" w:hAnsi="Times New Roman" w:cs="Times New Roman"/>
                <w:sz w:val="20"/>
                <w:szCs w:val="20"/>
              </w:rPr>
              <w:t xml:space="preserve"> a </w:t>
            </w:r>
            <w:r w:rsidRPr="00DC3B3D">
              <w:rPr>
                <w:rFonts w:ascii="Times New Roman" w:hAnsi="Times New Roman" w:cs="Times New Roman"/>
                <w:sz w:val="20"/>
                <w:szCs w:val="20"/>
              </w:rPr>
              <w:t>nie samego procesu zmiany dostawcy usługi dostępu do internetu. Uzasadnienie projektu nie jest</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tym zakresie jednoznaczne, ponieważ posługuje się sformułowaniami dotyczącymi odstąpienia od realizacji uprawnienia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związku ze zmianą faktycznych potrzeb abonenta. Nie pozwala to jednoznacznie ustalić, czy zamiarem projektodawcy jest wyłącznie umożliwienie rezygnacji</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zachowania ciągłości świadczenia usługi, czy także wycofanie całego wniosku</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zmianę dostawcy.</w:t>
            </w:r>
          </w:p>
          <w:p w14:paraId="12AA5402" w14:textId="77777777" w:rsidR="006A017D" w:rsidRPr="00DC3B3D" w:rsidRDefault="006A017D" w:rsidP="00072FBB">
            <w:pPr>
              <w:pStyle w:val="Default"/>
              <w:jc w:val="both"/>
              <w:rPr>
                <w:rFonts w:ascii="Times New Roman" w:hAnsi="Times New Roman" w:cs="Times New Roman"/>
                <w:sz w:val="20"/>
                <w:szCs w:val="20"/>
              </w:rPr>
            </w:pPr>
          </w:p>
          <w:p w14:paraId="47C596C5" w14:textId="20550022"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Należy zatem jednoznacznie określić zakres oświadczenia składanego na podstawie</w:t>
            </w:r>
            <w:r w:rsidR="003E15D8" w:rsidRPr="00DC3B3D">
              <w:rPr>
                <w:rFonts w:ascii="Times New Roman" w:hAnsi="Times New Roman" w:cs="Times New Roman"/>
                <w:sz w:val="20"/>
                <w:szCs w:val="20"/>
              </w:rPr>
              <w:t xml:space="preserve"> § 6 oraz</w:t>
            </w:r>
            <w:r w:rsidRPr="00DC3B3D">
              <w:rPr>
                <w:rFonts w:ascii="Times New Roman" w:hAnsi="Times New Roman" w:cs="Times New Roman"/>
                <w:sz w:val="20"/>
                <w:szCs w:val="20"/>
              </w:rPr>
              <w:t xml:space="preserve"> jego skutki. Jeżeli rezygnacja ma dotyczyć wyłącznie zachowania ciągłości świadczenia usługi, zasadne jest wyraźne wskazanie, że nie powoduje ona zatrzymania procesu zmiany dostawcy. Jeżeli natomiast zamiarem projektodawcy jest umożliwienie wycofania całego wniosku to obecne brzmienie</w:t>
            </w:r>
            <w:r w:rsidR="003E15D8" w:rsidRPr="00DC3B3D">
              <w:rPr>
                <w:rFonts w:ascii="Times New Roman" w:hAnsi="Times New Roman" w:cs="Times New Roman"/>
                <w:sz w:val="20"/>
                <w:szCs w:val="20"/>
              </w:rPr>
              <w:t xml:space="preserve"> § 6 </w:t>
            </w:r>
            <w:r w:rsidRPr="00DC3B3D">
              <w:rPr>
                <w:rFonts w:ascii="Times New Roman" w:hAnsi="Times New Roman" w:cs="Times New Roman"/>
                <w:sz w:val="20"/>
                <w:szCs w:val="20"/>
              </w:rPr>
              <w:t>nie realizuje tego celu.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takim przypadku konieczne wydaje się również określenie skutków wycofania wniosku dla czynności dokonanych przez dotychczasowego</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nowego dostawcę oraz zweryfikowanie, czy regulacja tych skutków mieści się</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zakresie upoważnienia ustawowego. Ponadto uzasadnienie projektu wskazuje, że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przypadku złożenia rezygnacji dotychczasowemu dostawcy przekazuje on tę rezygnację nowemu dostawcy. Obowiązek taki nie wynika jednak</w:t>
            </w:r>
            <w:r w:rsidR="003E15D8" w:rsidRPr="00DC3B3D">
              <w:rPr>
                <w:rFonts w:ascii="Times New Roman" w:hAnsi="Times New Roman" w:cs="Times New Roman"/>
                <w:sz w:val="20"/>
                <w:szCs w:val="20"/>
              </w:rPr>
              <w:t xml:space="preserve"> z § 6 </w:t>
            </w:r>
            <w:r w:rsidRPr="00DC3B3D">
              <w:rPr>
                <w:rFonts w:ascii="Times New Roman" w:hAnsi="Times New Roman" w:cs="Times New Roman"/>
                <w:sz w:val="20"/>
                <w:szCs w:val="20"/>
              </w:rPr>
              <w:t xml:space="preserve">projektu. Jeżeli przekazanie rezygnacji między dostawcami ma stanowić element projektowanego trybu </w:t>
            </w:r>
            <w:r w:rsidRPr="00DC3B3D">
              <w:rPr>
                <w:rFonts w:ascii="Times New Roman" w:hAnsi="Times New Roman" w:cs="Times New Roman"/>
                <w:sz w:val="20"/>
                <w:szCs w:val="20"/>
              </w:rPr>
              <w:lastRenderedPageBreak/>
              <w:t>postępowania to powinno zostać uregulowane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przepisach rozporządzenia,</w:t>
            </w:r>
            <w:r w:rsidR="003E15D8" w:rsidRPr="00DC3B3D">
              <w:rPr>
                <w:rFonts w:ascii="Times New Roman" w:hAnsi="Times New Roman" w:cs="Times New Roman"/>
                <w:sz w:val="20"/>
                <w:szCs w:val="20"/>
              </w:rPr>
              <w:t xml:space="preserve"> a </w:t>
            </w:r>
            <w:r w:rsidRPr="00DC3B3D">
              <w:rPr>
                <w:rFonts w:ascii="Times New Roman" w:hAnsi="Times New Roman" w:cs="Times New Roman"/>
                <w:sz w:val="20"/>
                <w:szCs w:val="20"/>
              </w:rPr>
              <w:t>nie wyłącznie opisane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jego uzasadnieniu;</w:t>
            </w:r>
          </w:p>
        </w:tc>
        <w:tc>
          <w:tcPr>
            <w:tcW w:w="3114" w:type="dxa"/>
            <w:tcBorders>
              <w:top w:val="single" w:sz="4" w:space="0" w:color="auto"/>
              <w:left w:val="single" w:sz="4" w:space="0" w:color="auto"/>
              <w:bottom w:val="single" w:sz="4" w:space="0" w:color="auto"/>
              <w:right w:val="single" w:sz="4" w:space="0" w:color="auto"/>
            </w:tcBorders>
          </w:tcPr>
          <w:p w14:paraId="6C6AB4EE" w14:textId="394D4DE8" w:rsidR="006A017D" w:rsidRPr="00DC3B3D" w:rsidRDefault="4F0784E0" w:rsidP="00072FBB">
            <w:pPr>
              <w:pStyle w:val="Default"/>
              <w:jc w:val="both"/>
              <w:rPr>
                <w:rFonts w:ascii="Times New Roman" w:hAnsi="Times New Roman" w:cs="Times New Roman"/>
                <w:b/>
                <w:bCs/>
                <w:sz w:val="20"/>
                <w:szCs w:val="20"/>
              </w:rPr>
            </w:pPr>
            <w:r w:rsidRPr="00DC3B3D">
              <w:rPr>
                <w:rFonts w:ascii="Times New Roman" w:hAnsi="Times New Roman" w:cs="Times New Roman"/>
                <w:b/>
                <w:bCs/>
                <w:sz w:val="20"/>
                <w:szCs w:val="20"/>
              </w:rPr>
              <w:lastRenderedPageBreak/>
              <w:t>Uwaga nieuwzględniona</w:t>
            </w:r>
          </w:p>
          <w:p w14:paraId="2B4DFD78" w14:textId="6C20B9A4" w:rsidR="006A017D" w:rsidRPr="00DC3B3D" w:rsidRDefault="2FDA1060"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Nomenklatura użyta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przepisach rozporządzenia jest zgodna</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ustawą. Uprawnieniem,</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8 ust. 1 </w:t>
            </w:r>
            <w:r w:rsidRPr="00DC3B3D">
              <w:rPr>
                <w:rFonts w:ascii="Times New Roman" w:hAnsi="Times New Roman" w:cs="Times New Roman"/>
                <w:sz w:val="20"/>
                <w:szCs w:val="20"/>
              </w:rPr>
              <w:t>ustawy, jest prawo abonenta do zachowania ciągłości świadczenia usługi dostępu do internetu,</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czym wiąże się zmiana dostawcy usługi dostępu do internetu. Jeżeli abonent zrezygnuje</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procedowania wniosku, rezygnacja ta będzie dotyczyć również zmiany dostawcy usługi dostępu do internetu.</w:t>
            </w:r>
          </w:p>
          <w:p w14:paraId="0235CEB9" w14:textId="2F520085" w:rsidR="006A017D" w:rsidRPr="00DC3B3D" w:rsidDel="00F61633" w:rsidRDefault="006A017D" w:rsidP="00072FBB">
            <w:pPr>
              <w:pStyle w:val="Default"/>
              <w:jc w:val="both"/>
              <w:rPr>
                <w:rFonts w:ascii="Times New Roman" w:hAnsi="Times New Roman" w:cs="Times New Roman"/>
                <w:b/>
                <w:bCs/>
                <w:sz w:val="20"/>
                <w:szCs w:val="20"/>
              </w:rPr>
            </w:pPr>
          </w:p>
        </w:tc>
      </w:tr>
      <w:tr w:rsidR="006A017D" w:rsidRPr="00DC3B3D" w14:paraId="4FF560DC"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7E12A1B7"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2BD2D2C2" w14:textId="141B8B42" w:rsidR="006A017D" w:rsidRPr="00DC3B3D" w:rsidRDefault="006A017D" w:rsidP="00072FBB">
            <w:pPr>
              <w:spacing w:before="0" w:after="0" w:line="240" w:lineRule="auto"/>
              <w:jc w:val="center"/>
              <w:rPr>
                <w:rFonts w:ascii="Times New Roman" w:eastAsiaTheme="minorHAnsi" w:hAnsi="Times New Roman" w:cs="Times New Roman"/>
                <w:color w:val="000000"/>
                <w:lang w:eastAsia="en-US"/>
              </w:rPr>
            </w:pPr>
            <w:r w:rsidRPr="00DC3B3D">
              <w:rPr>
                <w:rFonts w:ascii="Times New Roman" w:eastAsiaTheme="minorHAnsi" w:hAnsi="Times New Roman" w:cs="Times New Roman"/>
                <w:color w:val="000000"/>
                <w:lang w:eastAsia="en-US"/>
              </w:rPr>
              <w:t>§ 6</w:t>
            </w:r>
          </w:p>
        </w:tc>
        <w:tc>
          <w:tcPr>
            <w:tcW w:w="1580" w:type="dxa"/>
            <w:tcBorders>
              <w:top w:val="single" w:sz="4" w:space="0" w:color="auto"/>
              <w:left w:val="single" w:sz="4" w:space="0" w:color="auto"/>
              <w:bottom w:val="single" w:sz="4" w:space="0" w:color="auto"/>
              <w:right w:val="single" w:sz="4" w:space="0" w:color="auto"/>
            </w:tcBorders>
          </w:tcPr>
          <w:p w14:paraId="51EC17E5" w14:textId="70FEE4DD"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Ochrony Konkurencji i Konsumentów</w:t>
            </w:r>
          </w:p>
        </w:tc>
        <w:tc>
          <w:tcPr>
            <w:tcW w:w="7024" w:type="dxa"/>
            <w:tcBorders>
              <w:top w:val="single" w:sz="4" w:space="0" w:color="auto"/>
              <w:left w:val="single" w:sz="4" w:space="0" w:color="auto"/>
              <w:bottom w:val="single" w:sz="4" w:space="0" w:color="auto"/>
              <w:right w:val="single" w:sz="4" w:space="0" w:color="auto"/>
            </w:tcBorders>
          </w:tcPr>
          <w:p w14:paraId="695D879A" w14:textId="2D643800"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W pierwszej kolejności proponuję rozważenie uzupełnienie</w:t>
            </w:r>
            <w:r w:rsidR="003E15D8" w:rsidRPr="00DC3B3D">
              <w:rPr>
                <w:rFonts w:ascii="Times New Roman" w:hAnsi="Times New Roman" w:cs="Times New Roman"/>
                <w:sz w:val="20"/>
                <w:szCs w:val="20"/>
              </w:rPr>
              <w:t xml:space="preserve"> § 6 </w:t>
            </w:r>
            <w:r w:rsidRPr="00DC3B3D">
              <w:rPr>
                <w:rFonts w:ascii="Times New Roman" w:hAnsi="Times New Roman" w:cs="Times New Roman"/>
                <w:sz w:val="20"/>
                <w:szCs w:val="20"/>
              </w:rPr>
              <w:t>projektu poprzez nałożenie na dostawcę usługi obowiązku niezwłocznego potwierdzenia abonentowi przyjęcia rezygnacji</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realizacji uprawnienia,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8 ust. 1 </w:t>
            </w:r>
            <w:r w:rsidRPr="00DC3B3D">
              <w:rPr>
                <w:rFonts w:ascii="Times New Roman" w:hAnsi="Times New Roman" w:cs="Times New Roman"/>
                <w:sz w:val="20"/>
                <w:szCs w:val="20"/>
              </w:rPr>
              <w:t>ustawy</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dnia 1</w:t>
            </w:r>
            <w:r w:rsidR="003E15D8" w:rsidRPr="00DC3B3D">
              <w:rPr>
                <w:rFonts w:ascii="Times New Roman" w:hAnsi="Times New Roman" w:cs="Times New Roman"/>
                <w:sz w:val="20"/>
                <w:szCs w:val="20"/>
              </w:rPr>
              <w:t>2 </w:t>
            </w:r>
            <w:r w:rsidRPr="00DC3B3D">
              <w:rPr>
                <w:rFonts w:ascii="Times New Roman" w:hAnsi="Times New Roman" w:cs="Times New Roman"/>
                <w:sz w:val="20"/>
                <w:szCs w:val="20"/>
              </w:rPr>
              <w:t>lipca 202</w:t>
            </w:r>
            <w:r w:rsidR="003E15D8" w:rsidRPr="00DC3B3D">
              <w:rPr>
                <w:rFonts w:ascii="Times New Roman" w:hAnsi="Times New Roman" w:cs="Times New Roman"/>
                <w:sz w:val="20"/>
                <w:szCs w:val="20"/>
              </w:rPr>
              <w:t>4 </w:t>
            </w:r>
            <w:r w:rsidRPr="00DC3B3D">
              <w:rPr>
                <w:rFonts w:ascii="Times New Roman" w:hAnsi="Times New Roman" w:cs="Times New Roman"/>
                <w:sz w:val="20"/>
                <w:szCs w:val="20"/>
              </w:rPr>
              <w:t>r. Prawo komunikacji elektronicznej (dalej: „PKE”). Wprowadzenie takiego obowiązku pozwoliłoby na jednoznaczne ustalenie momentu skutecznego złożenia oświadczenia przez abonenta oraz wyeliminuje potencjalne wątpliwości dotyczące jego przyjęcia przez dostawcę usług. Jednocześnie rozwiązanie to zwiększy poziom ochrony abonenta poprzez zapewnienie mu informacji zwrotnej oraz umożliwi mu podejmowanie dalszych decyzji</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oparciu</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pewny stan faktyczny</w:t>
            </w:r>
          </w:p>
        </w:tc>
        <w:tc>
          <w:tcPr>
            <w:tcW w:w="3114" w:type="dxa"/>
            <w:tcBorders>
              <w:top w:val="single" w:sz="4" w:space="0" w:color="auto"/>
              <w:left w:val="single" w:sz="4" w:space="0" w:color="auto"/>
              <w:bottom w:val="single" w:sz="4" w:space="0" w:color="auto"/>
              <w:right w:val="single" w:sz="4" w:space="0" w:color="auto"/>
            </w:tcBorders>
          </w:tcPr>
          <w:p w14:paraId="7F8B0D12" w14:textId="43F9B70F" w:rsidR="7278D20C" w:rsidRPr="00DC3B3D" w:rsidRDefault="712D4BD3" w:rsidP="00072FBB">
            <w:pPr>
              <w:pStyle w:val="Default"/>
              <w:jc w:val="both"/>
              <w:rPr>
                <w:rFonts w:ascii="Times New Roman" w:hAnsi="Times New Roman" w:cs="Times New Roman"/>
                <w:b/>
                <w:bCs/>
                <w:sz w:val="20"/>
                <w:szCs w:val="20"/>
              </w:rPr>
            </w:pPr>
            <w:r w:rsidRPr="00DC3B3D">
              <w:rPr>
                <w:rFonts w:ascii="Times New Roman" w:hAnsi="Times New Roman" w:cs="Times New Roman"/>
                <w:b/>
                <w:bCs/>
                <w:sz w:val="20"/>
                <w:szCs w:val="20"/>
              </w:rPr>
              <w:t xml:space="preserve">Uwaga </w:t>
            </w:r>
            <w:r w:rsidR="6F3CDE3F" w:rsidRPr="00DC3B3D">
              <w:rPr>
                <w:rFonts w:ascii="Times New Roman" w:hAnsi="Times New Roman" w:cs="Times New Roman"/>
                <w:b/>
                <w:bCs/>
                <w:sz w:val="20"/>
                <w:szCs w:val="20"/>
              </w:rPr>
              <w:t>n</w:t>
            </w:r>
            <w:r w:rsidR="631A3BE7" w:rsidRPr="00DC3B3D">
              <w:rPr>
                <w:rFonts w:ascii="Times New Roman" w:hAnsi="Times New Roman" w:cs="Times New Roman"/>
                <w:b/>
                <w:bCs/>
                <w:sz w:val="20"/>
                <w:szCs w:val="20"/>
              </w:rPr>
              <w:t>ie</w:t>
            </w:r>
            <w:r w:rsidR="38A2AE9D" w:rsidRPr="00DC3B3D">
              <w:rPr>
                <w:rFonts w:ascii="Times New Roman" w:hAnsi="Times New Roman" w:cs="Times New Roman"/>
                <w:b/>
                <w:bCs/>
                <w:sz w:val="20"/>
                <w:szCs w:val="20"/>
              </w:rPr>
              <w:t>uwzględniona</w:t>
            </w:r>
          </w:p>
          <w:p w14:paraId="44280FDD" w14:textId="4AF11B3F" w:rsidR="006A017D" w:rsidRPr="00DC3B3D" w:rsidDel="00F61633" w:rsidRDefault="38A2AE9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Nie zdecydowano się na wprowadzenie odrębnego obowiązku potwierdzania abonentowi przyjęcia rezygnacji. Dla zastosowania</w:t>
            </w:r>
            <w:r w:rsidR="003E15D8" w:rsidRPr="00DC3B3D">
              <w:rPr>
                <w:rFonts w:ascii="Times New Roman" w:hAnsi="Times New Roman" w:cs="Times New Roman"/>
                <w:sz w:val="20"/>
                <w:szCs w:val="20"/>
              </w:rPr>
              <w:t xml:space="preserve"> § 6 ust. 1 </w:t>
            </w:r>
            <w:r w:rsidRPr="00DC3B3D">
              <w:rPr>
                <w:rFonts w:ascii="Times New Roman" w:hAnsi="Times New Roman" w:cs="Times New Roman"/>
                <w:sz w:val="20"/>
                <w:szCs w:val="20"/>
              </w:rPr>
              <w:t>projektu znaczenie ma otrzymanie rezygnacji przez nowego dostawcę</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terminie określonym</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tym przepisie. Wymiana informacji między dostawcami odbywa się obecnie zgodnie</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wytycznymi Prezesa UKE,</w:t>
            </w:r>
            <w:r w:rsidR="003E15D8" w:rsidRPr="00DC3B3D">
              <w:rPr>
                <w:rFonts w:ascii="Times New Roman" w:hAnsi="Times New Roman" w:cs="Times New Roman"/>
                <w:sz w:val="20"/>
                <w:szCs w:val="20"/>
              </w:rPr>
              <w:t xml:space="preserve"> a </w:t>
            </w:r>
            <w:r w:rsidRPr="00DC3B3D">
              <w:rPr>
                <w:rFonts w:ascii="Times New Roman" w:hAnsi="Times New Roman" w:cs="Times New Roman"/>
                <w:sz w:val="20"/>
                <w:szCs w:val="20"/>
              </w:rPr>
              <w:t>docelowo będzie się odbywać za pomocą systemu,</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1 </w:t>
            </w:r>
            <w:r w:rsidRPr="00DC3B3D">
              <w:rPr>
                <w:rFonts w:ascii="Times New Roman" w:hAnsi="Times New Roman" w:cs="Times New Roman"/>
                <w:sz w:val="20"/>
                <w:szCs w:val="20"/>
              </w:rPr>
              <w:t>PKE.</w:t>
            </w:r>
          </w:p>
        </w:tc>
      </w:tr>
      <w:tr w:rsidR="006A017D" w:rsidRPr="00DC3B3D" w14:paraId="5089A78B"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4EA7DEC1"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19197219" w14:textId="08B95913" w:rsidR="006A017D" w:rsidRPr="00DC3B3D" w:rsidRDefault="006A017D" w:rsidP="00072FBB">
            <w:pPr>
              <w:spacing w:before="0" w:after="0" w:line="240" w:lineRule="auto"/>
              <w:jc w:val="center"/>
              <w:rPr>
                <w:rFonts w:ascii="Times New Roman" w:hAnsi="Times New Roman" w:cs="Times New Roman"/>
              </w:rPr>
            </w:pPr>
            <w:r w:rsidRPr="00DC3B3D">
              <w:rPr>
                <w:rFonts w:ascii="Times New Roman" w:hAnsi="Times New Roman" w:cs="Times New Roman"/>
              </w:rPr>
              <w:t>§ 10,</w:t>
            </w:r>
            <w:r w:rsidR="003E15D8" w:rsidRPr="00DC3B3D">
              <w:rPr>
                <w:rFonts w:ascii="Times New Roman" w:hAnsi="Times New Roman" w:cs="Times New Roman"/>
              </w:rPr>
              <w:t xml:space="preserve"> § </w:t>
            </w:r>
            <w:r w:rsidRPr="00DC3B3D">
              <w:rPr>
                <w:rFonts w:ascii="Times New Roman" w:hAnsi="Times New Roman" w:cs="Times New Roman"/>
              </w:rPr>
              <w:t>1</w:t>
            </w:r>
            <w:r w:rsidR="003E15D8" w:rsidRPr="00DC3B3D">
              <w:rPr>
                <w:rFonts w:ascii="Times New Roman" w:hAnsi="Times New Roman" w:cs="Times New Roman"/>
              </w:rPr>
              <w:t>3 i § </w:t>
            </w:r>
            <w:r w:rsidRPr="00DC3B3D">
              <w:rPr>
                <w:rFonts w:ascii="Times New Roman" w:hAnsi="Times New Roman" w:cs="Times New Roman"/>
              </w:rPr>
              <w:t>16</w:t>
            </w:r>
          </w:p>
        </w:tc>
        <w:tc>
          <w:tcPr>
            <w:tcW w:w="1580" w:type="dxa"/>
            <w:tcBorders>
              <w:top w:val="single" w:sz="4" w:space="0" w:color="auto"/>
              <w:left w:val="single" w:sz="4" w:space="0" w:color="auto"/>
              <w:bottom w:val="single" w:sz="4" w:space="0" w:color="auto"/>
              <w:right w:val="single" w:sz="4" w:space="0" w:color="auto"/>
            </w:tcBorders>
          </w:tcPr>
          <w:p w14:paraId="003AF6B6" w14:textId="30717B42"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71175E7C" w14:textId="2386FFE6" w:rsidR="006A017D" w:rsidRPr="00DC3B3D" w:rsidDel="00F61633"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Proponuje się rozważyć uzupełnienie</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10,</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3 i §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6 </w:t>
            </w:r>
            <w:r w:rsidRPr="00DC3B3D">
              <w:rPr>
                <w:rFonts w:ascii="Times New Roman" w:hAnsi="Times New Roman" w:cs="Times New Roman"/>
                <w:sz w:val="20"/>
                <w:szCs w:val="20"/>
              </w:rPr>
              <w:t>projektu</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jednoznaczne wskazanie numeru albo numerów objętych wnioskiem. Wprawdzie</w:t>
            </w:r>
            <w:r w:rsidR="003E15D8" w:rsidRPr="00DC3B3D">
              <w:rPr>
                <w:rFonts w:ascii="Times New Roman" w:hAnsi="Times New Roman" w:cs="Times New Roman"/>
                <w:sz w:val="20"/>
                <w:szCs w:val="20"/>
              </w:rPr>
              <w:t xml:space="preserve"> art. </w:t>
            </w:r>
            <w:r w:rsidRPr="00DC3B3D">
              <w:rPr>
                <w:rFonts w:ascii="Times New Roman" w:hAnsi="Times New Roman" w:cs="Times New Roman"/>
                <w:sz w:val="20"/>
                <w:szCs w:val="20"/>
              </w:rPr>
              <w:t>33</w:t>
            </w:r>
            <w:r w:rsidR="003E15D8" w:rsidRPr="00DC3B3D">
              <w:rPr>
                <w:rFonts w:ascii="Times New Roman" w:hAnsi="Times New Roman" w:cs="Times New Roman"/>
                <w:sz w:val="20"/>
                <w:szCs w:val="20"/>
              </w:rPr>
              <w:t>0 ust. 3 </w:t>
            </w:r>
            <w:r w:rsidRPr="00DC3B3D">
              <w:rPr>
                <w:rFonts w:ascii="Times New Roman" w:hAnsi="Times New Roman" w:cs="Times New Roman"/>
                <w:sz w:val="20"/>
                <w:szCs w:val="20"/>
              </w:rPr>
              <w:t>PKE wymaga wskazania we wniosku żądania abonenta, jednak</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przypadku abonenta korzystającego</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więcej niż jednego numeru samo odwołanie się do zakresu żądania może nie być wystarczająco jednoznaczne dla ustalenia przedmiotu postępowania. Dla zapewnienia pewności</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sprawności procedury zasadne wydaje się wyraźne wskazanie numeru albo numerów objętych wnioskiem jako informacji niezbędnych do realizacji danego uprawnienia;</w:t>
            </w:r>
          </w:p>
        </w:tc>
        <w:tc>
          <w:tcPr>
            <w:tcW w:w="3114" w:type="dxa"/>
            <w:tcBorders>
              <w:top w:val="single" w:sz="4" w:space="0" w:color="auto"/>
              <w:left w:val="single" w:sz="4" w:space="0" w:color="auto"/>
              <w:bottom w:val="single" w:sz="4" w:space="0" w:color="auto"/>
              <w:right w:val="single" w:sz="4" w:space="0" w:color="auto"/>
            </w:tcBorders>
          </w:tcPr>
          <w:p w14:paraId="5C1B2D80" w14:textId="77777777" w:rsidR="006A017D" w:rsidRPr="00DC3B3D" w:rsidRDefault="631A3BE7" w:rsidP="00072FBB">
            <w:pPr>
              <w:pStyle w:val="Default"/>
              <w:jc w:val="both"/>
              <w:rPr>
                <w:rFonts w:ascii="Times New Roman" w:hAnsi="Times New Roman" w:cs="Times New Roman"/>
                <w:b/>
                <w:bCs/>
                <w:sz w:val="20"/>
                <w:szCs w:val="20"/>
              </w:rPr>
            </w:pPr>
            <w:r w:rsidRPr="00DC3B3D">
              <w:rPr>
                <w:rFonts w:ascii="Times New Roman" w:hAnsi="Times New Roman" w:cs="Times New Roman"/>
                <w:b/>
                <w:bCs/>
                <w:sz w:val="20"/>
                <w:szCs w:val="20"/>
              </w:rPr>
              <w:t>Uwaga nieuwzględniona</w:t>
            </w:r>
          </w:p>
          <w:p w14:paraId="2890A7FF" w14:textId="6BC7D323" w:rsidR="006A017D" w:rsidRPr="00DC3B3D" w:rsidDel="00F61633" w:rsidRDefault="5DDAE326" w:rsidP="00072FBB">
            <w:pPr>
              <w:pStyle w:val="Default"/>
              <w:jc w:val="both"/>
              <w:rPr>
                <w:rFonts w:ascii="Times New Roman" w:hAnsi="Times New Roman" w:cs="Times New Roman"/>
                <w:b/>
                <w:bCs/>
                <w:sz w:val="20"/>
                <w:szCs w:val="20"/>
              </w:rPr>
            </w:pPr>
            <w:r w:rsidRPr="00DC3B3D">
              <w:rPr>
                <w:rFonts w:ascii="Times New Roman" w:hAnsi="Times New Roman" w:cs="Times New Roman"/>
                <w:sz w:val="20"/>
                <w:szCs w:val="20"/>
              </w:rPr>
              <w:t>Art. 33</w:t>
            </w:r>
            <w:r w:rsidR="003E15D8" w:rsidRPr="00DC3B3D">
              <w:rPr>
                <w:rFonts w:ascii="Times New Roman" w:hAnsi="Times New Roman" w:cs="Times New Roman"/>
                <w:sz w:val="20"/>
                <w:szCs w:val="20"/>
              </w:rPr>
              <w:t>0 ust. 3 </w:t>
            </w:r>
            <w:r w:rsidRPr="00DC3B3D">
              <w:rPr>
                <w:rFonts w:ascii="Times New Roman" w:hAnsi="Times New Roman" w:cs="Times New Roman"/>
                <w:sz w:val="20"/>
                <w:szCs w:val="20"/>
              </w:rPr>
              <w:t>ustawy określa informacje, które powinien zawierać wniosek</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realizację danego uprawnienia.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przypadku uprawnień dotyczących numeru wskazanie żądania abonenta,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którym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33</w:t>
            </w:r>
            <w:r w:rsidR="003E15D8" w:rsidRPr="00DC3B3D">
              <w:rPr>
                <w:rFonts w:ascii="Times New Roman" w:hAnsi="Times New Roman" w:cs="Times New Roman"/>
                <w:sz w:val="20"/>
                <w:szCs w:val="20"/>
              </w:rPr>
              <w:t>0 ust. 3 pkt 2 </w:t>
            </w:r>
            <w:r w:rsidRPr="00DC3B3D">
              <w:rPr>
                <w:rFonts w:ascii="Times New Roman" w:hAnsi="Times New Roman" w:cs="Times New Roman"/>
                <w:sz w:val="20"/>
                <w:szCs w:val="20"/>
              </w:rPr>
              <w:t>ustawy, obejmuje określenie numeru albo numerów, których dotyczy żądanie. Jeżeli po otrzymaniu wniosku dostawca miałby wątpliwości co do jego zakresu, powinien zwrócić się do abonenta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uzupełnienie wniosku zgodnie</w:t>
            </w:r>
            <w:r w:rsidR="003E15D8" w:rsidRPr="00DC3B3D">
              <w:rPr>
                <w:rFonts w:ascii="Times New Roman" w:hAnsi="Times New Roman" w:cs="Times New Roman"/>
                <w:sz w:val="20"/>
                <w:szCs w:val="20"/>
              </w:rPr>
              <w:t xml:space="preserve"> z art. </w:t>
            </w:r>
            <w:r w:rsidRPr="00DC3B3D">
              <w:rPr>
                <w:rFonts w:ascii="Times New Roman" w:hAnsi="Times New Roman" w:cs="Times New Roman"/>
                <w:sz w:val="20"/>
                <w:szCs w:val="20"/>
              </w:rPr>
              <w:t>33</w:t>
            </w:r>
            <w:r w:rsidR="003E15D8" w:rsidRPr="00DC3B3D">
              <w:rPr>
                <w:rFonts w:ascii="Times New Roman" w:hAnsi="Times New Roman" w:cs="Times New Roman"/>
                <w:sz w:val="20"/>
                <w:szCs w:val="20"/>
              </w:rPr>
              <w:t>0 ust. 4 </w:t>
            </w:r>
            <w:r w:rsidRPr="00DC3B3D">
              <w:rPr>
                <w:rFonts w:ascii="Times New Roman" w:hAnsi="Times New Roman" w:cs="Times New Roman"/>
                <w:sz w:val="20"/>
                <w:szCs w:val="20"/>
              </w:rPr>
              <w:t>ustawy.</w:t>
            </w:r>
          </w:p>
        </w:tc>
      </w:tr>
      <w:tr w:rsidR="006A017D" w:rsidRPr="00DC3B3D" w14:paraId="020E64CA"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3D6708CA"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34C9117D" w14:textId="35BD204F" w:rsidR="006A017D" w:rsidRPr="00DC3B3D" w:rsidRDefault="006A017D" w:rsidP="00072FBB">
            <w:pPr>
              <w:spacing w:before="0" w:after="0" w:line="240" w:lineRule="auto"/>
              <w:jc w:val="center"/>
              <w:rPr>
                <w:rFonts w:ascii="Times New Roman" w:hAnsi="Times New Roman" w:cs="Times New Roman"/>
              </w:rPr>
            </w:pPr>
            <w:r w:rsidRPr="00DC3B3D">
              <w:rPr>
                <w:rFonts w:ascii="Times New Roman" w:hAnsi="Times New Roman" w:cs="Times New Roman"/>
              </w:rPr>
              <w:t>§ 1</w:t>
            </w:r>
            <w:r w:rsidR="003E15D8" w:rsidRPr="00DC3B3D">
              <w:rPr>
                <w:rFonts w:ascii="Times New Roman" w:hAnsi="Times New Roman" w:cs="Times New Roman"/>
              </w:rPr>
              <w:t>0 ust. </w:t>
            </w:r>
            <w:r w:rsidRPr="00DC3B3D">
              <w:rPr>
                <w:rFonts w:ascii="Times New Roman" w:hAnsi="Times New Roman" w:cs="Times New Roman"/>
              </w:rPr>
              <w:t>2</w:t>
            </w:r>
          </w:p>
        </w:tc>
        <w:tc>
          <w:tcPr>
            <w:tcW w:w="1580" w:type="dxa"/>
            <w:tcBorders>
              <w:top w:val="single" w:sz="4" w:space="0" w:color="auto"/>
              <w:left w:val="single" w:sz="4" w:space="0" w:color="auto"/>
              <w:bottom w:val="single" w:sz="4" w:space="0" w:color="auto"/>
              <w:right w:val="single" w:sz="4" w:space="0" w:color="auto"/>
            </w:tcBorders>
          </w:tcPr>
          <w:p w14:paraId="20B0B5AA" w14:textId="6706AF60"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3635F8A6" w14:textId="6E87D7AF"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Proponuje się rozważenie obowiązku podania przez abonenta dat</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godzin połączeń powodujących uciążliwość. Nie budzi wątpliwości potrzeba przedstawienia informacji umożliwiających dostawcy ocenę występowania uciążliwości uzasadniającej zmianę numeru. Projektowany przepis ma jednak charakter bezwzględny</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może prowadzić do nadmiernego utrudnienia skorzystania</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uprawnienia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przypadku, gdy abonent nie dysponuje dokładnymi danymi dotyczącymi wszystkich zdarzeń powodujących uciążliwość. Projektowany przepis</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0 ust. 2 </w:t>
            </w:r>
            <w:r w:rsidRPr="00DC3B3D">
              <w:rPr>
                <w:rFonts w:ascii="Times New Roman" w:hAnsi="Times New Roman" w:cs="Times New Roman"/>
                <w:sz w:val="20"/>
                <w:szCs w:val="20"/>
              </w:rPr>
              <w:t>może budzić wątpliwości również pod kątem granic upoważnienia zawartego</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33</w:t>
            </w:r>
            <w:r w:rsidR="003E15D8" w:rsidRPr="00DC3B3D">
              <w:rPr>
                <w:rFonts w:ascii="Times New Roman" w:hAnsi="Times New Roman" w:cs="Times New Roman"/>
                <w:sz w:val="20"/>
                <w:szCs w:val="20"/>
              </w:rPr>
              <w:t>0 ust. 6 </w:t>
            </w:r>
            <w:r w:rsidRPr="00DC3B3D">
              <w:rPr>
                <w:rFonts w:ascii="Times New Roman" w:hAnsi="Times New Roman" w:cs="Times New Roman"/>
                <w:sz w:val="20"/>
                <w:szCs w:val="20"/>
              </w:rPr>
              <w:t>PKE. Art. 32</w:t>
            </w:r>
            <w:r w:rsidR="003E15D8" w:rsidRPr="00DC3B3D">
              <w:rPr>
                <w:rFonts w:ascii="Times New Roman" w:hAnsi="Times New Roman" w:cs="Times New Roman"/>
                <w:sz w:val="20"/>
                <w:szCs w:val="20"/>
              </w:rPr>
              <w:t>3 </w:t>
            </w:r>
            <w:r w:rsidRPr="00DC3B3D">
              <w:rPr>
                <w:rFonts w:ascii="Times New Roman" w:hAnsi="Times New Roman" w:cs="Times New Roman"/>
                <w:sz w:val="20"/>
                <w:szCs w:val="20"/>
              </w:rPr>
              <w:t>PKE uzależnia realizację uprawnienia do zmiany numeru od wykazania przez abonenta, że korzystanie</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przydzielonego numeru jest uciążliwe, nie ograniczając jednak sposobu wykazania tej okoliczności. Tymczasem projektowany przepis bezwzględnie wymaga podania dat</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godzin połączeń powodujących uciążliwość. Należy mieć na uwadze, że zgodnie</w:t>
            </w:r>
            <w:r w:rsidR="003E15D8" w:rsidRPr="00DC3B3D">
              <w:rPr>
                <w:rFonts w:ascii="Times New Roman" w:hAnsi="Times New Roman" w:cs="Times New Roman"/>
                <w:sz w:val="20"/>
                <w:szCs w:val="20"/>
              </w:rPr>
              <w:t xml:space="preserve"> z art. </w:t>
            </w:r>
            <w:r w:rsidRPr="00DC3B3D">
              <w:rPr>
                <w:rFonts w:ascii="Times New Roman" w:hAnsi="Times New Roman" w:cs="Times New Roman"/>
                <w:sz w:val="20"/>
                <w:szCs w:val="20"/>
              </w:rPr>
              <w:t>33</w:t>
            </w:r>
            <w:r w:rsidR="003E15D8" w:rsidRPr="00DC3B3D">
              <w:rPr>
                <w:rFonts w:ascii="Times New Roman" w:hAnsi="Times New Roman" w:cs="Times New Roman"/>
                <w:sz w:val="20"/>
                <w:szCs w:val="20"/>
              </w:rPr>
              <w:t>0 ust. 4 </w:t>
            </w:r>
            <w:r w:rsidRPr="00DC3B3D">
              <w:rPr>
                <w:rFonts w:ascii="Times New Roman" w:hAnsi="Times New Roman" w:cs="Times New Roman"/>
                <w:sz w:val="20"/>
                <w:szCs w:val="20"/>
              </w:rPr>
              <w:t>PKE brak informacji niezbędnych dla realizacji uprawnienia może prowadzić, po bezskutecznym wezwaniu do uzupełnienia, do pozostawienia wniosku bez rozpatrzenia. Powstaje zatem wątpliwość, czy projektowana regulacja, ustanawiając bezwzględny obowiązek podania dokładnych dat</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godzin połączeń, nie przekształca jednego</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możliwych sposobów wykazania ustawowej przesłanki uciążliwości</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dodatkowy formalny warunek realizacji uprawnienia, niewynikający</w:t>
            </w:r>
            <w:r w:rsidR="003E15D8" w:rsidRPr="00DC3B3D">
              <w:rPr>
                <w:rFonts w:ascii="Times New Roman" w:hAnsi="Times New Roman" w:cs="Times New Roman"/>
                <w:sz w:val="20"/>
                <w:szCs w:val="20"/>
              </w:rPr>
              <w:t xml:space="preserve"> z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3 </w:t>
            </w:r>
            <w:r w:rsidRPr="00DC3B3D">
              <w:rPr>
                <w:rFonts w:ascii="Times New Roman" w:hAnsi="Times New Roman" w:cs="Times New Roman"/>
                <w:sz w:val="20"/>
                <w:szCs w:val="20"/>
              </w:rPr>
              <w:t>PKE. Zasadne jest rozważenie bardziej elastycznego ukształtowania przepisu,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szczególności przez zobowiązanie abonenta do wskazania posiadanych informacji pozwalających na identyfikację połączeń powodujących uciążliwość,</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tym –</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miarę możliwości – ich dat</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godzin;</w:t>
            </w:r>
          </w:p>
        </w:tc>
        <w:tc>
          <w:tcPr>
            <w:tcW w:w="3114" w:type="dxa"/>
            <w:tcBorders>
              <w:top w:val="single" w:sz="4" w:space="0" w:color="auto"/>
              <w:left w:val="single" w:sz="4" w:space="0" w:color="auto"/>
              <w:bottom w:val="single" w:sz="4" w:space="0" w:color="auto"/>
              <w:right w:val="single" w:sz="4" w:space="0" w:color="auto"/>
            </w:tcBorders>
          </w:tcPr>
          <w:p w14:paraId="0E6062A8" w14:textId="60BAB830" w:rsidR="006A017D" w:rsidRPr="00DC3B3D" w:rsidRDefault="60AA7623" w:rsidP="00072FBB">
            <w:pPr>
              <w:spacing w:before="0" w:after="0" w:line="240" w:lineRule="auto"/>
              <w:jc w:val="both"/>
              <w:rPr>
                <w:rFonts w:ascii="Times New Roman" w:hAnsi="Times New Roman" w:cs="Times New Roman"/>
                <w:b/>
                <w:bCs/>
                <w:color w:val="000000" w:themeColor="text1"/>
              </w:rPr>
            </w:pPr>
            <w:r w:rsidRPr="00DC3B3D">
              <w:rPr>
                <w:rFonts w:ascii="Times New Roman" w:hAnsi="Times New Roman" w:cs="Times New Roman"/>
                <w:b/>
                <w:bCs/>
                <w:color w:val="000000" w:themeColor="text1"/>
              </w:rPr>
              <w:t xml:space="preserve">Uwaga </w:t>
            </w:r>
            <w:r w:rsidR="00787C3E" w:rsidRPr="00DC3B3D">
              <w:rPr>
                <w:rFonts w:ascii="Times New Roman" w:hAnsi="Times New Roman" w:cs="Times New Roman"/>
                <w:b/>
                <w:bCs/>
                <w:color w:val="000000" w:themeColor="text1"/>
              </w:rPr>
              <w:t>uwzględniona</w:t>
            </w:r>
          </w:p>
          <w:p w14:paraId="7B95799C" w14:textId="66FDC63A" w:rsidR="006A017D" w:rsidRPr="00DC3B3D" w:rsidRDefault="00787C3E" w:rsidP="00072FBB">
            <w:pPr>
              <w:spacing w:before="0" w:after="0" w:line="240" w:lineRule="auto"/>
              <w:jc w:val="both"/>
              <w:rPr>
                <w:rFonts w:ascii="Times New Roman" w:hAnsi="Times New Roman" w:cs="Times New Roman"/>
                <w:color w:val="000000" w:themeColor="text1"/>
              </w:rPr>
            </w:pPr>
            <w:r w:rsidRPr="00DC3B3D">
              <w:rPr>
                <w:rFonts w:ascii="Times New Roman" w:hAnsi="Times New Roman" w:cs="Times New Roman"/>
                <w:color w:val="000000" w:themeColor="text1"/>
              </w:rPr>
              <w:t>Przepis uzupełniono przez wskazanie, że abonent podaje te dane, jeżeli jest to możliwe, co pozwoli dostawcy na sprawdzenie</w:t>
            </w:r>
            <w:r w:rsidR="003E15D8" w:rsidRPr="00DC3B3D">
              <w:rPr>
                <w:rFonts w:ascii="Times New Roman" w:hAnsi="Times New Roman" w:cs="Times New Roman"/>
                <w:color w:val="000000" w:themeColor="text1"/>
              </w:rPr>
              <w:t xml:space="preserve"> i </w:t>
            </w:r>
            <w:r w:rsidRPr="00DC3B3D">
              <w:rPr>
                <w:rFonts w:ascii="Times New Roman" w:hAnsi="Times New Roman" w:cs="Times New Roman"/>
                <w:color w:val="000000" w:themeColor="text1"/>
              </w:rPr>
              <w:t>zidentyfikowanie uciążliwych połączeń.</w:t>
            </w:r>
          </w:p>
          <w:p w14:paraId="4F90D37E" w14:textId="48B6C9BF" w:rsidR="006A017D" w:rsidRPr="00DC3B3D" w:rsidRDefault="4ADBA31C" w:rsidP="00072FBB">
            <w:pPr>
              <w:spacing w:before="0" w:after="0" w:line="240" w:lineRule="auto"/>
              <w:jc w:val="both"/>
              <w:rPr>
                <w:rFonts w:ascii="Times New Roman" w:hAnsi="Times New Roman" w:cs="Times New Roman"/>
                <w:color w:val="000000"/>
                <w:u w:val="single"/>
              </w:rPr>
            </w:pPr>
            <w:r w:rsidRPr="00DC3B3D">
              <w:rPr>
                <w:rFonts w:ascii="Times New Roman" w:hAnsi="Times New Roman" w:cs="Times New Roman"/>
                <w:color w:val="000000" w:themeColor="text1"/>
              </w:rPr>
              <w:t xml:space="preserve"> </w:t>
            </w:r>
          </w:p>
        </w:tc>
      </w:tr>
      <w:tr w:rsidR="006A017D" w:rsidRPr="00DC3B3D" w14:paraId="6B9A1102"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02AE10CC" w14:textId="77777777" w:rsidR="006A017D" w:rsidRPr="00DC3B3D" w:rsidRDefault="006A017D" w:rsidP="00072FBB">
            <w:pPr>
              <w:pStyle w:val="Akapitzlist"/>
              <w:numPr>
                <w:ilvl w:val="0"/>
                <w:numId w:val="4"/>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6AC72624" w14:textId="148CF696" w:rsidR="006A017D" w:rsidRPr="00DC3B3D" w:rsidRDefault="006A017D" w:rsidP="00072FBB">
            <w:pPr>
              <w:spacing w:before="0" w:after="0" w:line="240" w:lineRule="auto"/>
              <w:jc w:val="center"/>
              <w:rPr>
                <w:rFonts w:ascii="Times New Roman" w:hAnsi="Times New Roman" w:cs="Times New Roman"/>
              </w:rPr>
            </w:pPr>
            <w:r w:rsidRPr="00DC3B3D">
              <w:rPr>
                <w:rFonts w:ascii="Times New Roman" w:hAnsi="Times New Roman" w:cs="Times New Roman"/>
              </w:rPr>
              <w:t>§ 19</w:t>
            </w:r>
          </w:p>
        </w:tc>
        <w:tc>
          <w:tcPr>
            <w:tcW w:w="1580" w:type="dxa"/>
            <w:tcBorders>
              <w:top w:val="single" w:sz="4" w:space="0" w:color="auto"/>
              <w:left w:val="single" w:sz="4" w:space="0" w:color="auto"/>
              <w:bottom w:val="single" w:sz="4" w:space="0" w:color="auto"/>
              <w:right w:val="single" w:sz="4" w:space="0" w:color="auto"/>
            </w:tcBorders>
          </w:tcPr>
          <w:p w14:paraId="750F3095" w14:textId="63F16AF1"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62C7BE7C" w14:textId="60FE0AF5" w:rsidR="006A017D" w:rsidRPr="00DC3B3D" w:rsidDel="00F61633" w:rsidRDefault="006A017D" w:rsidP="00072FBB">
            <w:pPr>
              <w:pStyle w:val="Default"/>
              <w:tabs>
                <w:tab w:val="left" w:pos="975"/>
              </w:tabs>
              <w:jc w:val="both"/>
              <w:rPr>
                <w:rFonts w:ascii="Times New Roman" w:hAnsi="Times New Roman" w:cs="Times New Roman"/>
                <w:sz w:val="20"/>
                <w:szCs w:val="20"/>
              </w:rPr>
            </w:pPr>
            <w:r w:rsidRPr="00DC3B3D">
              <w:rPr>
                <w:rFonts w:ascii="Times New Roman" w:hAnsi="Times New Roman" w:cs="Times New Roman"/>
                <w:sz w:val="20"/>
                <w:szCs w:val="20"/>
              </w:rPr>
              <w:t>Proponuje się określenie maksymalnej dopuszczalnej przerwy</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świadczeniu usługi związanej</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przeniesieniem numeru. Projektowany</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9 </w:t>
            </w:r>
            <w:r w:rsidRPr="00DC3B3D">
              <w:rPr>
                <w:rFonts w:ascii="Times New Roman" w:hAnsi="Times New Roman" w:cs="Times New Roman"/>
                <w:sz w:val="20"/>
                <w:szCs w:val="20"/>
              </w:rPr>
              <w:t>stanowi jedynie, że proces przeniesienia numeru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ruchomej publicznej sieci telekomunikacyjnej odbywa się</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godzinach od 00:0</w:t>
            </w:r>
            <w:r w:rsidR="003E15D8" w:rsidRPr="00DC3B3D">
              <w:rPr>
                <w:rFonts w:ascii="Times New Roman" w:hAnsi="Times New Roman" w:cs="Times New Roman"/>
                <w:sz w:val="20"/>
                <w:szCs w:val="20"/>
              </w:rPr>
              <w:t>0 </w:t>
            </w:r>
            <w:r w:rsidRPr="00DC3B3D">
              <w:rPr>
                <w:rFonts w:ascii="Times New Roman" w:hAnsi="Times New Roman" w:cs="Times New Roman"/>
                <w:sz w:val="20"/>
                <w:szCs w:val="20"/>
              </w:rPr>
              <w:t>do 06:00. Nie określa natomiast maksymalnego czasu rzeczywistej przerwy</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świadczeniu usługi. Samo wyznaczenie sześciogodzinnego przedziału,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którym ma być przeprowadzany proces przeniesienia, nie przesądza, jak długo abonent może pozostawać bez dostępu do usługi. Projekt</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uzasadnienie potwierdzają, że</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9 </w:t>
            </w:r>
            <w:r w:rsidRPr="00DC3B3D">
              <w:rPr>
                <w:rFonts w:ascii="Times New Roman" w:hAnsi="Times New Roman" w:cs="Times New Roman"/>
                <w:sz w:val="20"/>
                <w:szCs w:val="20"/>
              </w:rPr>
              <w:t>dotyczy godzin wykonywania czynności technicznych</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systemach operatorów,</w:t>
            </w:r>
            <w:r w:rsidR="003E15D8" w:rsidRPr="00DC3B3D">
              <w:rPr>
                <w:rFonts w:ascii="Times New Roman" w:hAnsi="Times New Roman" w:cs="Times New Roman"/>
                <w:sz w:val="20"/>
                <w:szCs w:val="20"/>
              </w:rPr>
              <w:t xml:space="preserve"> a </w:t>
            </w:r>
            <w:r w:rsidRPr="00DC3B3D">
              <w:rPr>
                <w:rFonts w:ascii="Times New Roman" w:hAnsi="Times New Roman" w:cs="Times New Roman"/>
                <w:sz w:val="20"/>
                <w:szCs w:val="20"/>
              </w:rPr>
              <w:t>nie maksymalnego czasu przerwy odczuwanej przez abonenta;</w:t>
            </w:r>
          </w:p>
        </w:tc>
        <w:tc>
          <w:tcPr>
            <w:tcW w:w="3114" w:type="dxa"/>
            <w:tcBorders>
              <w:top w:val="single" w:sz="4" w:space="0" w:color="auto"/>
              <w:left w:val="single" w:sz="4" w:space="0" w:color="auto"/>
              <w:bottom w:val="single" w:sz="4" w:space="0" w:color="auto"/>
              <w:right w:val="single" w:sz="4" w:space="0" w:color="auto"/>
            </w:tcBorders>
          </w:tcPr>
          <w:p w14:paraId="130395FA" w14:textId="77777777" w:rsidR="006A017D" w:rsidRPr="00DC3B3D" w:rsidRDefault="006A017D" w:rsidP="00072FBB">
            <w:pPr>
              <w:pStyle w:val="Default"/>
              <w:jc w:val="both"/>
              <w:rPr>
                <w:rFonts w:ascii="Times New Roman" w:hAnsi="Times New Roman" w:cs="Times New Roman"/>
                <w:b/>
                <w:bCs/>
                <w:sz w:val="20"/>
                <w:szCs w:val="20"/>
              </w:rPr>
            </w:pPr>
            <w:r w:rsidRPr="00DC3B3D">
              <w:rPr>
                <w:rFonts w:ascii="Times New Roman" w:hAnsi="Times New Roman" w:cs="Times New Roman"/>
                <w:b/>
                <w:bCs/>
                <w:sz w:val="20"/>
                <w:szCs w:val="20"/>
              </w:rPr>
              <w:t>Uwaga nieuwzględniona</w:t>
            </w:r>
          </w:p>
          <w:p w14:paraId="23E38CB7" w14:textId="2EE668D8" w:rsidR="006A017D" w:rsidRPr="00DC3B3D" w:rsidDel="00F61633" w:rsidRDefault="00C240EF"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Przepis został usunięty</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projektu rozporządzenia</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uwagi na przekazane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tym zakresie stanowisko RCL.</w:t>
            </w:r>
          </w:p>
        </w:tc>
      </w:tr>
      <w:tr w:rsidR="006A017D" w:rsidRPr="00DC3B3D" w14:paraId="168AAEBF"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7CC9C95E" w14:textId="74BC3D60" w:rsidR="006A017D" w:rsidRPr="00DC3B3D" w:rsidRDefault="00BB4147" w:rsidP="00072FBB">
            <w:pPr>
              <w:tabs>
                <w:tab w:val="left" w:pos="416"/>
              </w:tabs>
              <w:snapToGrid w:val="0"/>
              <w:spacing w:before="0" w:after="0" w:line="240" w:lineRule="auto"/>
              <w:jc w:val="both"/>
              <w:rPr>
                <w:rFonts w:ascii="Times New Roman" w:hAnsi="Times New Roman" w:cs="Times New Roman"/>
              </w:rPr>
            </w:pPr>
            <w:r w:rsidRPr="00DC3B3D">
              <w:rPr>
                <w:rFonts w:ascii="Times New Roman" w:hAnsi="Times New Roman" w:cs="Times New Roman"/>
              </w:rPr>
              <w:t>10.</w:t>
            </w:r>
          </w:p>
        </w:tc>
        <w:tc>
          <w:tcPr>
            <w:tcW w:w="1114" w:type="dxa"/>
            <w:tcBorders>
              <w:top w:val="single" w:sz="4" w:space="0" w:color="auto"/>
              <w:left w:val="single" w:sz="4" w:space="0" w:color="auto"/>
              <w:bottom w:val="single" w:sz="4" w:space="0" w:color="auto"/>
              <w:right w:val="single" w:sz="4" w:space="0" w:color="auto"/>
            </w:tcBorders>
          </w:tcPr>
          <w:p w14:paraId="643F0D6A" w14:textId="6D07DC05" w:rsidR="006A017D" w:rsidRPr="00DC3B3D" w:rsidRDefault="006A017D" w:rsidP="00072FBB">
            <w:pPr>
              <w:spacing w:before="0" w:after="0" w:line="240" w:lineRule="auto"/>
              <w:jc w:val="center"/>
              <w:rPr>
                <w:rFonts w:ascii="Times New Roman" w:hAnsi="Times New Roman" w:cs="Times New Roman"/>
              </w:rPr>
            </w:pPr>
            <w:r w:rsidRPr="00DC3B3D">
              <w:rPr>
                <w:rFonts w:ascii="Times New Roman" w:hAnsi="Times New Roman" w:cs="Times New Roman"/>
              </w:rPr>
              <w:t>§ 20</w:t>
            </w:r>
          </w:p>
        </w:tc>
        <w:tc>
          <w:tcPr>
            <w:tcW w:w="1580" w:type="dxa"/>
            <w:tcBorders>
              <w:top w:val="single" w:sz="4" w:space="0" w:color="auto"/>
              <w:left w:val="single" w:sz="4" w:space="0" w:color="auto"/>
              <w:bottom w:val="single" w:sz="4" w:space="0" w:color="auto"/>
              <w:right w:val="single" w:sz="4" w:space="0" w:color="auto"/>
            </w:tcBorders>
          </w:tcPr>
          <w:p w14:paraId="61F2757F" w14:textId="52C15A13"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Ochrony </w:t>
            </w:r>
            <w:r w:rsidRPr="00DC3B3D">
              <w:rPr>
                <w:rFonts w:ascii="Times New Roman" w:hAnsi="Times New Roman" w:cs="Times New Roman"/>
                <w:b/>
                <w:bCs/>
                <w:color w:val="000000"/>
              </w:rPr>
              <w:lastRenderedPageBreak/>
              <w:t>Konkurencji i Konsumentów</w:t>
            </w:r>
          </w:p>
        </w:tc>
        <w:tc>
          <w:tcPr>
            <w:tcW w:w="7024" w:type="dxa"/>
            <w:tcBorders>
              <w:top w:val="single" w:sz="4" w:space="0" w:color="auto"/>
              <w:left w:val="single" w:sz="4" w:space="0" w:color="auto"/>
              <w:bottom w:val="single" w:sz="4" w:space="0" w:color="auto"/>
              <w:right w:val="single" w:sz="4" w:space="0" w:color="auto"/>
            </w:tcBorders>
          </w:tcPr>
          <w:p w14:paraId="2D9268BF" w14:textId="7E73FBE0" w:rsidR="006A017D" w:rsidRPr="00DC3B3D" w:rsidRDefault="006A017D" w:rsidP="00072FBB">
            <w:pPr>
              <w:pStyle w:val="Default"/>
              <w:tabs>
                <w:tab w:val="left" w:pos="975"/>
              </w:tabs>
              <w:jc w:val="both"/>
              <w:rPr>
                <w:rFonts w:ascii="Times New Roman" w:hAnsi="Times New Roman" w:cs="Times New Roman"/>
                <w:sz w:val="20"/>
                <w:szCs w:val="20"/>
              </w:rPr>
            </w:pPr>
            <w:r w:rsidRPr="00DC3B3D">
              <w:rPr>
                <w:rFonts w:ascii="Times New Roman" w:hAnsi="Times New Roman" w:cs="Times New Roman"/>
                <w:sz w:val="20"/>
                <w:szCs w:val="20"/>
              </w:rPr>
              <w:lastRenderedPageBreak/>
              <w:t>Analogicznie,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odniesieniu do</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2</w:t>
            </w:r>
            <w:r w:rsidR="003E15D8" w:rsidRPr="00DC3B3D">
              <w:rPr>
                <w:rFonts w:ascii="Times New Roman" w:hAnsi="Times New Roman" w:cs="Times New Roman"/>
                <w:sz w:val="20"/>
                <w:szCs w:val="20"/>
              </w:rPr>
              <w:t>0 </w:t>
            </w:r>
            <w:r w:rsidRPr="00DC3B3D">
              <w:rPr>
                <w:rFonts w:ascii="Times New Roman" w:hAnsi="Times New Roman" w:cs="Times New Roman"/>
                <w:sz w:val="20"/>
                <w:szCs w:val="20"/>
              </w:rPr>
              <w:t>projektu, postuluję rozważenie wprowadzenia obowiązku niezwłocznego potwierdzenia przez dostawcę usług przyjęcia rezygnacji</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przeniesienia numeru.</w:t>
            </w:r>
          </w:p>
        </w:tc>
        <w:tc>
          <w:tcPr>
            <w:tcW w:w="3114" w:type="dxa"/>
            <w:tcBorders>
              <w:top w:val="single" w:sz="4" w:space="0" w:color="auto"/>
              <w:left w:val="single" w:sz="4" w:space="0" w:color="auto"/>
              <w:bottom w:val="single" w:sz="4" w:space="0" w:color="auto"/>
              <w:right w:val="single" w:sz="4" w:space="0" w:color="auto"/>
            </w:tcBorders>
          </w:tcPr>
          <w:p w14:paraId="2D01A486" w14:textId="77777777" w:rsidR="006A017D" w:rsidRPr="00DC3B3D" w:rsidRDefault="006A017D" w:rsidP="00072FBB">
            <w:pPr>
              <w:pStyle w:val="Default"/>
              <w:jc w:val="both"/>
              <w:rPr>
                <w:rFonts w:ascii="Times New Roman" w:hAnsi="Times New Roman" w:cs="Times New Roman"/>
                <w:b/>
                <w:bCs/>
                <w:sz w:val="20"/>
                <w:szCs w:val="20"/>
              </w:rPr>
            </w:pPr>
            <w:r w:rsidRPr="00DC3B3D">
              <w:rPr>
                <w:rFonts w:ascii="Times New Roman" w:hAnsi="Times New Roman" w:cs="Times New Roman"/>
                <w:b/>
                <w:bCs/>
                <w:sz w:val="20"/>
                <w:szCs w:val="20"/>
              </w:rPr>
              <w:t>Uwaga nieuwzględniona</w:t>
            </w:r>
          </w:p>
          <w:p w14:paraId="64C93888" w14:textId="1EC9D8A2" w:rsidR="006A017D" w:rsidRPr="00DC3B3D" w:rsidDel="00F61633" w:rsidRDefault="3C3F4FA5" w:rsidP="00DB4150">
            <w:pPr>
              <w:pStyle w:val="Default"/>
              <w:jc w:val="both"/>
              <w:rPr>
                <w:rFonts w:ascii="Times New Roman" w:hAnsi="Times New Roman" w:cs="Times New Roman"/>
                <w:b/>
                <w:bCs/>
                <w:sz w:val="20"/>
                <w:szCs w:val="20"/>
              </w:rPr>
            </w:pPr>
            <w:r w:rsidRPr="00DC3B3D">
              <w:rPr>
                <w:rFonts w:ascii="Times New Roman" w:hAnsi="Times New Roman" w:cs="Times New Roman"/>
                <w:sz w:val="20"/>
                <w:szCs w:val="20"/>
              </w:rPr>
              <w:t xml:space="preserve">Nie zdecydowano się na wprowadzenie odrębnego </w:t>
            </w:r>
            <w:r w:rsidRPr="00DC3B3D">
              <w:rPr>
                <w:rFonts w:ascii="Times New Roman" w:hAnsi="Times New Roman" w:cs="Times New Roman"/>
                <w:sz w:val="20"/>
                <w:szCs w:val="20"/>
              </w:rPr>
              <w:lastRenderedPageBreak/>
              <w:t>obowiązku potwierdzania abonentowi przyjęcia rezygnacji. Dla zastosowania</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2</w:t>
            </w:r>
            <w:r w:rsidR="003E15D8" w:rsidRPr="00DC3B3D">
              <w:rPr>
                <w:rFonts w:ascii="Times New Roman" w:hAnsi="Times New Roman" w:cs="Times New Roman"/>
                <w:sz w:val="20"/>
                <w:szCs w:val="20"/>
              </w:rPr>
              <w:t>3 ust. 1 </w:t>
            </w:r>
            <w:r w:rsidRPr="00DC3B3D">
              <w:rPr>
                <w:rFonts w:ascii="Times New Roman" w:hAnsi="Times New Roman" w:cs="Times New Roman"/>
                <w:sz w:val="20"/>
                <w:szCs w:val="20"/>
              </w:rPr>
              <w:t>projektu znaczenie ma otrzymanie rezygnacji przez nowego dostawcę</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terminie określonym</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tym przepisie.</w:t>
            </w:r>
          </w:p>
        </w:tc>
      </w:tr>
      <w:tr w:rsidR="006A017D" w:rsidRPr="00DC3B3D" w14:paraId="4A963654" w14:textId="77777777" w:rsidTr="00B15734">
        <w:trPr>
          <w:gridAfter w:val="1"/>
          <w:wAfter w:w="43" w:type="dxa"/>
          <w:trHeight w:val="300"/>
        </w:trPr>
        <w:tc>
          <w:tcPr>
            <w:tcW w:w="733" w:type="dxa"/>
            <w:tcBorders>
              <w:top w:val="single" w:sz="4" w:space="0" w:color="auto"/>
              <w:left w:val="single" w:sz="4" w:space="0" w:color="auto"/>
              <w:bottom w:val="single" w:sz="4" w:space="0" w:color="auto"/>
              <w:right w:val="single" w:sz="4" w:space="0" w:color="auto"/>
            </w:tcBorders>
          </w:tcPr>
          <w:p w14:paraId="0AB6FD99" w14:textId="158F4095" w:rsidR="006A017D" w:rsidRPr="00DC3B3D" w:rsidRDefault="00BB4147" w:rsidP="00DC3B3D">
            <w:pPr>
              <w:snapToGrid w:val="0"/>
              <w:spacing w:before="0" w:after="0" w:line="240" w:lineRule="auto"/>
              <w:ind w:left="50"/>
              <w:rPr>
                <w:rFonts w:ascii="Times New Roman" w:hAnsi="Times New Roman" w:cs="Times New Roman"/>
              </w:rPr>
            </w:pPr>
            <w:r w:rsidRPr="00DC3B3D">
              <w:rPr>
                <w:rFonts w:ascii="Times New Roman" w:hAnsi="Times New Roman" w:cs="Times New Roman"/>
              </w:rPr>
              <w:lastRenderedPageBreak/>
              <w:t>11.</w:t>
            </w:r>
          </w:p>
        </w:tc>
        <w:tc>
          <w:tcPr>
            <w:tcW w:w="1114" w:type="dxa"/>
            <w:tcBorders>
              <w:top w:val="single" w:sz="4" w:space="0" w:color="auto"/>
              <w:left w:val="single" w:sz="4" w:space="0" w:color="auto"/>
              <w:bottom w:val="single" w:sz="4" w:space="0" w:color="auto"/>
              <w:right w:val="single" w:sz="4" w:space="0" w:color="auto"/>
            </w:tcBorders>
          </w:tcPr>
          <w:p w14:paraId="292B8544" w14:textId="543A5D93" w:rsidR="006A017D" w:rsidRPr="00DC3B3D" w:rsidRDefault="006A017D" w:rsidP="00072FBB">
            <w:pPr>
              <w:spacing w:before="0" w:after="0" w:line="240" w:lineRule="auto"/>
              <w:rPr>
                <w:rFonts w:ascii="Times New Roman" w:eastAsiaTheme="minorHAnsi" w:hAnsi="Times New Roman" w:cs="Times New Roman"/>
                <w:color w:val="000000"/>
                <w:lang w:eastAsia="en-US"/>
              </w:rPr>
            </w:pPr>
            <w:r w:rsidRPr="00DC3B3D">
              <w:rPr>
                <w:rFonts w:ascii="Times New Roman" w:eastAsiaTheme="minorHAnsi" w:hAnsi="Times New Roman" w:cs="Times New Roman"/>
                <w:color w:val="000000"/>
                <w:lang w:eastAsia="en-US"/>
              </w:rPr>
              <w:t>§ 2</w:t>
            </w:r>
            <w:r w:rsidR="003E15D8" w:rsidRPr="00DC3B3D">
              <w:rPr>
                <w:rFonts w:ascii="Times New Roman" w:eastAsiaTheme="minorHAnsi" w:hAnsi="Times New Roman" w:cs="Times New Roman"/>
                <w:color w:val="000000"/>
                <w:lang w:eastAsia="en-US"/>
              </w:rPr>
              <w:t>4 ust. </w:t>
            </w:r>
            <w:r w:rsidRPr="00DC3B3D">
              <w:rPr>
                <w:rFonts w:ascii="Times New Roman" w:eastAsiaTheme="minorHAnsi" w:hAnsi="Times New Roman" w:cs="Times New Roman"/>
                <w:color w:val="000000"/>
                <w:lang w:eastAsia="en-US"/>
              </w:rPr>
              <w:t>2</w:t>
            </w:r>
          </w:p>
        </w:tc>
        <w:tc>
          <w:tcPr>
            <w:tcW w:w="1580" w:type="dxa"/>
            <w:tcBorders>
              <w:top w:val="single" w:sz="4" w:space="0" w:color="auto"/>
              <w:left w:val="single" w:sz="4" w:space="0" w:color="auto"/>
              <w:bottom w:val="single" w:sz="4" w:space="0" w:color="auto"/>
              <w:right w:val="single" w:sz="4" w:space="0" w:color="auto"/>
            </w:tcBorders>
          </w:tcPr>
          <w:p w14:paraId="05A43B67" w14:textId="0F264BE9"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08878CA7" w14:textId="64384D2E" w:rsidR="006A017D" w:rsidRPr="00DC3B3D" w:rsidRDefault="631A3BE7"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Należy rozważyć doprecyzowanie sposobu potwierdzenia abonentowi przyjęcia zlecenia preselekcji. Projekt ogranicza się do ustanowienia obowiązku niezwłocznego potwierdzenia przyjęcia zlecenia, nie określając formy ani sposobu przekazania tego potwierdzenia. Mając na uwadze, że regulacja dotyczy szczegółowych warunków realizacji uprawnienia abonenta, zasadne jest rozważenie doprecyzowania tego elementu</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sposób zapewniający abonentowi możliwość wykazania faktu</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daty przyjęcia zlecenia</w:t>
            </w:r>
            <w:r w:rsidR="25AC66ED" w:rsidRPr="00DC3B3D">
              <w:rPr>
                <w:rFonts w:ascii="Times New Roman" w:hAnsi="Times New Roman" w:cs="Times New Roman"/>
                <w:sz w:val="20"/>
                <w:szCs w:val="20"/>
              </w:rPr>
              <w:t>.</w:t>
            </w:r>
          </w:p>
        </w:tc>
        <w:tc>
          <w:tcPr>
            <w:tcW w:w="3139" w:type="dxa"/>
            <w:gridSpan w:val="2"/>
            <w:tcBorders>
              <w:top w:val="single" w:sz="4" w:space="0" w:color="auto"/>
              <w:left w:val="single" w:sz="4" w:space="0" w:color="auto"/>
              <w:bottom w:val="single" w:sz="4" w:space="0" w:color="auto"/>
              <w:right w:val="single" w:sz="4" w:space="0" w:color="auto"/>
            </w:tcBorders>
          </w:tcPr>
          <w:p w14:paraId="18CA4105" w14:textId="77777777" w:rsidR="006A017D" w:rsidRPr="00DC3B3D" w:rsidRDefault="631A3BE7" w:rsidP="00072FBB">
            <w:pPr>
              <w:spacing w:before="0" w:after="0" w:line="240" w:lineRule="auto"/>
              <w:jc w:val="both"/>
              <w:rPr>
                <w:rFonts w:ascii="Times New Roman" w:hAnsi="Times New Roman" w:cs="Times New Roman"/>
                <w:b/>
                <w:bCs/>
                <w:color w:val="000000"/>
              </w:rPr>
            </w:pPr>
            <w:r w:rsidRPr="00DC3B3D">
              <w:rPr>
                <w:rFonts w:ascii="Times New Roman" w:hAnsi="Times New Roman" w:cs="Times New Roman"/>
                <w:b/>
                <w:bCs/>
                <w:color w:val="000000" w:themeColor="text1"/>
              </w:rPr>
              <w:t>Uwaga nieuwzględniona</w:t>
            </w:r>
          </w:p>
          <w:p w14:paraId="532B98EA" w14:textId="44BC080E" w:rsidR="006A017D" w:rsidRPr="00DC3B3D" w:rsidRDefault="2A18A5ED" w:rsidP="00072FBB">
            <w:pPr>
              <w:spacing w:before="0" w:after="0" w:line="240" w:lineRule="auto"/>
              <w:jc w:val="both"/>
              <w:rPr>
                <w:rFonts w:ascii="Times New Roman" w:hAnsi="Times New Roman" w:cs="Times New Roman"/>
                <w:color w:val="000000"/>
              </w:rPr>
            </w:pPr>
            <w:r w:rsidRPr="00DC3B3D">
              <w:rPr>
                <w:rFonts w:ascii="Times New Roman" w:hAnsi="Times New Roman" w:cs="Times New Roman"/>
                <w:color w:val="000000" w:themeColor="text1"/>
              </w:rPr>
              <w:t>Nie zdecydowano się na określenie szczególnej formy ani sposobu potwierdzenia przyjęcia zlecenia preselekcji.</w:t>
            </w:r>
            <w:r w:rsidR="003E15D8" w:rsidRPr="00DC3B3D">
              <w:rPr>
                <w:rFonts w:ascii="Times New Roman" w:hAnsi="Times New Roman" w:cs="Times New Roman"/>
              </w:rPr>
              <w:t xml:space="preserve"> W § </w:t>
            </w:r>
            <w:r w:rsidRPr="00DC3B3D">
              <w:rPr>
                <w:rFonts w:ascii="Times New Roman" w:hAnsi="Times New Roman" w:cs="Times New Roman"/>
              </w:rPr>
              <w:t>2</w:t>
            </w:r>
            <w:r w:rsidR="003E15D8" w:rsidRPr="00DC3B3D">
              <w:rPr>
                <w:rFonts w:ascii="Times New Roman" w:hAnsi="Times New Roman" w:cs="Times New Roman"/>
              </w:rPr>
              <w:t>7 ust. 2 </w:t>
            </w:r>
            <w:r w:rsidRPr="00DC3B3D">
              <w:rPr>
                <w:rFonts w:ascii="Times New Roman" w:hAnsi="Times New Roman" w:cs="Times New Roman"/>
              </w:rPr>
              <w:t>projektu pozostawiono obowiązek niezwłocznego potwierdzenia abonentowi przyjęcia tego zlecenia.</w:t>
            </w:r>
          </w:p>
        </w:tc>
      </w:tr>
      <w:tr w:rsidR="006A017D" w:rsidRPr="00DC3B3D" w14:paraId="0B86922B"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555F9E88" w14:textId="6986D6FD" w:rsidR="006A017D" w:rsidRPr="00DC3B3D" w:rsidRDefault="006A017D" w:rsidP="00072FBB">
            <w:pPr>
              <w:pStyle w:val="Akapitzlist"/>
              <w:numPr>
                <w:ilvl w:val="0"/>
                <w:numId w:val="12"/>
              </w:numPr>
              <w:tabs>
                <w:tab w:val="left" w:pos="416"/>
              </w:tabs>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5051B387" w14:textId="59AAFA5F" w:rsidR="006A017D" w:rsidRPr="00DC3B3D" w:rsidRDefault="006A017D" w:rsidP="00072FBB">
            <w:pPr>
              <w:spacing w:before="0" w:after="0" w:line="240" w:lineRule="auto"/>
              <w:rPr>
                <w:rFonts w:ascii="Times New Roman" w:eastAsiaTheme="minorHAnsi" w:hAnsi="Times New Roman" w:cs="Times New Roman"/>
                <w:color w:val="000000"/>
                <w:lang w:eastAsia="en-US"/>
              </w:rPr>
            </w:pPr>
            <w:r w:rsidRPr="00DC3B3D">
              <w:rPr>
                <w:rFonts w:ascii="Times New Roman" w:eastAsiaTheme="minorHAnsi" w:hAnsi="Times New Roman" w:cs="Times New Roman"/>
                <w:color w:val="000000"/>
                <w:lang w:eastAsia="en-US"/>
              </w:rPr>
              <w:t>Przepis przejściowy</w:t>
            </w:r>
          </w:p>
        </w:tc>
        <w:tc>
          <w:tcPr>
            <w:tcW w:w="1580" w:type="dxa"/>
            <w:tcBorders>
              <w:top w:val="single" w:sz="4" w:space="0" w:color="auto"/>
              <w:left w:val="single" w:sz="4" w:space="0" w:color="auto"/>
              <w:bottom w:val="single" w:sz="4" w:space="0" w:color="auto"/>
              <w:right w:val="single" w:sz="4" w:space="0" w:color="auto"/>
            </w:tcBorders>
          </w:tcPr>
          <w:p w14:paraId="69612000" w14:textId="2D8F30EF"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Komunikacji Elektronicznej</w:t>
            </w:r>
          </w:p>
        </w:tc>
        <w:tc>
          <w:tcPr>
            <w:tcW w:w="7024" w:type="dxa"/>
            <w:tcBorders>
              <w:top w:val="single" w:sz="4" w:space="0" w:color="auto"/>
              <w:left w:val="single" w:sz="4" w:space="0" w:color="auto"/>
              <w:bottom w:val="single" w:sz="4" w:space="0" w:color="auto"/>
              <w:right w:val="single" w:sz="4" w:space="0" w:color="auto"/>
            </w:tcBorders>
          </w:tcPr>
          <w:p w14:paraId="4E1597A9" w14:textId="417A34CD"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Rozważenia wymaga kwestia braku przepisów rozstrzygających sposób procedowania wniosków</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realizację uprawnień abonentów złożonych przed dniem wejścia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życie projektowanego rozporządzenia</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nierozpatrzonych do tego dnia. Potrzeba uregulowania tej kwestii była wskazywana na etapie uzgodnień wewnątrzresortowych, jednak projekt nadal nie zawiera odpowiedniej regulacji.</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uzasadnienia wynika, że przepisy przejściowe uznano za zbędne, ponieważ projektowane przepisy mają mieć zastosowanie wyłącznie do stanów powstałych po dniu wejścia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życie rozporządzenia. Założenie to nie znajduje jednak odzwierciedlenia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treści normatywnej projektu.</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samego uzasadnienia nie można wyprowadzić normy rozstrzygającej, według jakich przepisów mają być procedowane wnioski złożone przed dniem wejścia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życie nowego rozporządzenia, które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tym dniu pozostają</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toku. Należy zatem jednoznacznie rozstrzygnąć kwestię intertemporalną,</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szczególności przez wskazanie przepisów właściwych dla wniosków złożonych</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nierozpatrzonych przed dniem wejścia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życie projektowanego rozporządzenia.</w:t>
            </w:r>
          </w:p>
        </w:tc>
        <w:tc>
          <w:tcPr>
            <w:tcW w:w="3114" w:type="dxa"/>
            <w:tcBorders>
              <w:top w:val="single" w:sz="4" w:space="0" w:color="auto"/>
              <w:left w:val="single" w:sz="4" w:space="0" w:color="auto"/>
              <w:bottom w:val="single" w:sz="4" w:space="0" w:color="auto"/>
              <w:right w:val="single" w:sz="4" w:space="0" w:color="auto"/>
            </w:tcBorders>
          </w:tcPr>
          <w:p w14:paraId="01788E91" w14:textId="68006BA4" w:rsidR="006A017D" w:rsidRPr="00DC3B3D" w:rsidRDefault="6548FC30" w:rsidP="00072FBB">
            <w:pPr>
              <w:spacing w:before="0" w:after="0" w:line="240" w:lineRule="auto"/>
              <w:jc w:val="both"/>
              <w:rPr>
                <w:rFonts w:ascii="Times New Roman" w:hAnsi="Times New Roman" w:cs="Times New Roman"/>
                <w:b/>
                <w:bCs/>
                <w:color w:val="000000" w:themeColor="text1"/>
              </w:rPr>
            </w:pPr>
            <w:r w:rsidRPr="00DC3B3D">
              <w:rPr>
                <w:rFonts w:ascii="Times New Roman" w:hAnsi="Times New Roman" w:cs="Times New Roman"/>
                <w:b/>
                <w:bCs/>
                <w:color w:val="000000" w:themeColor="text1"/>
              </w:rPr>
              <w:t>Uwaga uwzględniona</w:t>
            </w:r>
          </w:p>
          <w:p w14:paraId="2083FD90" w14:textId="3C1C8391" w:rsidR="006A017D" w:rsidRPr="00DC3B3D" w:rsidRDefault="6548FC30"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Projekt uzupełniono</w:t>
            </w:r>
            <w:r w:rsidR="003E15D8" w:rsidRPr="00DC3B3D">
              <w:rPr>
                <w:rFonts w:ascii="Times New Roman" w:hAnsi="Times New Roman" w:cs="Times New Roman"/>
                <w:sz w:val="20"/>
                <w:szCs w:val="20"/>
              </w:rPr>
              <w:t xml:space="preserve"> o § </w:t>
            </w:r>
            <w:r w:rsidRPr="00DC3B3D">
              <w:rPr>
                <w:rFonts w:ascii="Times New Roman" w:hAnsi="Times New Roman" w:cs="Times New Roman"/>
                <w:sz w:val="20"/>
                <w:szCs w:val="20"/>
              </w:rPr>
              <w:t>28, który rozstrzyga zasady stosowania przepisów do wniosków dotyczących uprawnień,</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których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323,</w:t>
            </w:r>
            <w:r w:rsidR="003E15D8" w:rsidRPr="00DC3B3D">
              <w:rPr>
                <w:rFonts w:ascii="Times New Roman" w:hAnsi="Times New Roman" w:cs="Times New Roman"/>
                <w:sz w:val="20"/>
                <w:szCs w:val="20"/>
              </w:rPr>
              <w:t xml:space="preserve">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4 i art. </w:t>
            </w:r>
            <w:r w:rsidRPr="00DC3B3D">
              <w:rPr>
                <w:rFonts w:ascii="Times New Roman" w:hAnsi="Times New Roman" w:cs="Times New Roman"/>
                <w:sz w:val="20"/>
                <w:szCs w:val="20"/>
              </w:rPr>
              <w:t>32</w:t>
            </w:r>
            <w:r w:rsidR="003E15D8" w:rsidRPr="00DC3B3D">
              <w:rPr>
                <w:rFonts w:ascii="Times New Roman" w:hAnsi="Times New Roman" w:cs="Times New Roman"/>
                <w:sz w:val="20"/>
                <w:szCs w:val="20"/>
              </w:rPr>
              <w:t>5 ust. 1 </w:t>
            </w:r>
            <w:r w:rsidRPr="00DC3B3D">
              <w:rPr>
                <w:rFonts w:ascii="Times New Roman" w:hAnsi="Times New Roman" w:cs="Times New Roman"/>
                <w:sz w:val="20"/>
                <w:szCs w:val="20"/>
              </w:rPr>
              <w:t>PKE, oraz do zleceń preselekcji złożonych przed dniem wejścia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życie rozporządzenia</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niezrealizowanych do tego dnia. Jednocześnie</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2</w:t>
            </w:r>
            <w:r w:rsidR="003E15D8" w:rsidRPr="00DC3B3D">
              <w:rPr>
                <w:rFonts w:ascii="Times New Roman" w:hAnsi="Times New Roman" w:cs="Times New Roman"/>
                <w:sz w:val="20"/>
                <w:szCs w:val="20"/>
              </w:rPr>
              <w:t>8 ust. 2 </w:t>
            </w:r>
            <w:r w:rsidRPr="00DC3B3D">
              <w:rPr>
                <w:rFonts w:ascii="Times New Roman" w:hAnsi="Times New Roman" w:cs="Times New Roman"/>
                <w:sz w:val="20"/>
                <w:szCs w:val="20"/>
              </w:rPr>
              <w:t>wyłącza stosowanie</w:t>
            </w:r>
            <w:r w:rsidR="003E15D8" w:rsidRPr="00DC3B3D">
              <w:rPr>
                <w:rFonts w:ascii="Times New Roman" w:hAnsi="Times New Roman" w:cs="Times New Roman"/>
                <w:sz w:val="20"/>
                <w:szCs w:val="20"/>
              </w:rPr>
              <w:t xml:space="preserve"> §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0 </w:t>
            </w:r>
            <w:r w:rsidRPr="00DC3B3D">
              <w:rPr>
                <w:rFonts w:ascii="Times New Roman" w:hAnsi="Times New Roman" w:cs="Times New Roman"/>
                <w:sz w:val="20"/>
                <w:szCs w:val="20"/>
              </w:rPr>
              <w:t>do wniosków dotyczących uprawnień,</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których mowa</w:t>
            </w:r>
            <w:r w:rsidR="003E15D8" w:rsidRPr="00DC3B3D">
              <w:rPr>
                <w:rFonts w:ascii="Times New Roman" w:hAnsi="Times New Roman" w:cs="Times New Roman"/>
                <w:sz w:val="20"/>
                <w:szCs w:val="20"/>
              </w:rPr>
              <w:t xml:space="preserve"> w art. </w:t>
            </w:r>
            <w:r w:rsidRPr="00DC3B3D">
              <w:rPr>
                <w:rFonts w:ascii="Times New Roman" w:hAnsi="Times New Roman" w:cs="Times New Roman"/>
                <w:sz w:val="20"/>
                <w:szCs w:val="20"/>
              </w:rPr>
              <w:t>31</w:t>
            </w:r>
            <w:r w:rsidR="003E15D8" w:rsidRPr="00DC3B3D">
              <w:rPr>
                <w:rFonts w:ascii="Times New Roman" w:hAnsi="Times New Roman" w:cs="Times New Roman"/>
                <w:sz w:val="20"/>
                <w:szCs w:val="20"/>
              </w:rPr>
              <w:t>8 ust. 1 i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1 </w:t>
            </w:r>
            <w:r w:rsidRPr="00DC3B3D">
              <w:rPr>
                <w:rFonts w:ascii="Times New Roman" w:hAnsi="Times New Roman" w:cs="Times New Roman"/>
                <w:sz w:val="20"/>
                <w:szCs w:val="20"/>
              </w:rPr>
              <w:t>PKE, złożonych przed dniem wejścia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życie rozporządzenia.</w:t>
            </w:r>
          </w:p>
          <w:p w14:paraId="2D680B4F" w14:textId="4F9E7BE3" w:rsidR="006A017D" w:rsidRPr="00DC3B3D" w:rsidRDefault="6548FC30"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Kwestia intertemporalna została zatem rozstrzygnięta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treści normatywnej projektu.</w:t>
            </w:r>
          </w:p>
        </w:tc>
      </w:tr>
      <w:tr w:rsidR="006A017D" w:rsidRPr="00DC3B3D" w14:paraId="2E4A3291" w14:textId="77777777" w:rsidTr="003E15D8">
        <w:trPr>
          <w:gridAfter w:val="2"/>
          <w:wAfter w:w="68" w:type="dxa"/>
          <w:trHeight w:val="300"/>
        </w:trPr>
        <w:tc>
          <w:tcPr>
            <w:tcW w:w="135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0BC9D2" w14:textId="58D0665F" w:rsidR="006A017D" w:rsidRPr="00DC3B3D" w:rsidRDefault="006A017D" w:rsidP="00072FBB">
            <w:pPr>
              <w:pStyle w:val="Nagwek"/>
              <w:spacing w:before="0" w:after="0" w:line="240" w:lineRule="auto"/>
              <w:jc w:val="center"/>
              <w:rPr>
                <w:rFonts w:ascii="Times New Roman" w:hAnsi="Times New Roman" w:cs="Times New Roman"/>
                <w:b/>
                <w:sz w:val="20"/>
                <w:szCs w:val="20"/>
              </w:rPr>
            </w:pPr>
            <w:r w:rsidRPr="00DC3B3D">
              <w:rPr>
                <w:rFonts w:ascii="Times New Roman" w:hAnsi="Times New Roman" w:cs="Times New Roman"/>
                <w:b/>
                <w:sz w:val="20"/>
                <w:szCs w:val="20"/>
              </w:rPr>
              <w:lastRenderedPageBreak/>
              <w:t>UZASADNIENIE</w:t>
            </w:r>
          </w:p>
        </w:tc>
      </w:tr>
      <w:tr w:rsidR="006A017D" w:rsidRPr="00DC3B3D" w14:paraId="335B3817" w14:textId="77777777" w:rsidTr="00B15734">
        <w:trPr>
          <w:gridAfter w:val="2"/>
          <w:wAfter w:w="68" w:type="dxa"/>
          <w:trHeight w:val="300"/>
        </w:trPr>
        <w:tc>
          <w:tcPr>
            <w:tcW w:w="733" w:type="dxa"/>
            <w:tcBorders>
              <w:top w:val="single" w:sz="4" w:space="0" w:color="auto"/>
              <w:left w:val="single" w:sz="4" w:space="0" w:color="auto"/>
              <w:bottom w:val="single" w:sz="4" w:space="0" w:color="auto"/>
              <w:right w:val="single" w:sz="4" w:space="0" w:color="auto"/>
            </w:tcBorders>
          </w:tcPr>
          <w:p w14:paraId="42165553" w14:textId="77777777" w:rsidR="006A017D" w:rsidRPr="00DC3B3D" w:rsidRDefault="006A017D" w:rsidP="00072FBB">
            <w:pPr>
              <w:pStyle w:val="Akapitzlist"/>
              <w:numPr>
                <w:ilvl w:val="0"/>
                <w:numId w:val="12"/>
              </w:numPr>
              <w:tabs>
                <w:tab w:val="left" w:pos="416"/>
              </w:tabs>
              <w:snapToGrid w:val="0"/>
              <w:spacing w:before="0" w:after="0" w:line="240" w:lineRule="auto"/>
              <w:ind w:left="0" w:firstLine="0"/>
              <w:jc w:val="both"/>
              <w:rPr>
                <w:rFonts w:ascii="Times New Roman" w:hAnsi="Times New Roman" w:cs="Times New Roman"/>
              </w:rPr>
            </w:pPr>
          </w:p>
        </w:tc>
        <w:tc>
          <w:tcPr>
            <w:tcW w:w="1114" w:type="dxa"/>
            <w:tcBorders>
              <w:top w:val="single" w:sz="4" w:space="0" w:color="auto"/>
              <w:left w:val="single" w:sz="4" w:space="0" w:color="auto"/>
              <w:bottom w:val="single" w:sz="4" w:space="0" w:color="auto"/>
              <w:right w:val="single" w:sz="4" w:space="0" w:color="auto"/>
            </w:tcBorders>
          </w:tcPr>
          <w:p w14:paraId="6DD41689" w14:textId="77777777" w:rsidR="006A017D" w:rsidRPr="00DC3B3D" w:rsidRDefault="006A017D" w:rsidP="00072FBB">
            <w:pPr>
              <w:spacing w:before="0" w:after="0" w:line="240" w:lineRule="auto"/>
              <w:jc w:val="center"/>
              <w:rPr>
                <w:rStyle w:val="Odwoaniedokomentarza"/>
                <w:rFonts w:ascii="Times New Roman" w:hAnsi="Times New Roman" w:cs="Times New Roman"/>
                <w:sz w:val="20"/>
                <w:szCs w:val="20"/>
              </w:rPr>
            </w:pPr>
          </w:p>
        </w:tc>
        <w:tc>
          <w:tcPr>
            <w:tcW w:w="1580" w:type="dxa"/>
            <w:tcBorders>
              <w:top w:val="single" w:sz="4" w:space="0" w:color="auto"/>
              <w:left w:val="single" w:sz="4" w:space="0" w:color="auto"/>
              <w:bottom w:val="single" w:sz="4" w:space="0" w:color="auto"/>
              <w:right w:val="single" w:sz="4" w:space="0" w:color="auto"/>
            </w:tcBorders>
          </w:tcPr>
          <w:p w14:paraId="7C71673F" w14:textId="248D530F" w:rsidR="006A017D" w:rsidRPr="00DC3B3D" w:rsidRDefault="00B15734" w:rsidP="00072FBB">
            <w:pPr>
              <w:spacing w:before="0"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Prezes </w:t>
            </w:r>
            <w:r w:rsidRPr="00DC3B3D">
              <w:rPr>
                <w:rFonts w:ascii="Times New Roman" w:hAnsi="Times New Roman" w:cs="Times New Roman"/>
                <w:b/>
                <w:bCs/>
                <w:color w:val="000000"/>
              </w:rPr>
              <w:t>Urz</w:t>
            </w:r>
            <w:r>
              <w:rPr>
                <w:rFonts w:ascii="Times New Roman" w:hAnsi="Times New Roman" w:cs="Times New Roman"/>
                <w:b/>
                <w:bCs/>
                <w:color w:val="000000"/>
              </w:rPr>
              <w:t>ę</w:t>
            </w:r>
            <w:r w:rsidRPr="00DC3B3D">
              <w:rPr>
                <w:rFonts w:ascii="Times New Roman" w:hAnsi="Times New Roman" w:cs="Times New Roman"/>
                <w:b/>
                <w:bCs/>
                <w:color w:val="000000"/>
              </w:rPr>
              <w:t>d</w:t>
            </w:r>
            <w:r>
              <w:rPr>
                <w:rFonts w:ascii="Times New Roman" w:hAnsi="Times New Roman" w:cs="Times New Roman"/>
                <w:b/>
                <w:bCs/>
                <w:color w:val="000000"/>
              </w:rPr>
              <w:t>u</w:t>
            </w:r>
            <w:r w:rsidRPr="00DC3B3D">
              <w:rPr>
                <w:rFonts w:ascii="Times New Roman" w:hAnsi="Times New Roman" w:cs="Times New Roman"/>
                <w:b/>
                <w:bCs/>
                <w:color w:val="000000"/>
              </w:rPr>
              <w:t xml:space="preserve"> Ochrony Konkurencji i Konsumentów</w:t>
            </w:r>
          </w:p>
        </w:tc>
        <w:tc>
          <w:tcPr>
            <w:tcW w:w="7024" w:type="dxa"/>
            <w:tcBorders>
              <w:top w:val="single" w:sz="4" w:space="0" w:color="auto"/>
              <w:left w:val="single" w:sz="4" w:space="0" w:color="auto"/>
              <w:bottom w:val="single" w:sz="4" w:space="0" w:color="auto"/>
              <w:right w:val="single" w:sz="4" w:space="0" w:color="auto"/>
            </w:tcBorders>
          </w:tcPr>
          <w:p w14:paraId="06DF410D" w14:textId="4F3137D2"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Niezależnie od powyższych uwag postuluję również uzupełnienie uzasadnienia projektu rozporządzenia</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zakresie</w:t>
            </w:r>
            <w:r w:rsidR="003E15D8" w:rsidRPr="00DC3B3D">
              <w:rPr>
                <w:rFonts w:ascii="Times New Roman" w:hAnsi="Times New Roman" w:cs="Times New Roman"/>
                <w:sz w:val="20"/>
                <w:szCs w:val="20"/>
              </w:rPr>
              <w:t xml:space="preserve"> § 3 pkt 5 oraz § </w:t>
            </w:r>
            <w:r w:rsidRPr="00DC3B3D">
              <w:rPr>
                <w:rFonts w:ascii="Times New Roman" w:hAnsi="Times New Roman" w:cs="Times New Roman"/>
                <w:sz w:val="20"/>
                <w:szCs w:val="20"/>
              </w:rPr>
              <w:t>1</w:t>
            </w:r>
            <w:r w:rsidR="003E15D8" w:rsidRPr="00DC3B3D">
              <w:rPr>
                <w:rFonts w:ascii="Times New Roman" w:hAnsi="Times New Roman" w:cs="Times New Roman"/>
                <w:sz w:val="20"/>
                <w:szCs w:val="20"/>
              </w:rPr>
              <w:t>6 pkt 5 </w:t>
            </w:r>
            <w:r w:rsidRPr="00DC3B3D">
              <w:rPr>
                <w:rFonts w:ascii="Times New Roman" w:hAnsi="Times New Roman" w:cs="Times New Roman"/>
                <w:sz w:val="20"/>
                <w:szCs w:val="20"/>
              </w:rPr>
              <w:t>poprzez doprecyzowanie,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jaki sposób abonent,</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szczególności konsument, ma uzyskać wiedzę niezbędną do złożenia oświadczenia</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świadomości konsekwencji finansowych wynikających</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wypowiedzenia umowy</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 xml:space="preserve">świadczenie usług komunikacji elektronicznej. </w:t>
            </w:r>
          </w:p>
          <w:p w14:paraId="537CEB42" w14:textId="77777777" w:rsidR="006A017D" w:rsidRPr="00DC3B3D" w:rsidRDefault="006A017D" w:rsidP="00072FBB">
            <w:pPr>
              <w:pStyle w:val="Default"/>
              <w:jc w:val="both"/>
              <w:rPr>
                <w:rFonts w:ascii="Times New Roman" w:hAnsi="Times New Roman" w:cs="Times New Roman"/>
                <w:sz w:val="20"/>
                <w:szCs w:val="20"/>
              </w:rPr>
            </w:pPr>
          </w:p>
          <w:p w14:paraId="25E04EF2" w14:textId="574D6AF4"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W obecnym brzmieniu projekt nakłada na abonenta obowiązek złożenia takiego oświadczenia, nie wskazując jednocześnie źródła informacji pozwalających na jego świadome złożenie.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szczególności konieczne jest wyjaśnienie, czy obowiązek przekazania stosownych informacji spoczywa na dotychczasowym dostawcy usług, nowym dostawcy, czy też wynika</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innych przepisów prawa.</w:t>
            </w:r>
          </w:p>
          <w:p w14:paraId="4DA9944E" w14:textId="77777777" w:rsidR="006A017D" w:rsidRPr="00DC3B3D" w:rsidRDefault="006A017D" w:rsidP="00072FBB">
            <w:pPr>
              <w:pStyle w:val="Default"/>
              <w:jc w:val="both"/>
              <w:rPr>
                <w:rFonts w:ascii="Times New Roman" w:hAnsi="Times New Roman" w:cs="Times New Roman"/>
                <w:sz w:val="20"/>
                <w:szCs w:val="20"/>
              </w:rPr>
            </w:pPr>
          </w:p>
          <w:p w14:paraId="2592E83B" w14:textId="5A7C9B52" w:rsidR="006A017D" w:rsidRPr="00DC3B3D" w:rsidRDefault="006A017D" w:rsidP="00072FBB">
            <w:pPr>
              <w:pStyle w:val="Default"/>
              <w:jc w:val="both"/>
              <w:rPr>
                <w:rFonts w:ascii="Times New Roman" w:hAnsi="Times New Roman" w:cs="Times New Roman"/>
                <w:sz w:val="20"/>
                <w:szCs w:val="20"/>
              </w:rPr>
            </w:pPr>
            <w:r w:rsidRPr="00DC3B3D">
              <w:rPr>
                <w:rFonts w:ascii="Times New Roman" w:hAnsi="Times New Roman" w:cs="Times New Roman"/>
                <w:sz w:val="20"/>
                <w:szCs w:val="20"/>
              </w:rPr>
              <w:t>Brak jednoznacznego uregulowania tej kwestii może prowadzić do sytuacji,</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której abonent składa oświadczenie</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świadomości konsekwencji finansowych wynikających</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wypowiedzenia umowy, bez wiedzy</w:t>
            </w:r>
            <w:r w:rsidR="003E15D8" w:rsidRPr="00DC3B3D">
              <w:rPr>
                <w:rFonts w:ascii="Times New Roman" w:hAnsi="Times New Roman" w:cs="Times New Roman"/>
                <w:sz w:val="20"/>
                <w:szCs w:val="20"/>
              </w:rPr>
              <w:t xml:space="preserve"> o </w:t>
            </w:r>
            <w:r w:rsidRPr="00DC3B3D">
              <w:rPr>
                <w:rFonts w:ascii="Times New Roman" w:hAnsi="Times New Roman" w:cs="Times New Roman"/>
                <w:sz w:val="20"/>
                <w:szCs w:val="20"/>
              </w:rPr>
              <w:t>tych konsekwencjach, co pozostaje</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sprzeczności</w:t>
            </w:r>
            <w:r w:rsidR="003E15D8" w:rsidRPr="00DC3B3D">
              <w:rPr>
                <w:rFonts w:ascii="Times New Roman" w:hAnsi="Times New Roman" w:cs="Times New Roman"/>
                <w:sz w:val="20"/>
                <w:szCs w:val="20"/>
              </w:rPr>
              <w:t xml:space="preserve"> z </w:t>
            </w:r>
            <w:r w:rsidRPr="00DC3B3D">
              <w:rPr>
                <w:rFonts w:ascii="Times New Roman" w:hAnsi="Times New Roman" w:cs="Times New Roman"/>
                <w:sz w:val="20"/>
                <w:szCs w:val="20"/>
              </w:rPr>
              <w:t>wymogiem zapewnienia przejrzystości</w:t>
            </w:r>
            <w:r w:rsidR="003E15D8" w:rsidRPr="00DC3B3D">
              <w:rPr>
                <w:rFonts w:ascii="Times New Roman" w:hAnsi="Times New Roman" w:cs="Times New Roman"/>
                <w:sz w:val="20"/>
                <w:szCs w:val="20"/>
              </w:rPr>
              <w:t xml:space="preserve"> i </w:t>
            </w:r>
            <w:r w:rsidRPr="00DC3B3D">
              <w:rPr>
                <w:rFonts w:ascii="Times New Roman" w:hAnsi="Times New Roman" w:cs="Times New Roman"/>
                <w:sz w:val="20"/>
                <w:szCs w:val="20"/>
              </w:rPr>
              <w:t>rzetelności informacji przekazywanych użytkownikom usług komunikacji elektronicznej. Pogłębienie tej kwestii</w:t>
            </w:r>
            <w:r w:rsidR="003E15D8" w:rsidRPr="00DC3B3D">
              <w:rPr>
                <w:rFonts w:ascii="Times New Roman" w:hAnsi="Times New Roman" w:cs="Times New Roman"/>
                <w:sz w:val="20"/>
                <w:szCs w:val="20"/>
              </w:rPr>
              <w:t xml:space="preserve"> w </w:t>
            </w:r>
            <w:r w:rsidRPr="00DC3B3D">
              <w:rPr>
                <w:rFonts w:ascii="Times New Roman" w:hAnsi="Times New Roman" w:cs="Times New Roman"/>
                <w:sz w:val="20"/>
                <w:szCs w:val="20"/>
              </w:rPr>
              <w:t>uzasadnieniu przyczyniłoby się do większej czytelności projektowanego rozwiązania.</w:t>
            </w:r>
          </w:p>
        </w:tc>
        <w:tc>
          <w:tcPr>
            <w:tcW w:w="3114" w:type="dxa"/>
            <w:tcBorders>
              <w:top w:val="single" w:sz="4" w:space="0" w:color="auto"/>
              <w:left w:val="single" w:sz="4" w:space="0" w:color="auto"/>
              <w:bottom w:val="single" w:sz="4" w:space="0" w:color="auto"/>
              <w:right w:val="single" w:sz="4" w:space="0" w:color="auto"/>
            </w:tcBorders>
          </w:tcPr>
          <w:p w14:paraId="1A75F82D" w14:textId="66557F2A" w:rsidR="006D61E5" w:rsidRPr="00DC3B3D" w:rsidDel="00F61633" w:rsidRDefault="3F1005D9" w:rsidP="00072FBB">
            <w:pPr>
              <w:pStyle w:val="Nagwek"/>
              <w:spacing w:before="0" w:after="0" w:line="240" w:lineRule="auto"/>
              <w:jc w:val="both"/>
              <w:rPr>
                <w:rFonts w:ascii="Times New Roman" w:hAnsi="Times New Roman" w:cs="Times New Roman"/>
                <w:b/>
                <w:bCs/>
                <w:sz w:val="20"/>
                <w:szCs w:val="20"/>
              </w:rPr>
            </w:pPr>
            <w:r w:rsidRPr="00DC3B3D">
              <w:rPr>
                <w:rFonts w:ascii="Times New Roman" w:hAnsi="Times New Roman" w:cs="Times New Roman"/>
                <w:b/>
                <w:bCs/>
                <w:sz w:val="20"/>
                <w:szCs w:val="20"/>
              </w:rPr>
              <w:t>Uwaga uwzględniona</w:t>
            </w:r>
          </w:p>
          <w:p w14:paraId="0FE3DB28" w14:textId="43F63228" w:rsidR="006D61E5" w:rsidRPr="00DC3B3D" w:rsidDel="00F61633" w:rsidRDefault="3F1005D9" w:rsidP="00072FBB">
            <w:pPr>
              <w:pStyle w:val="Nagwek"/>
              <w:spacing w:before="0" w:after="0" w:line="240" w:lineRule="auto"/>
              <w:jc w:val="both"/>
              <w:rPr>
                <w:rFonts w:ascii="Times New Roman" w:hAnsi="Times New Roman" w:cs="Times New Roman"/>
                <w:sz w:val="20"/>
                <w:szCs w:val="20"/>
              </w:rPr>
            </w:pPr>
            <w:r w:rsidRPr="00DC3B3D">
              <w:rPr>
                <w:rFonts w:ascii="Times New Roman" w:hAnsi="Times New Roman" w:cs="Times New Roman"/>
                <w:sz w:val="20"/>
                <w:szCs w:val="20"/>
              </w:rPr>
              <w:t>Uzasadnienie zostało doprecyzowane.</w:t>
            </w:r>
            <w:r w:rsidR="2C4FBDDA" w:rsidRPr="00DC3B3D">
              <w:rPr>
                <w:rFonts w:ascii="Times New Roman" w:hAnsi="Times New Roman" w:cs="Times New Roman"/>
                <w:sz w:val="20"/>
                <w:szCs w:val="20"/>
              </w:rPr>
              <w:t xml:space="preserve"> </w:t>
            </w:r>
          </w:p>
        </w:tc>
      </w:tr>
    </w:tbl>
    <w:p w14:paraId="117FC192" w14:textId="71913DF3" w:rsidR="009E0F60" w:rsidRPr="00DC3B3D" w:rsidRDefault="009E0F60" w:rsidP="00072FBB">
      <w:pPr>
        <w:spacing w:line="240" w:lineRule="auto"/>
        <w:rPr>
          <w:rFonts w:ascii="Times New Roman" w:hAnsi="Times New Roman" w:cs="Times New Roman"/>
        </w:rPr>
      </w:pPr>
    </w:p>
    <w:sectPr w:rsidR="009E0F60" w:rsidRPr="00DC3B3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02523" w14:textId="77777777" w:rsidR="0077674A" w:rsidRDefault="0077674A">
      <w:pPr>
        <w:spacing w:before="0" w:after="0" w:line="240" w:lineRule="auto"/>
      </w:pPr>
      <w:r>
        <w:separator/>
      </w:r>
    </w:p>
  </w:endnote>
  <w:endnote w:type="continuationSeparator" w:id="0">
    <w:p w14:paraId="66D73F91" w14:textId="77777777" w:rsidR="0077674A" w:rsidRDefault="0077674A">
      <w:pPr>
        <w:spacing w:before="0" w:after="0" w:line="240" w:lineRule="auto"/>
      </w:pPr>
      <w:r>
        <w:continuationSeparator/>
      </w:r>
    </w:p>
  </w:endnote>
  <w:endnote w:type="continuationNotice" w:id="1">
    <w:p w14:paraId="4387A4FA" w14:textId="77777777" w:rsidR="0077674A" w:rsidRDefault="0077674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 Antiqua">
    <w:panose1 w:val="020406020503050303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A15B5" w14:textId="77777777" w:rsidR="0077674A" w:rsidRDefault="0077674A">
      <w:pPr>
        <w:spacing w:before="0" w:after="0" w:line="240" w:lineRule="auto"/>
      </w:pPr>
      <w:r>
        <w:separator/>
      </w:r>
    </w:p>
  </w:footnote>
  <w:footnote w:type="continuationSeparator" w:id="0">
    <w:p w14:paraId="3FBB68B1" w14:textId="77777777" w:rsidR="0077674A" w:rsidRDefault="0077674A">
      <w:pPr>
        <w:spacing w:before="0" w:after="0" w:line="240" w:lineRule="auto"/>
      </w:pPr>
      <w:r>
        <w:continuationSeparator/>
      </w:r>
    </w:p>
  </w:footnote>
  <w:footnote w:type="continuationNotice" w:id="1">
    <w:p w14:paraId="4F7B5404" w14:textId="77777777" w:rsidR="0077674A" w:rsidRDefault="0077674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0E74"/>
    <w:multiLevelType w:val="hybridMultilevel"/>
    <w:tmpl w:val="1E0066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AF4D92"/>
    <w:multiLevelType w:val="hybridMultilevel"/>
    <w:tmpl w:val="1DD624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5097F76"/>
    <w:multiLevelType w:val="hybridMultilevel"/>
    <w:tmpl w:val="C0726AEE"/>
    <w:lvl w:ilvl="0" w:tplc="39028B7C">
      <w:start w:val="1"/>
      <w:numFmt w:val="decimal"/>
      <w:lvlText w:val="%1)"/>
      <w:lvlJc w:val="left"/>
      <w:pPr>
        <w:ind w:left="720" w:hanging="360"/>
      </w:pPr>
      <w:rPr>
        <w:rFonts w:ascii="Calibri" w:hAnsi="Calibri" w:cs="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9997F76"/>
    <w:multiLevelType w:val="hybridMultilevel"/>
    <w:tmpl w:val="282215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E6591C"/>
    <w:multiLevelType w:val="hybridMultilevel"/>
    <w:tmpl w:val="56BE08A8"/>
    <w:lvl w:ilvl="0" w:tplc="FFFFFFFF">
      <w:start w:val="1"/>
      <w:numFmt w:val="lowerLetter"/>
      <w:lvlText w:val="%1)"/>
      <w:lvlJc w:val="left"/>
      <w:pPr>
        <w:ind w:left="720" w:hanging="360"/>
      </w:pPr>
      <w:rPr>
        <w:rFonts w:ascii="Times" w:eastAsiaTheme="minorEastAsia" w:hAnsi="Times" w:cs="Tim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F8260F"/>
    <w:multiLevelType w:val="hybridMultilevel"/>
    <w:tmpl w:val="86748E64"/>
    <w:lvl w:ilvl="0" w:tplc="22DE18C4">
      <w:start w:val="1"/>
      <w:numFmt w:val="decimal"/>
      <w:lvlText w:val="%1."/>
      <w:lvlJc w:val="left"/>
      <w:pPr>
        <w:ind w:left="786" w:hanging="360"/>
      </w:pPr>
      <w:rPr>
        <w:rFonts w:ascii="Times New Roman" w:hAnsi="Times New Roman" w:cs="Times New Roman" w:hint="default"/>
        <w:strike w:val="0"/>
        <w:dstrike w:val="0"/>
        <w:sz w:val="20"/>
        <w:szCs w:val="20"/>
        <w:u w:val="none"/>
        <w:effect w:val="none"/>
      </w:r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6" w15:restartNumberingAfterBreak="0">
    <w:nsid w:val="5354745D"/>
    <w:multiLevelType w:val="hybridMultilevel"/>
    <w:tmpl w:val="8D56AC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D9C56DC"/>
    <w:multiLevelType w:val="hybridMultilevel"/>
    <w:tmpl w:val="56BE08A8"/>
    <w:lvl w:ilvl="0" w:tplc="6A7A4390">
      <w:start w:val="1"/>
      <w:numFmt w:val="lowerLetter"/>
      <w:lvlText w:val="%1)"/>
      <w:lvlJc w:val="left"/>
      <w:pPr>
        <w:ind w:left="720" w:hanging="360"/>
      </w:pPr>
      <w:rPr>
        <w:rFonts w:ascii="Times" w:eastAsiaTheme="minorEastAsia" w:hAnsi="Times" w:cs="Time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4123A4A"/>
    <w:multiLevelType w:val="hybridMultilevel"/>
    <w:tmpl w:val="282215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49252D2"/>
    <w:multiLevelType w:val="hybridMultilevel"/>
    <w:tmpl w:val="AE78C4AA"/>
    <w:lvl w:ilvl="0" w:tplc="79320E3E">
      <w:start w:val="1"/>
      <w:numFmt w:val="decimal"/>
      <w:lvlText w:val="%1)"/>
      <w:lvlJc w:val="left"/>
      <w:pPr>
        <w:ind w:left="720" w:hanging="360"/>
      </w:pPr>
      <w:rPr>
        <w:rFonts w:eastAsiaTheme="minorEastAs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0617468">
    <w:abstractNumId w:val="0"/>
  </w:num>
  <w:num w:numId="2" w16cid:durableId="1082483765">
    <w:abstractNumId w:val="2"/>
  </w:num>
  <w:num w:numId="3" w16cid:durableId="1125998314">
    <w:abstractNumId w:val="4"/>
  </w:num>
  <w:num w:numId="4" w16cid:durableId="133484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9626766">
    <w:abstractNumId w:val="8"/>
  </w:num>
  <w:num w:numId="6" w16cid:durableId="187260328">
    <w:abstractNumId w:val="6"/>
  </w:num>
  <w:num w:numId="7" w16cid:durableId="1943605088">
    <w:abstractNumId w:val="1"/>
  </w:num>
  <w:num w:numId="8" w16cid:durableId="2106460053">
    <w:abstractNumId w:val="3"/>
  </w:num>
  <w:num w:numId="9" w16cid:durableId="240674710">
    <w:abstractNumId w:val="7"/>
  </w:num>
  <w:num w:numId="10" w16cid:durableId="391077895">
    <w:abstractNumId w:val="9"/>
  </w:num>
  <w:num w:numId="11" w16cid:durableId="455685123">
    <w:abstractNumId w:val="5"/>
  </w:num>
  <w:num w:numId="12" w16cid:durableId="1334840846">
    <w:abstractNumId w:val="5"/>
    <w:lvlOverride w:ilvl="0">
      <w:startOverride w:val="12"/>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F55"/>
    <w:rsid w:val="00001A00"/>
    <w:rsid w:val="00002B66"/>
    <w:rsid w:val="00002B7C"/>
    <w:rsid w:val="0000551E"/>
    <w:rsid w:val="00006194"/>
    <w:rsid w:val="00006A25"/>
    <w:rsid w:val="000077AB"/>
    <w:rsid w:val="000105C2"/>
    <w:rsid w:val="000124C3"/>
    <w:rsid w:val="0001310F"/>
    <w:rsid w:val="00013ACF"/>
    <w:rsid w:val="00013D39"/>
    <w:rsid w:val="00016654"/>
    <w:rsid w:val="0002272E"/>
    <w:rsid w:val="00023F06"/>
    <w:rsid w:val="00023F65"/>
    <w:rsid w:val="00024845"/>
    <w:rsid w:val="00025B76"/>
    <w:rsid w:val="00027AC5"/>
    <w:rsid w:val="00030B44"/>
    <w:rsid w:val="00030FDA"/>
    <w:rsid w:val="00031E50"/>
    <w:rsid w:val="00032057"/>
    <w:rsid w:val="00032A1F"/>
    <w:rsid w:val="000340E2"/>
    <w:rsid w:val="0003512F"/>
    <w:rsid w:val="00036942"/>
    <w:rsid w:val="00037E29"/>
    <w:rsid w:val="00040781"/>
    <w:rsid w:val="0004176D"/>
    <w:rsid w:val="00041DA9"/>
    <w:rsid w:val="00042881"/>
    <w:rsid w:val="00042EBB"/>
    <w:rsid w:val="00043333"/>
    <w:rsid w:val="000437DA"/>
    <w:rsid w:val="000453B8"/>
    <w:rsid w:val="00045F6E"/>
    <w:rsid w:val="000510DC"/>
    <w:rsid w:val="00052EDC"/>
    <w:rsid w:val="000537B9"/>
    <w:rsid w:val="00053DA7"/>
    <w:rsid w:val="00053FB7"/>
    <w:rsid w:val="000540B1"/>
    <w:rsid w:val="000546A3"/>
    <w:rsid w:val="00054AB0"/>
    <w:rsid w:val="0005532B"/>
    <w:rsid w:val="00055AD2"/>
    <w:rsid w:val="0005659F"/>
    <w:rsid w:val="00060F62"/>
    <w:rsid w:val="0006545E"/>
    <w:rsid w:val="000654D7"/>
    <w:rsid w:val="00067D4C"/>
    <w:rsid w:val="00070CF3"/>
    <w:rsid w:val="00071617"/>
    <w:rsid w:val="00072975"/>
    <w:rsid w:val="00072FBB"/>
    <w:rsid w:val="000768A9"/>
    <w:rsid w:val="000819F9"/>
    <w:rsid w:val="00082112"/>
    <w:rsid w:val="00082F26"/>
    <w:rsid w:val="00083B9F"/>
    <w:rsid w:val="00084418"/>
    <w:rsid w:val="00085B57"/>
    <w:rsid w:val="000866E0"/>
    <w:rsid w:val="000907AC"/>
    <w:rsid w:val="0009169D"/>
    <w:rsid w:val="00092B40"/>
    <w:rsid w:val="0009338B"/>
    <w:rsid w:val="00096599"/>
    <w:rsid w:val="000971D3"/>
    <w:rsid w:val="000A0220"/>
    <w:rsid w:val="000A116C"/>
    <w:rsid w:val="000A1271"/>
    <w:rsid w:val="000A3DB8"/>
    <w:rsid w:val="000A4E28"/>
    <w:rsid w:val="000A5929"/>
    <w:rsid w:val="000A7118"/>
    <w:rsid w:val="000A7E44"/>
    <w:rsid w:val="000B0C40"/>
    <w:rsid w:val="000B13DA"/>
    <w:rsid w:val="000B3793"/>
    <w:rsid w:val="000B5A71"/>
    <w:rsid w:val="000B5EE0"/>
    <w:rsid w:val="000B64E3"/>
    <w:rsid w:val="000B67C0"/>
    <w:rsid w:val="000B6B40"/>
    <w:rsid w:val="000B737C"/>
    <w:rsid w:val="000B7ACB"/>
    <w:rsid w:val="000C0037"/>
    <w:rsid w:val="000C0C19"/>
    <w:rsid w:val="000C183D"/>
    <w:rsid w:val="000C1B99"/>
    <w:rsid w:val="000C3363"/>
    <w:rsid w:val="000C470A"/>
    <w:rsid w:val="000C4920"/>
    <w:rsid w:val="000C4B39"/>
    <w:rsid w:val="000C7E34"/>
    <w:rsid w:val="000C7EE8"/>
    <w:rsid w:val="000D0C88"/>
    <w:rsid w:val="000D1493"/>
    <w:rsid w:val="000D409D"/>
    <w:rsid w:val="000D4C2D"/>
    <w:rsid w:val="000D6A57"/>
    <w:rsid w:val="000E20E9"/>
    <w:rsid w:val="000E69D7"/>
    <w:rsid w:val="000E7C05"/>
    <w:rsid w:val="000E7F9F"/>
    <w:rsid w:val="000F2580"/>
    <w:rsid w:val="000F2965"/>
    <w:rsid w:val="000F3B0C"/>
    <w:rsid w:val="000F3D7E"/>
    <w:rsid w:val="000F554E"/>
    <w:rsid w:val="000F558B"/>
    <w:rsid w:val="000F6BB3"/>
    <w:rsid w:val="000F729C"/>
    <w:rsid w:val="001013A6"/>
    <w:rsid w:val="001053F1"/>
    <w:rsid w:val="00105C24"/>
    <w:rsid w:val="00105D15"/>
    <w:rsid w:val="00113EC8"/>
    <w:rsid w:val="0011598B"/>
    <w:rsid w:val="00116051"/>
    <w:rsid w:val="0011698C"/>
    <w:rsid w:val="00116A9A"/>
    <w:rsid w:val="0012073C"/>
    <w:rsid w:val="00121B8F"/>
    <w:rsid w:val="00122788"/>
    <w:rsid w:val="00122A11"/>
    <w:rsid w:val="00123DA2"/>
    <w:rsid w:val="00127BDA"/>
    <w:rsid w:val="0013366D"/>
    <w:rsid w:val="00134568"/>
    <w:rsid w:val="00136465"/>
    <w:rsid w:val="00136EAD"/>
    <w:rsid w:val="001405C8"/>
    <w:rsid w:val="0014062C"/>
    <w:rsid w:val="001421A8"/>
    <w:rsid w:val="00142326"/>
    <w:rsid w:val="00142BA0"/>
    <w:rsid w:val="00143517"/>
    <w:rsid w:val="00143AB6"/>
    <w:rsid w:val="00145150"/>
    <w:rsid w:val="0014638C"/>
    <w:rsid w:val="00146BAF"/>
    <w:rsid w:val="0014787F"/>
    <w:rsid w:val="00147D62"/>
    <w:rsid w:val="0015028C"/>
    <w:rsid w:val="00150EAA"/>
    <w:rsid w:val="00153D52"/>
    <w:rsid w:val="00154D56"/>
    <w:rsid w:val="001552E5"/>
    <w:rsid w:val="001567C8"/>
    <w:rsid w:val="00156E8F"/>
    <w:rsid w:val="001570A0"/>
    <w:rsid w:val="0015796A"/>
    <w:rsid w:val="001618E8"/>
    <w:rsid w:val="001620B5"/>
    <w:rsid w:val="001628BE"/>
    <w:rsid w:val="001708FC"/>
    <w:rsid w:val="00171AC3"/>
    <w:rsid w:val="00173498"/>
    <w:rsid w:val="00173EF9"/>
    <w:rsid w:val="001758BD"/>
    <w:rsid w:val="00176EC7"/>
    <w:rsid w:val="0017761A"/>
    <w:rsid w:val="00177EC5"/>
    <w:rsid w:val="00177EF3"/>
    <w:rsid w:val="0018365C"/>
    <w:rsid w:val="00183FE1"/>
    <w:rsid w:val="00185A11"/>
    <w:rsid w:val="0018730A"/>
    <w:rsid w:val="00190E98"/>
    <w:rsid w:val="00192898"/>
    <w:rsid w:val="00192A4F"/>
    <w:rsid w:val="00193341"/>
    <w:rsid w:val="00193A34"/>
    <w:rsid w:val="001944E4"/>
    <w:rsid w:val="00194FDE"/>
    <w:rsid w:val="001952DF"/>
    <w:rsid w:val="00196F60"/>
    <w:rsid w:val="00196FD4"/>
    <w:rsid w:val="001A0276"/>
    <w:rsid w:val="001A1053"/>
    <w:rsid w:val="001A204B"/>
    <w:rsid w:val="001A55C9"/>
    <w:rsid w:val="001A5C98"/>
    <w:rsid w:val="001A6688"/>
    <w:rsid w:val="001A6B73"/>
    <w:rsid w:val="001A6E7B"/>
    <w:rsid w:val="001A7345"/>
    <w:rsid w:val="001A7DCC"/>
    <w:rsid w:val="001B03E0"/>
    <w:rsid w:val="001B045F"/>
    <w:rsid w:val="001B087B"/>
    <w:rsid w:val="001B0A78"/>
    <w:rsid w:val="001B1B5A"/>
    <w:rsid w:val="001B23CF"/>
    <w:rsid w:val="001B3105"/>
    <w:rsid w:val="001B34CA"/>
    <w:rsid w:val="001B49B3"/>
    <w:rsid w:val="001B5BB6"/>
    <w:rsid w:val="001B62E2"/>
    <w:rsid w:val="001B6F7F"/>
    <w:rsid w:val="001B7544"/>
    <w:rsid w:val="001C06C7"/>
    <w:rsid w:val="001C1A39"/>
    <w:rsid w:val="001C1B56"/>
    <w:rsid w:val="001C5BFB"/>
    <w:rsid w:val="001C69A1"/>
    <w:rsid w:val="001C729E"/>
    <w:rsid w:val="001D099B"/>
    <w:rsid w:val="001D0E49"/>
    <w:rsid w:val="001D13B1"/>
    <w:rsid w:val="001D1682"/>
    <w:rsid w:val="001D1FE8"/>
    <w:rsid w:val="001D2BBE"/>
    <w:rsid w:val="001D393D"/>
    <w:rsid w:val="001D4E29"/>
    <w:rsid w:val="001D5C9C"/>
    <w:rsid w:val="001D7313"/>
    <w:rsid w:val="001E214A"/>
    <w:rsid w:val="001E2E60"/>
    <w:rsid w:val="001E4CB0"/>
    <w:rsid w:val="001E52AB"/>
    <w:rsid w:val="001E540E"/>
    <w:rsid w:val="001E7959"/>
    <w:rsid w:val="001F057F"/>
    <w:rsid w:val="001F2AB2"/>
    <w:rsid w:val="001F3263"/>
    <w:rsid w:val="001F454D"/>
    <w:rsid w:val="001F4F5B"/>
    <w:rsid w:val="001F6401"/>
    <w:rsid w:val="001F6AF0"/>
    <w:rsid w:val="001F799D"/>
    <w:rsid w:val="001F799E"/>
    <w:rsid w:val="001F7F60"/>
    <w:rsid w:val="00200D3A"/>
    <w:rsid w:val="002021E0"/>
    <w:rsid w:val="0020226B"/>
    <w:rsid w:val="00202BBC"/>
    <w:rsid w:val="00202CFA"/>
    <w:rsid w:val="00202D30"/>
    <w:rsid w:val="002057CA"/>
    <w:rsid w:val="002065ED"/>
    <w:rsid w:val="002067F9"/>
    <w:rsid w:val="0020771A"/>
    <w:rsid w:val="002111CC"/>
    <w:rsid w:val="00211FB3"/>
    <w:rsid w:val="00212826"/>
    <w:rsid w:val="002207F1"/>
    <w:rsid w:val="002213CF"/>
    <w:rsid w:val="002221EF"/>
    <w:rsid w:val="00223737"/>
    <w:rsid w:val="00225017"/>
    <w:rsid w:val="00225E7C"/>
    <w:rsid w:val="00226D69"/>
    <w:rsid w:val="00230AB7"/>
    <w:rsid w:val="00230D0C"/>
    <w:rsid w:val="00230F6D"/>
    <w:rsid w:val="00231034"/>
    <w:rsid w:val="00231B5C"/>
    <w:rsid w:val="00234E5B"/>
    <w:rsid w:val="002368A4"/>
    <w:rsid w:val="00237666"/>
    <w:rsid w:val="00237802"/>
    <w:rsid w:val="00241BC5"/>
    <w:rsid w:val="002432EC"/>
    <w:rsid w:val="002439AB"/>
    <w:rsid w:val="00246A0B"/>
    <w:rsid w:val="00246EF4"/>
    <w:rsid w:val="0025062E"/>
    <w:rsid w:val="002519A1"/>
    <w:rsid w:val="0025665B"/>
    <w:rsid w:val="00256E31"/>
    <w:rsid w:val="002608A4"/>
    <w:rsid w:val="002616BF"/>
    <w:rsid w:val="00262137"/>
    <w:rsid w:val="00263314"/>
    <w:rsid w:val="00264133"/>
    <w:rsid w:val="002641DA"/>
    <w:rsid w:val="00265878"/>
    <w:rsid w:val="0026640D"/>
    <w:rsid w:val="002665D3"/>
    <w:rsid w:val="00266964"/>
    <w:rsid w:val="00267FD0"/>
    <w:rsid w:val="002711C6"/>
    <w:rsid w:val="00271561"/>
    <w:rsid w:val="002720F0"/>
    <w:rsid w:val="002811F0"/>
    <w:rsid w:val="0028202F"/>
    <w:rsid w:val="002828DC"/>
    <w:rsid w:val="00283A7F"/>
    <w:rsid w:val="0028496B"/>
    <w:rsid w:val="00293BA4"/>
    <w:rsid w:val="00293F9D"/>
    <w:rsid w:val="00294436"/>
    <w:rsid w:val="002946D1"/>
    <w:rsid w:val="00295ED1"/>
    <w:rsid w:val="002963C6"/>
    <w:rsid w:val="00296714"/>
    <w:rsid w:val="002A02FB"/>
    <w:rsid w:val="002A17A1"/>
    <w:rsid w:val="002A1B29"/>
    <w:rsid w:val="002A1E0F"/>
    <w:rsid w:val="002A3BD0"/>
    <w:rsid w:val="002A7F7C"/>
    <w:rsid w:val="002B0962"/>
    <w:rsid w:val="002B0DAD"/>
    <w:rsid w:val="002B25DA"/>
    <w:rsid w:val="002B3351"/>
    <w:rsid w:val="002B488E"/>
    <w:rsid w:val="002B52C2"/>
    <w:rsid w:val="002B52D4"/>
    <w:rsid w:val="002B661F"/>
    <w:rsid w:val="002C05D7"/>
    <w:rsid w:val="002C21B4"/>
    <w:rsid w:val="002C3777"/>
    <w:rsid w:val="002C4117"/>
    <w:rsid w:val="002C57F8"/>
    <w:rsid w:val="002C7A64"/>
    <w:rsid w:val="002D0D90"/>
    <w:rsid w:val="002D3497"/>
    <w:rsid w:val="002D5629"/>
    <w:rsid w:val="002D69C7"/>
    <w:rsid w:val="002E15F2"/>
    <w:rsid w:val="002E290A"/>
    <w:rsid w:val="002E2F36"/>
    <w:rsid w:val="002E6B62"/>
    <w:rsid w:val="002E6F95"/>
    <w:rsid w:val="002F02B6"/>
    <w:rsid w:val="002F2A7D"/>
    <w:rsid w:val="002F5918"/>
    <w:rsid w:val="002F5A8A"/>
    <w:rsid w:val="00300AFF"/>
    <w:rsid w:val="00300CA7"/>
    <w:rsid w:val="0030128D"/>
    <w:rsid w:val="00301807"/>
    <w:rsid w:val="00302526"/>
    <w:rsid w:val="0030477C"/>
    <w:rsid w:val="0030524A"/>
    <w:rsid w:val="003055F2"/>
    <w:rsid w:val="00306CED"/>
    <w:rsid w:val="00307001"/>
    <w:rsid w:val="00310562"/>
    <w:rsid w:val="00310836"/>
    <w:rsid w:val="00311DF1"/>
    <w:rsid w:val="003124AB"/>
    <w:rsid w:val="0031258B"/>
    <w:rsid w:val="00312F90"/>
    <w:rsid w:val="00313132"/>
    <w:rsid w:val="003134FB"/>
    <w:rsid w:val="0031473A"/>
    <w:rsid w:val="00317A17"/>
    <w:rsid w:val="00322544"/>
    <w:rsid w:val="00322BAE"/>
    <w:rsid w:val="0032325A"/>
    <w:rsid w:val="0032388F"/>
    <w:rsid w:val="00326B2B"/>
    <w:rsid w:val="00326F68"/>
    <w:rsid w:val="0032778B"/>
    <w:rsid w:val="003301D5"/>
    <w:rsid w:val="003318DD"/>
    <w:rsid w:val="00332CE7"/>
    <w:rsid w:val="00332D2F"/>
    <w:rsid w:val="00333EB0"/>
    <w:rsid w:val="00336020"/>
    <w:rsid w:val="00337C33"/>
    <w:rsid w:val="00341739"/>
    <w:rsid w:val="00341BC3"/>
    <w:rsid w:val="0034269A"/>
    <w:rsid w:val="00345D26"/>
    <w:rsid w:val="003467D1"/>
    <w:rsid w:val="00346DA3"/>
    <w:rsid w:val="00353D68"/>
    <w:rsid w:val="00354FFE"/>
    <w:rsid w:val="0035640B"/>
    <w:rsid w:val="0035795A"/>
    <w:rsid w:val="003609B3"/>
    <w:rsid w:val="00360B43"/>
    <w:rsid w:val="00360CA7"/>
    <w:rsid w:val="00362441"/>
    <w:rsid w:val="003628C2"/>
    <w:rsid w:val="00365989"/>
    <w:rsid w:val="00365AE7"/>
    <w:rsid w:val="00365C24"/>
    <w:rsid w:val="00370AFE"/>
    <w:rsid w:val="00372876"/>
    <w:rsid w:val="00372B66"/>
    <w:rsid w:val="00374898"/>
    <w:rsid w:val="003815BD"/>
    <w:rsid w:val="00381D63"/>
    <w:rsid w:val="00382809"/>
    <w:rsid w:val="00382ADB"/>
    <w:rsid w:val="003848B0"/>
    <w:rsid w:val="003860C2"/>
    <w:rsid w:val="0038733D"/>
    <w:rsid w:val="00387BF2"/>
    <w:rsid w:val="00390623"/>
    <w:rsid w:val="003912F9"/>
    <w:rsid w:val="00391E24"/>
    <w:rsid w:val="003930BD"/>
    <w:rsid w:val="00393199"/>
    <w:rsid w:val="00393953"/>
    <w:rsid w:val="003939A2"/>
    <w:rsid w:val="00393DF4"/>
    <w:rsid w:val="0039662A"/>
    <w:rsid w:val="00396B70"/>
    <w:rsid w:val="00396D7E"/>
    <w:rsid w:val="003A0A42"/>
    <w:rsid w:val="003A16A4"/>
    <w:rsid w:val="003A45FE"/>
    <w:rsid w:val="003A4B5F"/>
    <w:rsid w:val="003A69F0"/>
    <w:rsid w:val="003B04AE"/>
    <w:rsid w:val="003B0E85"/>
    <w:rsid w:val="003B2CF7"/>
    <w:rsid w:val="003B3075"/>
    <w:rsid w:val="003B40C1"/>
    <w:rsid w:val="003B52A8"/>
    <w:rsid w:val="003B6F75"/>
    <w:rsid w:val="003B7090"/>
    <w:rsid w:val="003C1D85"/>
    <w:rsid w:val="003C3008"/>
    <w:rsid w:val="003C3B22"/>
    <w:rsid w:val="003C4563"/>
    <w:rsid w:val="003C6237"/>
    <w:rsid w:val="003C6E1C"/>
    <w:rsid w:val="003D121F"/>
    <w:rsid w:val="003D3402"/>
    <w:rsid w:val="003D3613"/>
    <w:rsid w:val="003D401D"/>
    <w:rsid w:val="003D5357"/>
    <w:rsid w:val="003D7602"/>
    <w:rsid w:val="003E01DB"/>
    <w:rsid w:val="003E0608"/>
    <w:rsid w:val="003E15D8"/>
    <w:rsid w:val="003E171A"/>
    <w:rsid w:val="003E2245"/>
    <w:rsid w:val="003E29DB"/>
    <w:rsid w:val="003E4955"/>
    <w:rsid w:val="003E4FC2"/>
    <w:rsid w:val="003F0EF7"/>
    <w:rsid w:val="003F1586"/>
    <w:rsid w:val="003F2145"/>
    <w:rsid w:val="003F2EE5"/>
    <w:rsid w:val="003F301F"/>
    <w:rsid w:val="003F3345"/>
    <w:rsid w:val="003F38DF"/>
    <w:rsid w:val="003F4953"/>
    <w:rsid w:val="003F7F7C"/>
    <w:rsid w:val="0040068E"/>
    <w:rsid w:val="00401035"/>
    <w:rsid w:val="004024B1"/>
    <w:rsid w:val="00403950"/>
    <w:rsid w:val="0040541D"/>
    <w:rsid w:val="004076EF"/>
    <w:rsid w:val="004077E1"/>
    <w:rsid w:val="0041163A"/>
    <w:rsid w:val="004122AC"/>
    <w:rsid w:val="00412BEB"/>
    <w:rsid w:val="0041343C"/>
    <w:rsid w:val="0041363B"/>
    <w:rsid w:val="00413A98"/>
    <w:rsid w:val="004166A8"/>
    <w:rsid w:val="0042041A"/>
    <w:rsid w:val="00421028"/>
    <w:rsid w:val="00421127"/>
    <w:rsid w:val="004233D6"/>
    <w:rsid w:val="00423B97"/>
    <w:rsid w:val="00427AB6"/>
    <w:rsid w:val="00430FA4"/>
    <w:rsid w:val="00431BDA"/>
    <w:rsid w:val="00431D21"/>
    <w:rsid w:val="00431E5E"/>
    <w:rsid w:val="00431EE4"/>
    <w:rsid w:val="0043595D"/>
    <w:rsid w:val="00435CAF"/>
    <w:rsid w:val="00436EAF"/>
    <w:rsid w:val="004400EE"/>
    <w:rsid w:val="00440F85"/>
    <w:rsid w:val="00441579"/>
    <w:rsid w:val="004416B0"/>
    <w:rsid w:val="004420AD"/>
    <w:rsid w:val="00443202"/>
    <w:rsid w:val="0044403E"/>
    <w:rsid w:val="00445517"/>
    <w:rsid w:val="0044601A"/>
    <w:rsid w:val="00450CFE"/>
    <w:rsid w:val="004536EE"/>
    <w:rsid w:val="00454973"/>
    <w:rsid w:val="00454B63"/>
    <w:rsid w:val="00456911"/>
    <w:rsid w:val="004618CB"/>
    <w:rsid w:val="00464D89"/>
    <w:rsid w:val="004664E8"/>
    <w:rsid w:val="00471E78"/>
    <w:rsid w:val="0047213F"/>
    <w:rsid w:val="004754AE"/>
    <w:rsid w:val="00475A0B"/>
    <w:rsid w:val="00477A52"/>
    <w:rsid w:val="00480AB6"/>
    <w:rsid w:val="00480DCC"/>
    <w:rsid w:val="00484CF6"/>
    <w:rsid w:val="0048533F"/>
    <w:rsid w:val="0048643E"/>
    <w:rsid w:val="0048654B"/>
    <w:rsid w:val="004908DC"/>
    <w:rsid w:val="00490D8D"/>
    <w:rsid w:val="004938F1"/>
    <w:rsid w:val="004941E7"/>
    <w:rsid w:val="00497E7B"/>
    <w:rsid w:val="004A1B46"/>
    <w:rsid w:val="004A1D81"/>
    <w:rsid w:val="004A344E"/>
    <w:rsid w:val="004A3A71"/>
    <w:rsid w:val="004A3BB0"/>
    <w:rsid w:val="004B0BF0"/>
    <w:rsid w:val="004B46CB"/>
    <w:rsid w:val="004B4EB6"/>
    <w:rsid w:val="004B50F0"/>
    <w:rsid w:val="004B5F1F"/>
    <w:rsid w:val="004B6D0D"/>
    <w:rsid w:val="004C0F38"/>
    <w:rsid w:val="004C26B8"/>
    <w:rsid w:val="004C33ED"/>
    <w:rsid w:val="004C3578"/>
    <w:rsid w:val="004C465B"/>
    <w:rsid w:val="004C4E82"/>
    <w:rsid w:val="004C58FC"/>
    <w:rsid w:val="004C5DB1"/>
    <w:rsid w:val="004D1B08"/>
    <w:rsid w:val="004D2C97"/>
    <w:rsid w:val="004D3BC3"/>
    <w:rsid w:val="004D3E97"/>
    <w:rsid w:val="004D4532"/>
    <w:rsid w:val="004D4936"/>
    <w:rsid w:val="004D594D"/>
    <w:rsid w:val="004D72FA"/>
    <w:rsid w:val="004E01C2"/>
    <w:rsid w:val="004E279C"/>
    <w:rsid w:val="004E4D3F"/>
    <w:rsid w:val="004E571F"/>
    <w:rsid w:val="004F0FFE"/>
    <w:rsid w:val="004F3F8E"/>
    <w:rsid w:val="004F4304"/>
    <w:rsid w:val="004F5307"/>
    <w:rsid w:val="004F53DD"/>
    <w:rsid w:val="004F7C54"/>
    <w:rsid w:val="0050020B"/>
    <w:rsid w:val="00501203"/>
    <w:rsid w:val="0050231F"/>
    <w:rsid w:val="005049D8"/>
    <w:rsid w:val="005055F7"/>
    <w:rsid w:val="00507A9C"/>
    <w:rsid w:val="005100F5"/>
    <w:rsid w:val="00510695"/>
    <w:rsid w:val="005124D2"/>
    <w:rsid w:val="00512B12"/>
    <w:rsid w:val="00515AA2"/>
    <w:rsid w:val="00515BA6"/>
    <w:rsid w:val="00515CE8"/>
    <w:rsid w:val="005214A1"/>
    <w:rsid w:val="0052269A"/>
    <w:rsid w:val="005228D4"/>
    <w:rsid w:val="00522F1F"/>
    <w:rsid w:val="00524376"/>
    <w:rsid w:val="005243DE"/>
    <w:rsid w:val="00524E8E"/>
    <w:rsid w:val="005254F5"/>
    <w:rsid w:val="00525AB2"/>
    <w:rsid w:val="0053065E"/>
    <w:rsid w:val="005333DA"/>
    <w:rsid w:val="005364DF"/>
    <w:rsid w:val="00540A10"/>
    <w:rsid w:val="00540C01"/>
    <w:rsid w:val="0054292C"/>
    <w:rsid w:val="00543B4F"/>
    <w:rsid w:val="00544BF2"/>
    <w:rsid w:val="005453EB"/>
    <w:rsid w:val="005457B4"/>
    <w:rsid w:val="00545FBF"/>
    <w:rsid w:val="0054602D"/>
    <w:rsid w:val="00547003"/>
    <w:rsid w:val="00550CAE"/>
    <w:rsid w:val="00551001"/>
    <w:rsid w:val="0055240D"/>
    <w:rsid w:val="005532BA"/>
    <w:rsid w:val="0055407F"/>
    <w:rsid w:val="00554D29"/>
    <w:rsid w:val="005551C1"/>
    <w:rsid w:val="0055587F"/>
    <w:rsid w:val="00555A47"/>
    <w:rsid w:val="00555D81"/>
    <w:rsid w:val="005560E0"/>
    <w:rsid w:val="00556839"/>
    <w:rsid w:val="00556FE6"/>
    <w:rsid w:val="0055746F"/>
    <w:rsid w:val="00561B3E"/>
    <w:rsid w:val="005628EA"/>
    <w:rsid w:val="005629D9"/>
    <w:rsid w:val="005659B2"/>
    <w:rsid w:val="0056714E"/>
    <w:rsid w:val="005705E3"/>
    <w:rsid w:val="005712CD"/>
    <w:rsid w:val="00571308"/>
    <w:rsid w:val="00571876"/>
    <w:rsid w:val="00577E1A"/>
    <w:rsid w:val="005803B4"/>
    <w:rsid w:val="005824E4"/>
    <w:rsid w:val="00584DDF"/>
    <w:rsid w:val="00585844"/>
    <w:rsid w:val="00586466"/>
    <w:rsid w:val="00586804"/>
    <w:rsid w:val="00591020"/>
    <w:rsid w:val="00591133"/>
    <w:rsid w:val="005961B7"/>
    <w:rsid w:val="005974CC"/>
    <w:rsid w:val="005A2836"/>
    <w:rsid w:val="005A2A83"/>
    <w:rsid w:val="005A3165"/>
    <w:rsid w:val="005A41E3"/>
    <w:rsid w:val="005A43FB"/>
    <w:rsid w:val="005A6541"/>
    <w:rsid w:val="005B1DD9"/>
    <w:rsid w:val="005B6499"/>
    <w:rsid w:val="005B6B9A"/>
    <w:rsid w:val="005C0BFE"/>
    <w:rsid w:val="005C19F9"/>
    <w:rsid w:val="005C20FA"/>
    <w:rsid w:val="005C2BB2"/>
    <w:rsid w:val="005C2EBB"/>
    <w:rsid w:val="005C4496"/>
    <w:rsid w:val="005C6EB9"/>
    <w:rsid w:val="005D0E39"/>
    <w:rsid w:val="005D27C9"/>
    <w:rsid w:val="005D287C"/>
    <w:rsid w:val="005D2E77"/>
    <w:rsid w:val="005D5A24"/>
    <w:rsid w:val="005D5C04"/>
    <w:rsid w:val="005E0193"/>
    <w:rsid w:val="005E0215"/>
    <w:rsid w:val="005E08A1"/>
    <w:rsid w:val="005E1B52"/>
    <w:rsid w:val="005E5B3F"/>
    <w:rsid w:val="005E5EB6"/>
    <w:rsid w:val="005E6A8B"/>
    <w:rsid w:val="005E73DA"/>
    <w:rsid w:val="005F0754"/>
    <w:rsid w:val="005F2CEA"/>
    <w:rsid w:val="005F3E38"/>
    <w:rsid w:val="005F3FB8"/>
    <w:rsid w:val="005F73AF"/>
    <w:rsid w:val="005F76D5"/>
    <w:rsid w:val="005F7DAE"/>
    <w:rsid w:val="0060151B"/>
    <w:rsid w:val="0060248E"/>
    <w:rsid w:val="006028FE"/>
    <w:rsid w:val="0060428F"/>
    <w:rsid w:val="00604F8B"/>
    <w:rsid w:val="00605056"/>
    <w:rsid w:val="0060596A"/>
    <w:rsid w:val="00605BFE"/>
    <w:rsid w:val="00607C85"/>
    <w:rsid w:val="00610C22"/>
    <w:rsid w:val="00611B4D"/>
    <w:rsid w:val="0061205E"/>
    <w:rsid w:val="00613A20"/>
    <w:rsid w:val="00614A0A"/>
    <w:rsid w:val="00614A56"/>
    <w:rsid w:val="00615FA8"/>
    <w:rsid w:val="00617080"/>
    <w:rsid w:val="00617A60"/>
    <w:rsid w:val="00621FF8"/>
    <w:rsid w:val="00622834"/>
    <w:rsid w:val="00622F60"/>
    <w:rsid w:val="00624BA5"/>
    <w:rsid w:val="00625B00"/>
    <w:rsid w:val="006264CC"/>
    <w:rsid w:val="00627954"/>
    <w:rsid w:val="006300D1"/>
    <w:rsid w:val="006306FA"/>
    <w:rsid w:val="0063236E"/>
    <w:rsid w:val="00634AA9"/>
    <w:rsid w:val="00634B9E"/>
    <w:rsid w:val="00635E85"/>
    <w:rsid w:val="00637E52"/>
    <w:rsid w:val="00642427"/>
    <w:rsid w:val="00644199"/>
    <w:rsid w:val="00646284"/>
    <w:rsid w:val="00646C1A"/>
    <w:rsid w:val="00655880"/>
    <w:rsid w:val="006566F8"/>
    <w:rsid w:val="00656D7E"/>
    <w:rsid w:val="006574AF"/>
    <w:rsid w:val="00657DF5"/>
    <w:rsid w:val="006601F3"/>
    <w:rsid w:val="00660D8F"/>
    <w:rsid w:val="006613F6"/>
    <w:rsid w:val="006621EA"/>
    <w:rsid w:val="00662D96"/>
    <w:rsid w:val="00663191"/>
    <w:rsid w:val="006647E2"/>
    <w:rsid w:val="0066500D"/>
    <w:rsid w:val="00665198"/>
    <w:rsid w:val="00672A26"/>
    <w:rsid w:val="006738CF"/>
    <w:rsid w:val="00674324"/>
    <w:rsid w:val="00676913"/>
    <w:rsid w:val="00677AF7"/>
    <w:rsid w:val="00677BC3"/>
    <w:rsid w:val="0068108E"/>
    <w:rsid w:val="00683B82"/>
    <w:rsid w:val="00684311"/>
    <w:rsid w:val="006844B4"/>
    <w:rsid w:val="006858C4"/>
    <w:rsid w:val="00685BFC"/>
    <w:rsid w:val="0068758D"/>
    <w:rsid w:val="00690A59"/>
    <w:rsid w:val="00690BED"/>
    <w:rsid w:val="00692840"/>
    <w:rsid w:val="00693C27"/>
    <w:rsid w:val="006952F3"/>
    <w:rsid w:val="00696564"/>
    <w:rsid w:val="00697215"/>
    <w:rsid w:val="00697EB8"/>
    <w:rsid w:val="006A017D"/>
    <w:rsid w:val="006A0603"/>
    <w:rsid w:val="006A4D23"/>
    <w:rsid w:val="006A53F4"/>
    <w:rsid w:val="006A543B"/>
    <w:rsid w:val="006A5E14"/>
    <w:rsid w:val="006A6875"/>
    <w:rsid w:val="006A7EBD"/>
    <w:rsid w:val="006B0775"/>
    <w:rsid w:val="006B0847"/>
    <w:rsid w:val="006B22D0"/>
    <w:rsid w:val="006B2A60"/>
    <w:rsid w:val="006B3319"/>
    <w:rsid w:val="006B4B88"/>
    <w:rsid w:val="006B6B72"/>
    <w:rsid w:val="006C0A4F"/>
    <w:rsid w:val="006C1021"/>
    <w:rsid w:val="006C34EF"/>
    <w:rsid w:val="006C3AA6"/>
    <w:rsid w:val="006C5BCD"/>
    <w:rsid w:val="006D4D95"/>
    <w:rsid w:val="006D4DCA"/>
    <w:rsid w:val="006D50B6"/>
    <w:rsid w:val="006D61C9"/>
    <w:rsid w:val="006D61E5"/>
    <w:rsid w:val="006D6336"/>
    <w:rsid w:val="006D6852"/>
    <w:rsid w:val="006D7157"/>
    <w:rsid w:val="006E16E3"/>
    <w:rsid w:val="006E1A73"/>
    <w:rsid w:val="006E3E0B"/>
    <w:rsid w:val="006E7D60"/>
    <w:rsid w:val="006F0A17"/>
    <w:rsid w:val="006F2AC7"/>
    <w:rsid w:val="006F3C06"/>
    <w:rsid w:val="006F3E7E"/>
    <w:rsid w:val="006F4166"/>
    <w:rsid w:val="006F65E2"/>
    <w:rsid w:val="006F6CB7"/>
    <w:rsid w:val="006F721D"/>
    <w:rsid w:val="00702C6B"/>
    <w:rsid w:val="00704A67"/>
    <w:rsid w:val="0070713D"/>
    <w:rsid w:val="00707210"/>
    <w:rsid w:val="00710B33"/>
    <w:rsid w:val="00711C00"/>
    <w:rsid w:val="007135DE"/>
    <w:rsid w:val="00717000"/>
    <w:rsid w:val="00717182"/>
    <w:rsid w:val="0072069C"/>
    <w:rsid w:val="007252F5"/>
    <w:rsid w:val="007273A7"/>
    <w:rsid w:val="00730D68"/>
    <w:rsid w:val="00733930"/>
    <w:rsid w:val="007357EC"/>
    <w:rsid w:val="007421A3"/>
    <w:rsid w:val="0074234A"/>
    <w:rsid w:val="00747B95"/>
    <w:rsid w:val="00747D4E"/>
    <w:rsid w:val="00751B90"/>
    <w:rsid w:val="0075391F"/>
    <w:rsid w:val="00757685"/>
    <w:rsid w:val="007576B0"/>
    <w:rsid w:val="0076103E"/>
    <w:rsid w:val="007629B1"/>
    <w:rsid w:val="0076328A"/>
    <w:rsid w:val="007670E5"/>
    <w:rsid w:val="007672B2"/>
    <w:rsid w:val="00770BA8"/>
    <w:rsid w:val="00773B04"/>
    <w:rsid w:val="00773BD6"/>
    <w:rsid w:val="00774D18"/>
    <w:rsid w:val="00775BBE"/>
    <w:rsid w:val="007763E7"/>
    <w:rsid w:val="00776406"/>
    <w:rsid w:val="0077674A"/>
    <w:rsid w:val="00776D94"/>
    <w:rsid w:val="0077725C"/>
    <w:rsid w:val="0077770B"/>
    <w:rsid w:val="00780881"/>
    <w:rsid w:val="00780B92"/>
    <w:rsid w:val="007821C7"/>
    <w:rsid w:val="0078247D"/>
    <w:rsid w:val="00783AB0"/>
    <w:rsid w:val="007857DA"/>
    <w:rsid w:val="00787240"/>
    <w:rsid w:val="00787988"/>
    <w:rsid w:val="00787C3E"/>
    <w:rsid w:val="00787FA3"/>
    <w:rsid w:val="00794F22"/>
    <w:rsid w:val="007960AF"/>
    <w:rsid w:val="00796465"/>
    <w:rsid w:val="0079753A"/>
    <w:rsid w:val="0079772C"/>
    <w:rsid w:val="00797C75"/>
    <w:rsid w:val="007A05AB"/>
    <w:rsid w:val="007A07F5"/>
    <w:rsid w:val="007A2BB0"/>
    <w:rsid w:val="007A3030"/>
    <w:rsid w:val="007A57E8"/>
    <w:rsid w:val="007A5F9D"/>
    <w:rsid w:val="007A6321"/>
    <w:rsid w:val="007A71CA"/>
    <w:rsid w:val="007B0C51"/>
    <w:rsid w:val="007B1E85"/>
    <w:rsid w:val="007B29A8"/>
    <w:rsid w:val="007B385A"/>
    <w:rsid w:val="007B4AB8"/>
    <w:rsid w:val="007B5DA5"/>
    <w:rsid w:val="007B7370"/>
    <w:rsid w:val="007B797A"/>
    <w:rsid w:val="007B79D0"/>
    <w:rsid w:val="007C175B"/>
    <w:rsid w:val="007C2832"/>
    <w:rsid w:val="007C28E4"/>
    <w:rsid w:val="007C38D5"/>
    <w:rsid w:val="007C3B64"/>
    <w:rsid w:val="007C4FDE"/>
    <w:rsid w:val="007C6249"/>
    <w:rsid w:val="007C77D8"/>
    <w:rsid w:val="007D0285"/>
    <w:rsid w:val="007D097E"/>
    <w:rsid w:val="007D0BC7"/>
    <w:rsid w:val="007D0C6B"/>
    <w:rsid w:val="007D1008"/>
    <w:rsid w:val="007D2746"/>
    <w:rsid w:val="007D392A"/>
    <w:rsid w:val="007D4DA2"/>
    <w:rsid w:val="007D58BE"/>
    <w:rsid w:val="007D66B1"/>
    <w:rsid w:val="007D7288"/>
    <w:rsid w:val="007D73C1"/>
    <w:rsid w:val="007E18CD"/>
    <w:rsid w:val="007E1ED4"/>
    <w:rsid w:val="007E3AD7"/>
    <w:rsid w:val="007E44D1"/>
    <w:rsid w:val="007E51AB"/>
    <w:rsid w:val="007E68FF"/>
    <w:rsid w:val="007E7F3F"/>
    <w:rsid w:val="007F360C"/>
    <w:rsid w:val="007F534F"/>
    <w:rsid w:val="007F57E4"/>
    <w:rsid w:val="007F649A"/>
    <w:rsid w:val="007F74D8"/>
    <w:rsid w:val="00800F25"/>
    <w:rsid w:val="008014B0"/>
    <w:rsid w:val="00802DBC"/>
    <w:rsid w:val="00803725"/>
    <w:rsid w:val="00805BC0"/>
    <w:rsid w:val="00806C08"/>
    <w:rsid w:val="00807B8C"/>
    <w:rsid w:val="0081002F"/>
    <w:rsid w:val="0081125D"/>
    <w:rsid w:val="008120AD"/>
    <w:rsid w:val="00812715"/>
    <w:rsid w:val="00813C10"/>
    <w:rsid w:val="00813E8F"/>
    <w:rsid w:val="0081628B"/>
    <w:rsid w:val="0081644E"/>
    <w:rsid w:val="00816F2B"/>
    <w:rsid w:val="008171DA"/>
    <w:rsid w:val="00817BB7"/>
    <w:rsid w:val="00821934"/>
    <w:rsid w:val="00823084"/>
    <w:rsid w:val="00826F26"/>
    <w:rsid w:val="008277E1"/>
    <w:rsid w:val="008319AE"/>
    <w:rsid w:val="008328E8"/>
    <w:rsid w:val="008344B8"/>
    <w:rsid w:val="008345F1"/>
    <w:rsid w:val="00837294"/>
    <w:rsid w:val="00837FA5"/>
    <w:rsid w:val="008430C8"/>
    <w:rsid w:val="00845A20"/>
    <w:rsid w:val="00846F14"/>
    <w:rsid w:val="00847132"/>
    <w:rsid w:val="00847C4C"/>
    <w:rsid w:val="0084EEA7"/>
    <w:rsid w:val="008501F3"/>
    <w:rsid w:val="0085322A"/>
    <w:rsid w:val="00853460"/>
    <w:rsid w:val="00853564"/>
    <w:rsid w:val="008542AB"/>
    <w:rsid w:val="0085571A"/>
    <w:rsid w:val="00857630"/>
    <w:rsid w:val="0086053C"/>
    <w:rsid w:val="00861178"/>
    <w:rsid w:val="0086147F"/>
    <w:rsid w:val="00861D19"/>
    <w:rsid w:val="00861EE0"/>
    <w:rsid w:val="00862C37"/>
    <w:rsid w:val="0086316F"/>
    <w:rsid w:val="00863434"/>
    <w:rsid w:val="0086398A"/>
    <w:rsid w:val="008640EB"/>
    <w:rsid w:val="008646FE"/>
    <w:rsid w:val="00865472"/>
    <w:rsid w:val="008658E1"/>
    <w:rsid w:val="00866A14"/>
    <w:rsid w:val="0086736F"/>
    <w:rsid w:val="008703FF"/>
    <w:rsid w:val="0087293F"/>
    <w:rsid w:val="008731C7"/>
    <w:rsid w:val="00873678"/>
    <w:rsid w:val="0087583D"/>
    <w:rsid w:val="0087703D"/>
    <w:rsid w:val="00877DD7"/>
    <w:rsid w:val="00880A5F"/>
    <w:rsid w:val="008828AC"/>
    <w:rsid w:val="0088430C"/>
    <w:rsid w:val="00887012"/>
    <w:rsid w:val="008963FA"/>
    <w:rsid w:val="008A06E0"/>
    <w:rsid w:val="008A151F"/>
    <w:rsid w:val="008A21B0"/>
    <w:rsid w:val="008A34EA"/>
    <w:rsid w:val="008A394E"/>
    <w:rsid w:val="008A4F99"/>
    <w:rsid w:val="008A4FFC"/>
    <w:rsid w:val="008B0D8B"/>
    <w:rsid w:val="008B0F22"/>
    <w:rsid w:val="008B13F3"/>
    <w:rsid w:val="008B1AD5"/>
    <w:rsid w:val="008B1E7E"/>
    <w:rsid w:val="008B3BEB"/>
    <w:rsid w:val="008B4028"/>
    <w:rsid w:val="008B4044"/>
    <w:rsid w:val="008B594B"/>
    <w:rsid w:val="008B6157"/>
    <w:rsid w:val="008B6F6C"/>
    <w:rsid w:val="008C25BC"/>
    <w:rsid w:val="008C33FC"/>
    <w:rsid w:val="008C3D6E"/>
    <w:rsid w:val="008C3F01"/>
    <w:rsid w:val="008D2722"/>
    <w:rsid w:val="008D3A8B"/>
    <w:rsid w:val="008D4935"/>
    <w:rsid w:val="008D5576"/>
    <w:rsid w:val="008D5CDE"/>
    <w:rsid w:val="008D70BA"/>
    <w:rsid w:val="008D7558"/>
    <w:rsid w:val="008E2748"/>
    <w:rsid w:val="008E6DE8"/>
    <w:rsid w:val="008F084E"/>
    <w:rsid w:val="008F10DF"/>
    <w:rsid w:val="008F3783"/>
    <w:rsid w:val="008F50CE"/>
    <w:rsid w:val="008F6843"/>
    <w:rsid w:val="008F7124"/>
    <w:rsid w:val="008F78CD"/>
    <w:rsid w:val="00900C80"/>
    <w:rsid w:val="00900E75"/>
    <w:rsid w:val="00903E32"/>
    <w:rsid w:val="009043C1"/>
    <w:rsid w:val="009045C3"/>
    <w:rsid w:val="00904648"/>
    <w:rsid w:val="00904D34"/>
    <w:rsid w:val="009050F6"/>
    <w:rsid w:val="00905E1F"/>
    <w:rsid w:val="009061DF"/>
    <w:rsid w:val="00906760"/>
    <w:rsid w:val="0090723F"/>
    <w:rsid w:val="00907437"/>
    <w:rsid w:val="00907ECF"/>
    <w:rsid w:val="0091095F"/>
    <w:rsid w:val="00910BD0"/>
    <w:rsid w:val="00912094"/>
    <w:rsid w:val="00913058"/>
    <w:rsid w:val="00914256"/>
    <w:rsid w:val="00915145"/>
    <w:rsid w:val="0091618F"/>
    <w:rsid w:val="00916FBB"/>
    <w:rsid w:val="00917E26"/>
    <w:rsid w:val="00922249"/>
    <w:rsid w:val="00922CAD"/>
    <w:rsid w:val="00924AE0"/>
    <w:rsid w:val="00926246"/>
    <w:rsid w:val="00927124"/>
    <w:rsid w:val="00927D20"/>
    <w:rsid w:val="00927F40"/>
    <w:rsid w:val="00930985"/>
    <w:rsid w:val="00931E60"/>
    <w:rsid w:val="009330A3"/>
    <w:rsid w:val="0093357E"/>
    <w:rsid w:val="00933673"/>
    <w:rsid w:val="0093546C"/>
    <w:rsid w:val="009359F0"/>
    <w:rsid w:val="009377C7"/>
    <w:rsid w:val="00937AFD"/>
    <w:rsid w:val="00940FC7"/>
    <w:rsid w:val="00940FC8"/>
    <w:rsid w:val="00942924"/>
    <w:rsid w:val="0094449D"/>
    <w:rsid w:val="00944908"/>
    <w:rsid w:val="00944AE0"/>
    <w:rsid w:val="00945C97"/>
    <w:rsid w:val="00945FB3"/>
    <w:rsid w:val="0095014C"/>
    <w:rsid w:val="0095016D"/>
    <w:rsid w:val="00950BFD"/>
    <w:rsid w:val="009515CD"/>
    <w:rsid w:val="009529B9"/>
    <w:rsid w:val="009555CB"/>
    <w:rsid w:val="00955B7F"/>
    <w:rsid w:val="00956570"/>
    <w:rsid w:val="00956B72"/>
    <w:rsid w:val="009610A7"/>
    <w:rsid w:val="0096623A"/>
    <w:rsid w:val="009666D3"/>
    <w:rsid w:val="009708E2"/>
    <w:rsid w:val="0097105C"/>
    <w:rsid w:val="00972DAD"/>
    <w:rsid w:val="00973FB7"/>
    <w:rsid w:val="009744A1"/>
    <w:rsid w:val="00975249"/>
    <w:rsid w:val="00975C54"/>
    <w:rsid w:val="009777A3"/>
    <w:rsid w:val="0098208B"/>
    <w:rsid w:val="009820AC"/>
    <w:rsid w:val="00982B0A"/>
    <w:rsid w:val="00982F55"/>
    <w:rsid w:val="00984643"/>
    <w:rsid w:val="00984945"/>
    <w:rsid w:val="00984A51"/>
    <w:rsid w:val="00986713"/>
    <w:rsid w:val="00987FF2"/>
    <w:rsid w:val="00997E4D"/>
    <w:rsid w:val="009A0A62"/>
    <w:rsid w:val="009A17E4"/>
    <w:rsid w:val="009A3EAF"/>
    <w:rsid w:val="009A4770"/>
    <w:rsid w:val="009A6382"/>
    <w:rsid w:val="009A679D"/>
    <w:rsid w:val="009A6F3E"/>
    <w:rsid w:val="009A6F9E"/>
    <w:rsid w:val="009AE593"/>
    <w:rsid w:val="009B4AFB"/>
    <w:rsid w:val="009B5B47"/>
    <w:rsid w:val="009B63FA"/>
    <w:rsid w:val="009B6A72"/>
    <w:rsid w:val="009C0438"/>
    <w:rsid w:val="009C050A"/>
    <w:rsid w:val="009C12D0"/>
    <w:rsid w:val="009C19EF"/>
    <w:rsid w:val="009C3314"/>
    <w:rsid w:val="009C3B14"/>
    <w:rsid w:val="009C3C02"/>
    <w:rsid w:val="009C60DF"/>
    <w:rsid w:val="009D017C"/>
    <w:rsid w:val="009D0983"/>
    <w:rsid w:val="009D111F"/>
    <w:rsid w:val="009D1E85"/>
    <w:rsid w:val="009D344F"/>
    <w:rsid w:val="009D4342"/>
    <w:rsid w:val="009E0092"/>
    <w:rsid w:val="009E0F60"/>
    <w:rsid w:val="009E10E9"/>
    <w:rsid w:val="009E20A5"/>
    <w:rsid w:val="009E54F4"/>
    <w:rsid w:val="009F1583"/>
    <w:rsid w:val="009F1A44"/>
    <w:rsid w:val="009F2056"/>
    <w:rsid w:val="009F29ED"/>
    <w:rsid w:val="009F4E8A"/>
    <w:rsid w:val="009F785D"/>
    <w:rsid w:val="00A00416"/>
    <w:rsid w:val="00A01564"/>
    <w:rsid w:val="00A01CD5"/>
    <w:rsid w:val="00A02322"/>
    <w:rsid w:val="00A033CE"/>
    <w:rsid w:val="00A035EC"/>
    <w:rsid w:val="00A0501C"/>
    <w:rsid w:val="00A05BF1"/>
    <w:rsid w:val="00A06DD8"/>
    <w:rsid w:val="00A073F9"/>
    <w:rsid w:val="00A0798F"/>
    <w:rsid w:val="00A111F7"/>
    <w:rsid w:val="00A1421B"/>
    <w:rsid w:val="00A16A6B"/>
    <w:rsid w:val="00A176CF"/>
    <w:rsid w:val="00A20253"/>
    <w:rsid w:val="00A207FD"/>
    <w:rsid w:val="00A20C44"/>
    <w:rsid w:val="00A23DE1"/>
    <w:rsid w:val="00A2475C"/>
    <w:rsid w:val="00A24800"/>
    <w:rsid w:val="00A24C6C"/>
    <w:rsid w:val="00A253E0"/>
    <w:rsid w:val="00A259D5"/>
    <w:rsid w:val="00A27499"/>
    <w:rsid w:val="00A27C4E"/>
    <w:rsid w:val="00A30118"/>
    <w:rsid w:val="00A31EF4"/>
    <w:rsid w:val="00A32C57"/>
    <w:rsid w:val="00A33B30"/>
    <w:rsid w:val="00A34EEC"/>
    <w:rsid w:val="00A35460"/>
    <w:rsid w:val="00A361AA"/>
    <w:rsid w:val="00A37BD4"/>
    <w:rsid w:val="00A4034A"/>
    <w:rsid w:val="00A408CA"/>
    <w:rsid w:val="00A41357"/>
    <w:rsid w:val="00A42EE0"/>
    <w:rsid w:val="00A43899"/>
    <w:rsid w:val="00A43A4E"/>
    <w:rsid w:val="00A43E27"/>
    <w:rsid w:val="00A456D6"/>
    <w:rsid w:val="00A472EF"/>
    <w:rsid w:val="00A47D15"/>
    <w:rsid w:val="00A5513D"/>
    <w:rsid w:val="00A56168"/>
    <w:rsid w:val="00A56A0B"/>
    <w:rsid w:val="00A5755F"/>
    <w:rsid w:val="00A62F07"/>
    <w:rsid w:val="00A6368A"/>
    <w:rsid w:val="00A661FB"/>
    <w:rsid w:val="00A6655B"/>
    <w:rsid w:val="00A671A4"/>
    <w:rsid w:val="00A7670F"/>
    <w:rsid w:val="00A76AC8"/>
    <w:rsid w:val="00A76CB7"/>
    <w:rsid w:val="00A777B5"/>
    <w:rsid w:val="00A8079C"/>
    <w:rsid w:val="00A80E89"/>
    <w:rsid w:val="00A81074"/>
    <w:rsid w:val="00A81B1A"/>
    <w:rsid w:val="00A81DAB"/>
    <w:rsid w:val="00A824D8"/>
    <w:rsid w:val="00A82D08"/>
    <w:rsid w:val="00A84706"/>
    <w:rsid w:val="00A8688D"/>
    <w:rsid w:val="00A87577"/>
    <w:rsid w:val="00A9246B"/>
    <w:rsid w:val="00A940DB"/>
    <w:rsid w:val="00A946B6"/>
    <w:rsid w:val="00A95D34"/>
    <w:rsid w:val="00A96F68"/>
    <w:rsid w:val="00A96FD9"/>
    <w:rsid w:val="00A97AA6"/>
    <w:rsid w:val="00A97E96"/>
    <w:rsid w:val="00A97F8D"/>
    <w:rsid w:val="00A97FFC"/>
    <w:rsid w:val="00AA14AB"/>
    <w:rsid w:val="00AA160B"/>
    <w:rsid w:val="00AA1AEB"/>
    <w:rsid w:val="00AA368A"/>
    <w:rsid w:val="00AA3946"/>
    <w:rsid w:val="00AA7688"/>
    <w:rsid w:val="00AB085D"/>
    <w:rsid w:val="00AB108B"/>
    <w:rsid w:val="00AB588C"/>
    <w:rsid w:val="00AC0D65"/>
    <w:rsid w:val="00AC284E"/>
    <w:rsid w:val="00AC28EC"/>
    <w:rsid w:val="00AC4125"/>
    <w:rsid w:val="00AC4DE7"/>
    <w:rsid w:val="00AC714D"/>
    <w:rsid w:val="00AD1F73"/>
    <w:rsid w:val="00AD272A"/>
    <w:rsid w:val="00AD2947"/>
    <w:rsid w:val="00AD4F34"/>
    <w:rsid w:val="00AD551C"/>
    <w:rsid w:val="00AE1D86"/>
    <w:rsid w:val="00AE1F2E"/>
    <w:rsid w:val="00AE2E24"/>
    <w:rsid w:val="00AE32AB"/>
    <w:rsid w:val="00AE35C1"/>
    <w:rsid w:val="00AE5935"/>
    <w:rsid w:val="00AE6752"/>
    <w:rsid w:val="00AF3A6E"/>
    <w:rsid w:val="00AF4E5D"/>
    <w:rsid w:val="00AF6217"/>
    <w:rsid w:val="00B00C0D"/>
    <w:rsid w:val="00B0128A"/>
    <w:rsid w:val="00B016B4"/>
    <w:rsid w:val="00B02C0A"/>
    <w:rsid w:val="00B04403"/>
    <w:rsid w:val="00B06F23"/>
    <w:rsid w:val="00B1167E"/>
    <w:rsid w:val="00B117A5"/>
    <w:rsid w:val="00B11DC5"/>
    <w:rsid w:val="00B1205B"/>
    <w:rsid w:val="00B13639"/>
    <w:rsid w:val="00B13959"/>
    <w:rsid w:val="00B1450C"/>
    <w:rsid w:val="00B155B4"/>
    <w:rsid w:val="00B15734"/>
    <w:rsid w:val="00B1699E"/>
    <w:rsid w:val="00B16E38"/>
    <w:rsid w:val="00B17D36"/>
    <w:rsid w:val="00B204AE"/>
    <w:rsid w:val="00B226E1"/>
    <w:rsid w:val="00B22854"/>
    <w:rsid w:val="00B2352B"/>
    <w:rsid w:val="00B2444A"/>
    <w:rsid w:val="00B268F4"/>
    <w:rsid w:val="00B2692A"/>
    <w:rsid w:val="00B26F91"/>
    <w:rsid w:val="00B27073"/>
    <w:rsid w:val="00B30098"/>
    <w:rsid w:val="00B301F8"/>
    <w:rsid w:val="00B30DE2"/>
    <w:rsid w:val="00B30DE4"/>
    <w:rsid w:val="00B317C0"/>
    <w:rsid w:val="00B32316"/>
    <w:rsid w:val="00B32AF9"/>
    <w:rsid w:val="00B339B5"/>
    <w:rsid w:val="00B33F1C"/>
    <w:rsid w:val="00B3460F"/>
    <w:rsid w:val="00B36675"/>
    <w:rsid w:val="00B368C1"/>
    <w:rsid w:val="00B37F33"/>
    <w:rsid w:val="00B40E72"/>
    <w:rsid w:val="00B41488"/>
    <w:rsid w:val="00B4434E"/>
    <w:rsid w:val="00B44518"/>
    <w:rsid w:val="00B45375"/>
    <w:rsid w:val="00B4564C"/>
    <w:rsid w:val="00B46250"/>
    <w:rsid w:val="00B46ABC"/>
    <w:rsid w:val="00B473A4"/>
    <w:rsid w:val="00B50E0D"/>
    <w:rsid w:val="00B511D1"/>
    <w:rsid w:val="00B51812"/>
    <w:rsid w:val="00B53329"/>
    <w:rsid w:val="00B53386"/>
    <w:rsid w:val="00B53537"/>
    <w:rsid w:val="00B544E5"/>
    <w:rsid w:val="00B54555"/>
    <w:rsid w:val="00B55072"/>
    <w:rsid w:val="00B62CCF"/>
    <w:rsid w:val="00B64CF0"/>
    <w:rsid w:val="00B66379"/>
    <w:rsid w:val="00B674FE"/>
    <w:rsid w:val="00B70279"/>
    <w:rsid w:val="00B7601F"/>
    <w:rsid w:val="00B76605"/>
    <w:rsid w:val="00B7692C"/>
    <w:rsid w:val="00B76CCF"/>
    <w:rsid w:val="00B76F72"/>
    <w:rsid w:val="00B77A1D"/>
    <w:rsid w:val="00B77F1B"/>
    <w:rsid w:val="00B81568"/>
    <w:rsid w:val="00B81A4A"/>
    <w:rsid w:val="00B8200E"/>
    <w:rsid w:val="00B82ADD"/>
    <w:rsid w:val="00B8410C"/>
    <w:rsid w:val="00B84DB6"/>
    <w:rsid w:val="00B85663"/>
    <w:rsid w:val="00B85E97"/>
    <w:rsid w:val="00B86C76"/>
    <w:rsid w:val="00B87B4D"/>
    <w:rsid w:val="00B91E7F"/>
    <w:rsid w:val="00B92B5A"/>
    <w:rsid w:val="00B9433D"/>
    <w:rsid w:val="00B9453E"/>
    <w:rsid w:val="00B955A4"/>
    <w:rsid w:val="00B9596B"/>
    <w:rsid w:val="00B97107"/>
    <w:rsid w:val="00B97663"/>
    <w:rsid w:val="00BA0035"/>
    <w:rsid w:val="00BA054B"/>
    <w:rsid w:val="00BA38D4"/>
    <w:rsid w:val="00BA4EC2"/>
    <w:rsid w:val="00BA5641"/>
    <w:rsid w:val="00BA76CA"/>
    <w:rsid w:val="00BA7F1B"/>
    <w:rsid w:val="00BB0AB0"/>
    <w:rsid w:val="00BB3232"/>
    <w:rsid w:val="00BB3D8C"/>
    <w:rsid w:val="00BB4147"/>
    <w:rsid w:val="00BB46AA"/>
    <w:rsid w:val="00BB4BA2"/>
    <w:rsid w:val="00BB56E8"/>
    <w:rsid w:val="00BB6BF0"/>
    <w:rsid w:val="00BC1715"/>
    <w:rsid w:val="00BC3B88"/>
    <w:rsid w:val="00BC4000"/>
    <w:rsid w:val="00BC57A9"/>
    <w:rsid w:val="00BC60F7"/>
    <w:rsid w:val="00BC682E"/>
    <w:rsid w:val="00BC69B6"/>
    <w:rsid w:val="00BC6E24"/>
    <w:rsid w:val="00BC7B60"/>
    <w:rsid w:val="00BD1360"/>
    <w:rsid w:val="00BD1BA9"/>
    <w:rsid w:val="00BD2F18"/>
    <w:rsid w:val="00BD456A"/>
    <w:rsid w:val="00BD45E2"/>
    <w:rsid w:val="00BD5E60"/>
    <w:rsid w:val="00BD74F5"/>
    <w:rsid w:val="00BE0CCE"/>
    <w:rsid w:val="00BE19CC"/>
    <w:rsid w:val="00BE2E72"/>
    <w:rsid w:val="00BE337B"/>
    <w:rsid w:val="00BE5F0B"/>
    <w:rsid w:val="00BE63E9"/>
    <w:rsid w:val="00BE6CE3"/>
    <w:rsid w:val="00BE777A"/>
    <w:rsid w:val="00BF06FB"/>
    <w:rsid w:val="00BF0E14"/>
    <w:rsid w:val="00BF170B"/>
    <w:rsid w:val="00BF344A"/>
    <w:rsid w:val="00BF3EFA"/>
    <w:rsid w:val="00BF7F40"/>
    <w:rsid w:val="00C00E88"/>
    <w:rsid w:val="00C01A7D"/>
    <w:rsid w:val="00C0356E"/>
    <w:rsid w:val="00C04B9A"/>
    <w:rsid w:val="00C05AC1"/>
    <w:rsid w:val="00C076F2"/>
    <w:rsid w:val="00C10A62"/>
    <w:rsid w:val="00C11D18"/>
    <w:rsid w:val="00C135A3"/>
    <w:rsid w:val="00C1391C"/>
    <w:rsid w:val="00C14A5F"/>
    <w:rsid w:val="00C15C19"/>
    <w:rsid w:val="00C16C2F"/>
    <w:rsid w:val="00C16FD6"/>
    <w:rsid w:val="00C1786E"/>
    <w:rsid w:val="00C17B0D"/>
    <w:rsid w:val="00C20A9F"/>
    <w:rsid w:val="00C2115E"/>
    <w:rsid w:val="00C212F0"/>
    <w:rsid w:val="00C2269B"/>
    <w:rsid w:val="00C23C4A"/>
    <w:rsid w:val="00C240EF"/>
    <w:rsid w:val="00C253C1"/>
    <w:rsid w:val="00C26D8B"/>
    <w:rsid w:val="00C26F75"/>
    <w:rsid w:val="00C3031E"/>
    <w:rsid w:val="00C30B94"/>
    <w:rsid w:val="00C31C7C"/>
    <w:rsid w:val="00C326DD"/>
    <w:rsid w:val="00C32E6A"/>
    <w:rsid w:val="00C337FF"/>
    <w:rsid w:val="00C369F4"/>
    <w:rsid w:val="00C436C9"/>
    <w:rsid w:val="00C449B0"/>
    <w:rsid w:val="00C45D20"/>
    <w:rsid w:val="00C464FA"/>
    <w:rsid w:val="00C47D67"/>
    <w:rsid w:val="00C50032"/>
    <w:rsid w:val="00C50ACE"/>
    <w:rsid w:val="00C51654"/>
    <w:rsid w:val="00C52F73"/>
    <w:rsid w:val="00C53CAC"/>
    <w:rsid w:val="00C548BE"/>
    <w:rsid w:val="00C54DD9"/>
    <w:rsid w:val="00C55647"/>
    <w:rsid w:val="00C55C4F"/>
    <w:rsid w:val="00C56340"/>
    <w:rsid w:val="00C56FF8"/>
    <w:rsid w:val="00C5794B"/>
    <w:rsid w:val="00C629DD"/>
    <w:rsid w:val="00C637F9"/>
    <w:rsid w:val="00C6433A"/>
    <w:rsid w:val="00C65388"/>
    <w:rsid w:val="00C65687"/>
    <w:rsid w:val="00C67749"/>
    <w:rsid w:val="00C70E3E"/>
    <w:rsid w:val="00C71CC3"/>
    <w:rsid w:val="00C71DBB"/>
    <w:rsid w:val="00C71F32"/>
    <w:rsid w:val="00C7203F"/>
    <w:rsid w:val="00C727C2"/>
    <w:rsid w:val="00C73830"/>
    <w:rsid w:val="00C73DFA"/>
    <w:rsid w:val="00C7548D"/>
    <w:rsid w:val="00C759D7"/>
    <w:rsid w:val="00C764DD"/>
    <w:rsid w:val="00C7666D"/>
    <w:rsid w:val="00C769C2"/>
    <w:rsid w:val="00C77125"/>
    <w:rsid w:val="00C775DB"/>
    <w:rsid w:val="00C80A5D"/>
    <w:rsid w:val="00C8290A"/>
    <w:rsid w:val="00C849DA"/>
    <w:rsid w:val="00C850D0"/>
    <w:rsid w:val="00C86428"/>
    <w:rsid w:val="00C86B23"/>
    <w:rsid w:val="00C902C7"/>
    <w:rsid w:val="00C921D1"/>
    <w:rsid w:val="00C94572"/>
    <w:rsid w:val="00C96653"/>
    <w:rsid w:val="00CA5661"/>
    <w:rsid w:val="00CA6875"/>
    <w:rsid w:val="00CA73B3"/>
    <w:rsid w:val="00CB0904"/>
    <w:rsid w:val="00CB1185"/>
    <w:rsid w:val="00CB145A"/>
    <w:rsid w:val="00CB23C8"/>
    <w:rsid w:val="00CB2B3E"/>
    <w:rsid w:val="00CB392B"/>
    <w:rsid w:val="00CB398C"/>
    <w:rsid w:val="00CB4787"/>
    <w:rsid w:val="00CB4DEC"/>
    <w:rsid w:val="00CB7838"/>
    <w:rsid w:val="00CC3ADA"/>
    <w:rsid w:val="00CC4997"/>
    <w:rsid w:val="00CC4BDA"/>
    <w:rsid w:val="00CC6985"/>
    <w:rsid w:val="00CC6E3E"/>
    <w:rsid w:val="00CD3C8E"/>
    <w:rsid w:val="00CD53E0"/>
    <w:rsid w:val="00CD5D75"/>
    <w:rsid w:val="00CD7187"/>
    <w:rsid w:val="00CE0268"/>
    <w:rsid w:val="00CE2CAE"/>
    <w:rsid w:val="00CE70FE"/>
    <w:rsid w:val="00CE7589"/>
    <w:rsid w:val="00CF0EB8"/>
    <w:rsid w:val="00CF1679"/>
    <w:rsid w:val="00CF1688"/>
    <w:rsid w:val="00CF2EDD"/>
    <w:rsid w:val="00CF45AF"/>
    <w:rsid w:val="00CF5DA0"/>
    <w:rsid w:val="00CF61F4"/>
    <w:rsid w:val="00CF6C63"/>
    <w:rsid w:val="00CF716F"/>
    <w:rsid w:val="00CF788A"/>
    <w:rsid w:val="00D00E43"/>
    <w:rsid w:val="00D00EC3"/>
    <w:rsid w:val="00D00F29"/>
    <w:rsid w:val="00D014E8"/>
    <w:rsid w:val="00D01C2B"/>
    <w:rsid w:val="00D02852"/>
    <w:rsid w:val="00D0338D"/>
    <w:rsid w:val="00D03F05"/>
    <w:rsid w:val="00D0402C"/>
    <w:rsid w:val="00D069B8"/>
    <w:rsid w:val="00D06A89"/>
    <w:rsid w:val="00D06FE2"/>
    <w:rsid w:val="00D076A5"/>
    <w:rsid w:val="00D07AE2"/>
    <w:rsid w:val="00D11822"/>
    <w:rsid w:val="00D11858"/>
    <w:rsid w:val="00D1188B"/>
    <w:rsid w:val="00D14554"/>
    <w:rsid w:val="00D1638B"/>
    <w:rsid w:val="00D20C12"/>
    <w:rsid w:val="00D20CC6"/>
    <w:rsid w:val="00D21AB8"/>
    <w:rsid w:val="00D21F94"/>
    <w:rsid w:val="00D220AC"/>
    <w:rsid w:val="00D22277"/>
    <w:rsid w:val="00D24350"/>
    <w:rsid w:val="00D24CD4"/>
    <w:rsid w:val="00D30909"/>
    <w:rsid w:val="00D31349"/>
    <w:rsid w:val="00D3388F"/>
    <w:rsid w:val="00D35979"/>
    <w:rsid w:val="00D35DC1"/>
    <w:rsid w:val="00D3697C"/>
    <w:rsid w:val="00D372E9"/>
    <w:rsid w:val="00D40A1E"/>
    <w:rsid w:val="00D4307B"/>
    <w:rsid w:val="00D433E9"/>
    <w:rsid w:val="00D46A5A"/>
    <w:rsid w:val="00D470D4"/>
    <w:rsid w:val="00D472B1"/>
    <w:rsid w:val="00D479EB"/>
    <w:rsid w:val="00D5006C"/>
    <w:rsid w:val="00D53295"/>
    <w:rsid w:val="00D54C4F"/>
    <w:rsid w:val="00D56677"/>
    <w:rsid w:val="00D56B80"/>
    <w:rsid w:val="00D56D43"/>
    <w:rsid w:val="00D56FCF"/>
    <w:rsid w:val="00D57C5E"/>
    <w:rsid w:val="00D60793"/>
    <w:rsid w:val="00D609CB"/>
    <w:rsid w:val="00D62B83"/>
    <w:rsid w:val="00D62C04"/>
    <w:rsid w:val="00D6302F"/>
    <w:rsid w:val="00D641A2"/>
    <w:rsid w:val="00D6420E"/>
    <w:rsid w:val="00D647C6"/>
    <w:rsid w:val="00D64917"/>
    <w:rsid w:val="00D64F7A"/>
    <w:rsid w:val="00D70C34"/>
    <w:rsid w:val="00D70F1A"/>
    <w:rsid w:val="00D72CDC"/>
    <w:rsid w:val="00D73554"/>
    <w:rsid w:val="00D74521"/>
    <w:rsid w:val="00D74FA7"/>
    <w:rsid w:val="00D80F09"/>
    <w:rsid w:val="00D81A42"/>
    <w:rsid w:val="00D81C75"/>
    <w:rsid w:val="00D83853"/>
    <w:rsid w:val="00D8693E"/>
    <w:rsid w:val="00D872E3"/>
    <w:rsid w:val="00D87685"/>
    <w:rsid w:val="00D87BA3"/>
    <w:rsid w:val="00D905D6"/>
    <w:rsid w:val="00D94D01"/>
    <w:rsid w:val="00D952A7"/>
    <w:rsid w:val="00D957C2"/>
    <w:rsid w:val="00D97E5E"/>
    <w:rsid w:val="00DA0097"/>
    <w:rsid w:val="00DA01FB"/>
    <w:rsid w:val="00DA1AA5"/>
    <w:rsid w:val="00DA2357"/>
    <w:rsid w:val="00DA3130"/>
    <w:rsid w:val="00DA3230"/>
    <w:rsid w:val="00DA496A"/>
    <w:rsid w:val="00DA5992"/>
    <w:rsid w:val="00DA77AF"/>
    <w:rsid w:val="00DB14EA"/>
    <w:rsid w:val="00DB1927"/>
    <w:rsid w:val="00DB1E74"/>
    <w:rsid w:val="00DB2D2E"/>
    <w:rsid w:val="00DB2D55"/>
    <w:rsid w:val="00DB3658"/>
    <w:rsid w:val="00DB3F63"/>
    <w:rsid w:val="00DB4150"/>
    <w:rsid w:val="00DB458A"/>
    <w:rsid w:val="00DB49A7"/>
    <w:rsid w:val="00DB501D"/>
    <w:rsid w:val="00DC0307"/>
    <w:rsid w:val="00DC0747"/>
    <w:rsid w:val="00DC0934"/>
    <w:rsid w:val="00DC1B85"/>
    <w:rsid w:val="00DC2B82"/>
    <w:rsid w:val="00DC350B"/>
    <w:rsid w:val="00DC3644"/>
    <w:rsid w:val="00DC3B3D"/>
    <w:rsid w:val="00DC4114"/>
    <w:rsid w:val="00DC529B"/>
    <w:rsid w:val="00DC6314"/>
    <w:rsid w:val="00DD4001"/>
    <w:rsid w:val="00DD4031"/>
    <w:rsid w:val="00DD41D6"/>
    <w:rsid w:val="00DD49FB"/>
    <w:rsid w:val="00DD63E3"/>
    <w:rsid w:val="00DD7A63"/>
    <w:rsid w:val="00DE0052"/>
    <w:rsid w:val="00DE167D"/>
    <w:rsid w:val="00DE18A5"/>
    <w:rsid w:val="00DE223F"/>
    <w:rsid w:val="00DE3AF8"/>
    <w:rsid w:val="00DE4588"/>
    <w:rsid w:val="00DE45AE"/>
    <w:rsid w:val="00DE4BBD"/>
    <w:rsid w:val="00DE4DB5"/>
    <w:rsid w:val="00DE4F0A"/>
    <w:rsid w:val="00DE6021"/>
    <w:rsid w:val="00DE62E9"/>
    <w:rsid w:val="00DE67EB"/>
    <w:rsid w:val="00DE6E3A"/>
    <w:rsid w:val="00DE7078"/>
    <w:rsid w:val="00DE799B"/>
    <w:rsid w:val="00DE7B6B"/>
    <w:rsid w:val="00DF031C"/>
    <w:rsid w:val="00DF11B0"/>
    <w:rsid w:val="00DF29F9"/>
    <w:rsid w:val="00DF3519"/>
    <w:rsid w:val="00DF4ED4"/>
    <w:rsid w:val="00E01B0A"/>
    <w:rsid w:val="00E0227D"/>
    <w:rsid w:val="00E02C21"/>
    <w:rsid w:val="00E03C39"/>
    <w:rsid w:val="00E0468A"/>
    <w:rsid w:val="00E04D4E"/>
    <w:rsid w:val="00E06643"/>
    <w:rsid w:val="00E076F0"/>
    <w:rsid w:val="00E100D6"/>
    <w:rsid w:val="00E10636"/>
    <w:rsid w:val="00E11CBB"/>
    <w:rsid w:val="00E12525"/>
    <w:rsid w:val="00E12F9E"/>
    <w:rsid w:val="00E13F7A"/>
    <w:rsid w:val="00E14187"/>
    <w:rsid w:val="00E162B5"/>
    <w:rsid w:val="00E1717B"/>
    <w:rsid w:val="00E2094D"/>
    <w:rsid w:val="00E21E6F"/>
    <w:rsid w:val="00E24431"/>
    <w:rsid w:val="00E2517B"/>
    <w:rsid w:val="00E256F0"/>
    <w:rsid w:val="00E27792"/>
    <w:rsid w:val="00E27D51"/>
    <w:rsid w:val="00E32644"/>
    <w:rsid w:val="00E32856"/>
    <w:rsid w:val="00E32C50"/>
    <w:rsid w:val="00E34C34"/>
    <w:rsid w:val="00E34F90"/>
    <w:rsid w:val="00E379A5"/>
    <w:rsid w:val="00E40120"/>
    <w:rsid w:val="00E409CD"/>
    <w:rsid w:val="00E413BA"/>
    <w:rsid w:val="00E414AD"/>
    <w:rsid w:val="00E41AAB"/>
    <w:rsid w:val="00E41E53"/>
    <w:rsid w:val="00E44FBE"/>
    <w:rsid w:val="00E450E5"/>
    <w:rsid w:val="00E45296"/>
    <w:rsid w:val="00E46ABC"/>
    <w:rsid w:val="00E47BE3"/>
    <w:rsid w:val="00E509FD"/>
    <w:rsid w:val="00E50EAE"/>
    <w:rsid w:val="00E5204D"/>
    <w:rsid w:val="00E52A44"/>
    <w:rsid w:val="00E53EDF"/>
    <w:rsid w:val="00E56C8A"/>
    <w:rsid w:val="00E56E3F"/>
    <w:rsid w:val="00E576E5"/>
    <w:rsid w:val="00E60633"/>
    <w:rsid w:val="00E61133"/>
    <w:rsid w:val="00E61F04"/>
    <w:rsid w:val="00E61F76"/>
    <w:rsid w:val="00E62F94"/>
    <w:rsid w:val="00E63C54"/>
    <w:rsid w:val="00E655AD"/>
    <w:rsid w:val="00E7107D"/>
    <w:rsid w:val="00E7453A"/>
    <w:rsid w:val="00E8025A"/>
    <w:rsid w:val="00E82FF3"/>
    <w:rsid w:val="00E835CD"/>
    <w:rsid w:val="00E84067"/>
    <w:rsid w:val="00E853DB"/>
    <w:rsid w:val="00E85AD4"/>
    <w:rsid w:val="00E87620"/>
    <w:rsid w:val="00E90CB9"/>
    <w:rsid w:val="00E91337"/>
    <w:rsid w:val="00E91BB1"/>
    <w:rsid w:val="00E941BD"/>
    <w:rsid w:val="00E9463B"/>
    <w:rsid w:val="00E95157"/>
    <w:rsid w:val="00E9526E"/>
    <w:rsid w:val="00E9552A"/>
    <w:rsid w:val="00E96E67"/>
    <w:rsid w:val="00EA1A63"/>
    <w:rsid w:val="00EA20B1"/>
    <w:rsid w:val="00EA21F2"/>
    <w:rsid w:val="00EA22F9"/>
    <w:rsid w:val="00EA2307"/>
    <w:rsid w:val="00EA37F9"/>
    <w:rsid w:val="00EA40A8"/>
    <w:rsid w:val="00EA40B9"/>
    <w:rsid w:val="00EA4474"/>
    <w:rsid w:val="00EA5CAF"/>
    <w:rsid w:val="00EA5D15"/>
    <w:rsid w:val="00EB1AB5"/>
    <w:rsid w:val="00EB2D92"/>
    <w:rsid w:val="00EB35CF"/>
    <w:rsid w:val="00EB4EBF"/>
    <w:rsid w:val="00EB5F0F"/>
    <w:rsid w:val="00EB629F"/>
    <w:rsid w:val="00EC0486"/>
    <w:rsid w:val="00EC0F1B"/>
    <w:rsid w:val="00EC18CC"/>
    <w:rsid w:val="00EC1FB6"/>
    <w:rsid w:val="00EC5DE8"/>
    <w:rsid w:val="00ED0387"/>
    <w:rsid w:val="00ED0EBD"/>
    <w:rsid w:val="00ED2724"/>
    <w:rsid w:val="00ED4C25"/>
    <w:rsid w:val="00EE0C09"/>
    <w:rsid w:val="00EE2CA2"/>
    <w:rsid w:val="00EE3502"/>
    <w:rsid w:val="00EE5FDA"/>
    <w:rsid w:val="00EE6C1A"/>
    <w:rsid w:val="00EF1467"/>
    <w:rsid w:val="00EF1817"/>
    <w:rsid w:val="00EF4828"/>
    <w:rsid w:val="00EF54CA"/>
    <w:rsid w:val="00EF580D"/>
    <w:rsid w:val="00EF6718"/>
    <w:rsid w:val="00EF6F23"/>
    <w:rsid w:val="00F007E5"/>
    <w:rsid w:val="00F03680"/>
    <w:rsid w:val="00F05254"/>
    <w:rsid w:val="00F05316"/>
    <w:rsid w:val="00F058A4"/>
    <w:rsid w:val="00F107A3"/>
    <w:rsid w:val="00F10F02"/>
    <w:rsid w:val="00F118A4"/>
    <w:rsid w:val="00F119B4"/>
    <w:rsid w:val="00F11CE9"/>
    <w:rsid w:val="00F127CF"/>
    <w:rsid w:val="00F12B17"/>
    <w:rsid w:val="00F12DE0"/>
    <w:rsid w:val="00F136E6"/>
    <w:rsid w:val="00F13B14"/>
    <w:rsid w:val="00F14F98"/>
    <w:rsid w:val="00F15EB9"/>
    <w:rsid w:val="00F15F3E"/>
    <w:rsid w:val="00F16546"/>
    <w:rsid w:val="00F20296"/>
    <w:rsid w:val="00F20328"/>
    <w:rsid w:val="00F208A2"/>
    <w:rsid w:val="00F21FD6"/>
    <w:rsid w:val="00F23BA2"/>
    <w:rsid w:val="00F25706"/>
    <w:rsid w:val="00F257F9"/>
    <w:rsid w:val="00F25BE2"/>
    <w:rsid w:val="00F261B7"/>
    <w:rsid w:val="00F26480"/>
    <w:rsid w:val="00F27D6D"/>
    <w:rsid w:val="00F34412"/>
    <w:rsid w:val="00F350DD"/>
    <w:rsid w:val="00F35538"/>
    <w:rsid w:val="00F36AF6"/>
    <w:rsid w:val="00F36E5C"/>
    <w:rsid w:val="00F371B6"/>
    <w:rsid w:val="00F376A4"/>
    <w:rsid w:val="00F404BC"/>
    <w:rsid w:val="00F40C53"/>
    <w:rsid w:val="00F43966"/>
    <w:rsid w:val="00F50DBE"/>
    <w:rsid w:val="00F52C52"/>
    <w:rsid w:val="00F5480C"/>
    <w:rsid w:val="00F550A4"/>
    <w:rsid w:val="00F55734"/>
    <w:rsid w:val="00F55F45"/>
    <w:rsid w:val="00F61365"/>
    <w:rsid w:val="00F61633"/>
    <w:rsid w:val="00F62972"/>
    <w:rsid w:val="00F67FA3"/>
    <w:rsid w:val="00F70EAC"/>
    <w:rsid w:val="00F754E5"/>
    <w:rsid w:val="00F77EF1"/>
    <w:rsid w:val="00F80720"/>
    <w:rsid w:val="00F81D92"/>
    <w:rsid w:val="00F82119"/>
    <w:rsid w:val="00F8486B"/>
    <w:rsid w:val="00F84C85"/>
    <w:rsid w:val="00F85F8D"/>
    <w:rsid w:val="00F86B32"/>
    <w:rsid w:val="00F87E4C"/>
    <w:rsid w:val="00F908A6"/>
    <w:rsid w:val="00F9242F"/>
    <w:rsid w:val="00F924FC"/>
    <w:rsid w:val="00F92B43"/>
    <w:rsid w:val="00F92E42"/>
    <w:rsid w:val="00F93506"/>
    <w:rsid w:val="00F939D9"/>
    <w:rsid w:val="00F93C36"/>
    <w:rsid w:val="00F94609"/>
    <w:rsid w:val="00F94BB0"/>
    <w:rsid w:val="00F957D3"/>
    <w:rsid w:val="00FA1B9A"/>
    <w:rsid w:val="00FA1BC5"/>
    <w:rsid w:val="00FA44B7"/>
    <w:rsid w:val="00FA58C2"/>
    <w:rsid w:val="00FA60A5"/>
    <w:rsid w:val="00FA640C"/>
    <w:rsid w:val="00FA6972"/>
    <w:rsid w:val="00FB0E81"/>
    <w:rsid w:val="00FB2BF6"/>
    <w:rsid w:val="00FB3E37"/>
    <w:rsid w:val="00FB3F55"/>
    <w:rsid w:val="00FB4457"/>
    <w:rsid w:val="00FB4E48"/>
    <w:rsid w:val="00FB6360"/>
    <w:rsid w:val="00FB76FA"/>
    <w:rsid w:val="00FB7FE9"/>
    <w:rsid w:val="00FC0E39"/>
    <w:rsid w:val="00FC0F38"/>
    <w:rsid w:val="00FC2FF5"/>
    <w:rsid w:val="00FC64DC"/>
    <w:rsid w:val="00FC64E9"/>
    <w:rsid w:val="00FC6580"/>
    <w:rsid w:val="00FC7EA3"/>
    <w:rsid w:val="00FD3BD4"/>
    <w:rsid w:val="00FD5725"/>
    <w:rsid w:val="00FD7E35"/>
    <w:rsid w:val="00FE0FEB"/>
    <w:rsid w:val="00FE1130"/>
    <w:rsid w:val="00FE4EA9"/>
    <w:rsid w:val="00FE6F22"/>
    <w:rsid w:val="00FF0D3E"/>
    <w:rsid w:val="00FF38BC"/>
    <w:rsid w:val="00FF3E98"/>
    <w:rsid w:val="00FF4450"/>
    <w:rsid w:val="00FF4D3B"/>
    <w:rsid w:val="00FF5CDC"/>
    <w:rsid w:val="00FF641F"/>
    <w:rsid w:val="00FF7110"/>
    <w:rsid w:val="00FF7863"/>
    <w:rsid w:val="011DBD00"/>
    <w:rsid w:val="02A9D98D"/>
    <w:rsid w:val="02C9F3B0"/>
    <w:rsid w:val="03C99857"/>
    <w:rsid w:val="042E20C4"/>
    <w:rsid w:val="04806128"/>
    <w:rsid w:val="051E5636"/>
    <w:rsid w:val="0591C3BD"/>
    <w:rsid w:val="05C00724"/>
    <w:rsid w:val="062C90A0"/>
    <w:rsid w:val="066D2595"/>
    <w:rsid w:val="068E2A2D"/>
    <w:rsid w:val="0737E39C"/>
    <w:rsid w:val="086355FE"/>
    <w:rsid w:val="08D3F384"/>
    <w:rsid w:val="09100C1A"/>
    <w:rsid w:val="0A2F5B6B"/>
    <w:rsid w:val="0A305154"/>
    <w:rsid w:val="0A41D296"/>
    <w:rsid w:val="0A5DE678"/>
    <w:rsid w:val="0A8E1C6E"/>
    <w:rsid w:val="0B873850"/>
    <w:rsid w:val="0BC4583F"/>
    <w:rsid w:val="0CD1A8FD"/>
    <w:rsid w:val="0CFB396B"/>
    <w:rsid w:val="0D06B8E6"/>
    <w:rsid w:val="0DBF6258"/>
    <w:rsid w:val="0E350F74"/>
    <w:rsid w:val="0E8E6347"/>
    <w:rsid w:val="0F38F9F1"/>
    <w:rsid w:val="10003B11"/>
    <w:rsid w:val="104A9623"/>
    <w:rsid w:val="104B0B18"/>
    <w:rsid w:val="10D66804"/>
    <w:rsid w:val="110F181F"/>
    <w:rsid w:val="111E1FF9"/>
    <w:rsid w:val="1145E116"/>
    <w:rsid w:val="115E1056"/>
    <w:rsid w:val="124E2EE1"/>
    <w:rsid w:val="12A04D5E"/>
    <w:rsid w:val="130900C8"/>
    <w:rsid w:val="13216D16"/>
    <w:rsid w:val="1397B59C"/>
    <w:rsid w:val="1421E860"/>
    <w:rsid w:val="154FF71F"/>
    <w:rsid w:val="1589D823"/>
    <w:rsid w:val="158B4BCB"/>
    <w:rsid w:val="16164565"/>
    <w:rsid w:val="16689D8D"/>
    <w:rsid w:val="1677AA4F"/>
    <w:rsid w:val="169D749F"/>
    <w:rsid w:val="16A88F9D"/>
    <w:rsid w:val="16BCC024"/>
    <w:rsid w:val="17E94733"/>
    <w:rsid w:val="17F1DA90"/>
    <w:rsid w:val="182013B3"/>
    <w:rsid w:val="184FD2B1"/>
    <w:rsid w:val="196CA2C5"/>
    <w:rsid w:val="19E82B01"/>
    <w:rsid w:val="1ACE5C71"/>
    <w:rsid w:val="1B8BB11E"/>
    <w:rsid w:val="1B90F752"/>
    <w:rsid w:val="1BBA0DD5"/>
    <w:rsid w:val="1BC71E3B"/>
    <w:rsid w:val="1C285F79"/>
    <w:rsid w:val="1CF384D6"/>
    <w:rsid w:val="1DA37FCA"/>
    <w:rsid w:val="1E4F6C09"/>
    <w:rsid w:val="1E6FB214"/>
    <w:rsid w:val="1EEDC843"/>
    <w:rsid w:val="1EEF84A8"/>
    <w:rsid w:val="1EF7326D"/>
    <w:rsid w:val="1F93B9CD"/>
    <w:rsid w:val="1FB97F3D"/>
    <w:rsid w:val="200851F5"/>
    <w:rsid w:val="200E4862"/>
    <w:rsid w:val="201506D8"/>
    <w:rsid w:val="202C42CA"/>
    <w:rsid w:val="2057B8EE"/>
    <w:rsid w:val="20FE7D33"/>
    <w:rsid w:val="212FE004"/>
    <w:rsid w:val="21A3398F"/>
    <w:rsid w:val="21E695CE"/>
    <w:rsid w:val="222897EA"/>
    <w:rsid w:val="224D3168"/>
    <w:rsid w:val="229881D3"/>
    <w:rsid w:val="22EFBBBB"/>
    <w:rsid w:val="23505B65"/>
    <w:rsid w:val="239B6A1A"/>
    <w:rsid w:val="248D74C3"/>
    <w:rsid w:val="24938B24"/>
    <w:rsid w:val="24E74784"/>
    <w:rsid w:val="259EAEBD"/>
    <w:rsid w:val="25AC66ED"/>
    <w:rsid w:val="2662857C"/>
    <w:rsid w:val="27293E4B"/>
    <w:rsid w:val="276F0CB0"/>
    <w:rsid w:val="293E88C4"/>
    <w:rsid w:val="2955EA55"/>
    <w:rsid w:val="29755387"/>
    <w:rsid w:val="29ADF352"/>
    <w:rsid w:val="2A18A5ED"/>
    <w:rsid w:val="2B0C3E1B"/>
    <w:rsid w:val="2C23BDCF"/>
    <w:rsid w:val="2C25531A"/>
    <w:rsid w:val="2C430792"/>
    <w:rsid w:val="2C4FBDDA"/>
    <w:rsid w:val="2C7B8CD0"/>
    <w:rsid w:val="2C8B0890"/>
    <w:rsid w:val="2CD21CC6"/>
    <w:rsid w:val="2FDA1060"/>
    <w:rsid w:val="3040554B"/>
    <w:rsid w:val="3042839B"/>
    <w:rsid w:val="304DB99D"/>
    <w:rsid w:val="31BD6F08"/>
    <w:rsid w:val="3245388A"/>
    <w:rsid w:val="32B65509"/>
    <w:rsid w:val="3391267A"/>
    <w:rsid w:val="33F84C8E"/>
    <w:rsid w:val="3419FC98"/>
    <w:rsid w:val="3445A06A"/>
    <w:rsid w:val="34B70C7A"/>
    <w:rsid w:val="34C3F109"/>
    <w:rsid w:val="35094876"/>
    <w:rsid w:val="36084CC5"/>
    <w:rsid w:val="36197A0F"/>
    <w:rsid w:val="377B1458"/>
    <w:rsid w:val="378B257C"/>
    <w:rsid w:val="37B5A5E7"/>
    <w:rsid w:val="38A2AE9D"/>
    <w:rsid w:val="38CE31BD"/>
    <w:rsid w:val="38E7B604"/>
    <w:rsid w:val="39108B07"/>
    <w:rsid w:val="393DF9F6"/>
    <w:rsid w:val="394208C5"/>
    <w:rsid w:val="398F5F57"/>
    <w:rsid w:val="39F61101"/>
    <w:rsid w:val="3B47FC55"/>
    <w:rsid w:val="3B6C6986"/>
    <w:rsid w:val="3B8F02C3"/>
    <w:rsid w:val="3C3F4FA5"/>
    <w:rsid w:val="3CA030B6"/>
    <w:rsid w:val="3CEE9E47"/>
    <w:rsid w:val="3DCA4496"/>
    <w:rsid w:val="3DE9CA7A"/>
    <w:rsid w:val="3E2A168E"/>
    <w:rsid w:val="3E35B35E"/>
    <w:rsid w:val="3E3B04D3"/>
    <w:rsid w:val="3EE52EB0"/>
    <w:rsid w:val="3F1005D9"/>
    <w:rsid w:val="3F3F353B"/>
    <w:rsid w:val="3FDD6178"/>
    <w:rsid w:val="402F1F7D"/>
    <w:rsid w:val="405712B9"/>
    <w:rsid w:val="416F7185"/>
    <w:rsid w:val="418F1F06"/>
    <w:rsid w:val="41E286BF"/>
    <w:rsid w:val="41F099A2"/>
    <w:rsid w:val="4274B2A8"/>
    <w:rsid w:val="42EE74E9"/>
    <w:rsid w:val="437DD8C6"/>
    <w:rsid w:val="438A8995"/>
    <w:rsid w:val="447AF046"/>
    <w:rsid w:val="454E9DFB"/>
    <w:rsid w:val="45748DAC"/>
    <w:rsid w:val="4625DC99"/>
    <w:rsid w:val="46E1C510"/>
    <w:rsid w:val="48F53EC9"/>
    <w:rsid w:val="4A2D8236"/>
    <w:rsid w:val="4A5FFCDE"/>
    <w:rsid w:val="4A92740E"/>
    <w:rsid w:val="4ADBA31C"/>
    <w:rsid w:val="4AED67CF"/>
    <w:rsid w:val="4B0E6EF4"/>
    <w:rsid w:val="4B4F313A"/>
    <w:rsid w:val="4B5C8E53"/>
    <w:rsid w:val="4B6BA2EB"/>
    <w:rsid w:val="4C4736C7"/>
    <w:rsid w:val="4CC29002"/>
    <w:rsid w:val="4E5D7E2D"/>
    <w:rsid w:val="4F0784E0"/>
    <w:rsid w:val="4F4534A6"/>
    <w:rsid w:val="4F5AF76E"/>
    <w:rsid w:val="4F74BD2F"/>
    <w:rsid w:val="50F36A04"/>
    <w:rsid w:val="512887CF"/>
    <w:rsid w:val="51297D48"/>
    <w:rsid w:val="526582C7"/>
    <w:rsid w:val="528BAF55"/>
    <w:rsid w:val="5371AE79"/>
    <w:rsid w:val="545A7CAF"/>
    <w:rsid w:val="5477EB70"/>
    <w:rsid w:val="550B71A3"/>
    <w:rsid w:val="55411DE5"/>
    <w:rsid w:val="55D6B874"/>
    <w:rsid w:val="5620966A"/>
    <w:rsid w:val="56F2CE36"/>
    <w:rsid w:val="57FE0C02"/>
    <w:rsid w:val="5815A8FD"/>
    <w:rsid w:val="58C8D3A0"/>
    <w:rsid w:val="5927BA27"/>
    <w:rsid w:val="5939ECC0"/>
    <w:rsid w:val="59B9EE53"/>
    <w:rsid w:val="5AE82F83"/>
    <w:rsid w:val="5B3FDEE1"/>
    <w:rsid w:val="5B42CD97"/>
    <w:rsid w:val="5B7E7765"/>
    <w:rsid w:val="5BBBA535"/>
    <w:rsid w:val="5BC323BC"/>
    <w:rsid w:val="5BF006EA"/>
    <w:rsid w:val="5D95C3DE"/>
    <w:rsid w:val="5DAF5825"/>
    <w:rsid w:val="5DDAE326"/>
    <w:rsid w:val="5EE1CE31"/>
    <w:rsid w:val="5F062A2E"/>
    <w:rsid w:val="5F0AB1D4"/>
    <w:rsid w:val="60AA7623"/>
    <w:rsid w:val="60AEBD3C"/>
    <w:rsid w:val="617A1F26"/>
    <w:rsid w:val="61F6C36C"/>
    <w:rsid w:val="620EC748"/>
    <w:rsid w:val="620EDBD7"/>
    <w:rsid w:val="631A3BE7"/>
    <w:rsid w:val="63B257F6"/>
    <w:rsid w:val="642C3789"/>
    <w:rsid w:val="643B13D4"/>
    <w:rsid w:val="6496755B"/>
    <w:rsid w:val="64AF0A68"/>
    <w:rsid w:val="64E9DBCC"/>
    <w:rsid w:val="6548FC30"/>
    <w:rsid w:val="65DFE128"/>
    <w:rsid w:val="65ECDE31"/>
    <w:rsid w:val="6655071C"/>
    <w:rsid w:val="66D138DD"/>
    <w:rsid w:val="66DDF771"/>
    <w:rsid w:val="67102BFD"/>
    <w:rsid w:val="6789688C"/>
    <w:rsid w:val="67A9F4D7"/>
    <w:rsid w:val="687336E4"/>
    <w:rsid w:val="6892B97E"/>
    <w:rsid w:val="691A2431"/>
    <w:rsid w:val="6929954B"/>
    <w:rsid w:val="694CC9CB"/>
    <w:rsid w:val="69EC1261"/>
    <w:rsid w:val="6B808610"/>
    <w:rsid w:val="6CAD1E99"/>
    <w:rsid w:val="6CB85730"/>
    <w:rsid w:val="6D6A61BC"/>
    <w:rsid w:val="6DB06513"/>
    <w:rsid w:val="6DF67B9D"/>
    <w:rsid w:val="6E3085A9"/>
    <w:rsid w:val="6E465297"/>
    <w:rsid w:val="6E4A86C4"/>
    <w:rsid w:val="6EDD75E8"/>
    <w:rsid w:val="6EDECA05"/>
    <w:rsid w:val="6F23279C"/>
    <w:rsid w:val="6F3CDE3F"/>
    <w:rsid w:val="6FEF8615"/>
    <w:rsid w:val="70379665"/>
    <w:rsid w:val="712D4BD3"/>
    <w:rsid w:val="717A7212"/>
    <w:rsid w:val="717FEBE5"/>
    <w:rsid w:val="71AC83A3"/>
    <w:rsid w:val="71CB25D5"/>
    <w:rsid w:val="727786DB"/>
    <w:rsid w:val="7278D20C"/>
    <w:rsid w:val="72EBBFF4"/>
    <w:rsid w:val="73C87CEA"/>
    <w:rsid w:val="74F9EE91"/>
    <w:rsid w:val="7572F626"/>
    <w:rsid w:val="75AEC77A"/>
    <w:rsid w:val="763345C6"/>
    <w:rsid w:val="765B1C8D"/>
    <w:rsid w:val="768B45A8"/>
    <w:rsid w:val="76BC809A"/>
    <w:rsid w:val="76D2BEC3"/>
    <w:rsid w:val="776A8DC7"/>
    <w:rsid w:val="7903CFCF"/>
    <w:rsid w:val="79A0D756"/>
    <w:rsid w:val="79FCDB0E"/>
    <w:rsid w:val="7A47F12F"/>
    <w:rsid w:val="7A9A86FF"/>
    <w:rsid w:val="7B47E6F9"/>
    <w:rsid w:val="7B792B84"/>
    <w:rsid w:val="7BA15DCF"/>
    <w:rsid w:val="7BB9FDC0"/>
    <w:rsid w:val="7BEF73CE"/>
    <w:rsid w:val="7C0B9835"/>
    <w:rsid w:val="7C640704"/>
    <w:rsid w:val="7CABF3B5"/>
    <w:rsid w:val="7CF0E600"/>
    <w:rsid w:val="7CF79C33"/>
    <w:rsid w:val="7D3BAD46"/>
    <w:rsid w:val="7D82A16D"/>
    <w:rsid w:val="7DC657B6"/>
    <w:rsid w:val="7E913E56"/>
    <w:rsid w:val="7E93A76F"/>
    <w:rsid w:val="7EC12367"/>
    <w:rsid w:val="7F897189"/>
    <w:rsid w:val="7FDE70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4580"/>
  <w15:chartTrackingRefBased/>
  <w15:docId w15:val="{0362D719-110F-462B-A17B-B7A761BB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before="100" w:after="200" w:line="276" w:lineRule="auto"/>
    </w:pPr>
    <w:rPr>
      <w:rFonts w:eastAsiaTheme="minorEastAsia"/>
      <w:sz w:val="20"/>
      <w:szCs w:val="20"/>
      <w:lang w:eastAsia="pl-PL"/>
    </w:rPr>
  </w:style>
  <w:style w:type="paragraph" w:styleId="Nagwek1">
    <w:name w:val="heading 1"/>
    <w:basedOn w:val="Normalny"/>
    <w:next w:val="Normalny"/>
    <w:link w:val="Nagwek1Znak"/>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aliases w:val="h Znak"/>
    <w:basedOn w:val="Domylnaczcionkaakapitu"/>
    <w:link w:val="Nagwek"/>
    <w:locked/>
  </w:style>
  <w:style w:type="paragraph" w:styleId="Nagwek">
    <w:name w:val="header"/>
    <w:aliases w:val="h"/>
    <w:basedOn w:val="Normalny"/>
    <w:link w:val="NagwekZnak"/>
    <w:unhideWhenUsed/>
    <w:pPr>
      <w:tabs>
        <w:tab w:val="center" w:pos="4536"/>
        <w:tab w:val="right" w:pos="9072"/>
      </w:tabs>
    </w:pPr>
    <w:rPr>
      <w:rFonts w:eastAsiaTheme="minorHAnsi"/>
      <w:sz w:val="22"/>
      <w:szCs w:val="22"/>
      <w:lang w:eastAsia="en-US"/>
    </w:rPr>
  </w:style>
  <w:style w:type="character" w:customStyle="1" w:styleId="NagwekZnak1">
    <w:name w:val="Nagłówek Znak1"/>
    <w:basedOn w:val="Domylnaczcionkaakapitu"/>
    <w:uiPriority w:val="99"/>
    <w:semiHidden/>
    <w:rPr>
      <w:rFonts w:eastAsiaTheme="minorEastAsia"/>
      <w:sz w:val="20"/>
      <w:szCs w:val="20"/>
      <w:lang w:eastAsia="pl-PL"/>
    </w:rPr>
  </w:style>
  <w:style w:type="paragraph" w:styleId="Akapitzlist">
    <w:name w:val="List Paragraph"/>
    <w:basedOn w:val="Normalny"/>
    <w:link w:val="AkapitzlistZnak"/>
    <w:uiPriority w:val="34"/>
    <w:qFormat/>
    <w:pPr>
      <w:ind w:left="720"/>
      <w:contextualSpacing/>
    </w:pPr>
  </w:style>
  <w:style w:type="character" w:customStyle="1" w:styleId="Teksttreci">
    <w:name w:val="Tekst treści_"/>
    <w:link w:val="Teksttreci0"/>
    <w:locked/>
    <w:rPr>
      <w:rFonts w:ascii="Arial" w:hAnsi="Arial" w:cs="Times New Roman"/>
      <w:sz w:val="19"/>
      <w:szCs w:val="19"/>
      <w:shd w:val="clear" w:color="auto" w:fill="FFFFFF"/>
    </w:rPr>
  </w:style>
  <w:style w:type="paragraph" w:customStyle="1" w:styleId="Teksttreci0">
    <w:name w:val="Tekst treści"/>
    <w:basedOn w:val="Normalny"/>
    <w:link w:val="Teksttreci"/>
    <w:pPr>
      <w:shd w:val="clear" w:color="auto" w:fill="FFFFFF"/>
      <w:spacing w:before="240" w:after="240" w:line="240" w:lineRule="atLeast"/>
      <w:ind w:hanging="1300"/>
    </w:pPr>
    <w:rPr>
      <w:rFonts w:ascii="Arial" w:eastAsiaTheme="minorHAnsi" w:hAnsi="Arial" w:cs="Times New Roman"/>
      <w:sz w:val="19"/>
      <w:szCs w:val="19"/>
      <w:lang w:eastAsia="en-US"/>
    </w:r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unhideWhenUsed/>
    <w:pPr>
      <w:spacing w:line="240" w:lineRule="auto"/>
    </w:pPr>
  </w:style>
  <w:style w:type="character" w:customStyle="1" w:styleId="TekstkomentarzaZnak">
    <w:name w:val="Tekst komentarza Znak"/>
    <w:basedOn w:val="Domylnaczcionkaakapitu"/>
    <w:link w:val="Tekstkomentarza"/>
    <w:uiPriority w:val="99"/>
    <w:rPr>
      <w:rFonts w:eastAsiaTheme="minorEastAsia"/>
      <w:sz w:val="20"/>
      <w:szCs w:val="20"/>
      <w:lang w:eastAsia="pl-PL"/>
    </w:rPr>
  </w:style>
  <w:style w:type="paragraph" w:styleId="Tematkomentarza">
    <w:name w:val="annotation subject"/>
    <w:basedOn w:val="Tekstkomentarza"/>
    <w:next w:val="Tekstkomentarza"/>
    <w:link w:val="TematkomentarzaZnak"/>
    <w:uiPriority w:val="99"/>
    <w:semiHidden/>
    <w:unhideWhenUsed/>
    <w:rPr>
      <w:b/>
      <w:bCs/>
    </w:rPr>
  </w:style>
  <w:style w:type="character" w:customStyle="1" w:styleId="TematkomentarzaZnak">
    <w:name w:val="Temat komentarza Znak"/>
    <w:basedOn w:val="TekstkomentarzaZnak"/>
    <w:link w:val="Tematkomentarza"/>
    <w:uiPriority w:val="99"/>
    <w:semiHidden/>
    <w:rPr>
      <w:rFonts w:eastAsiaTheme="minorEastAsia"/>
      <w:b/>
      <w:bCs/>
      <w:sz w:val="20"/>
      <w:szCs w:val="20"/>
      <w:lang w:eastAsia="pl-PL"/>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2F5496" w:themeColor="accent1" w:themeShade="BF"/>
      <w:sz w:val="32"/>
      <w:szCs w:val="32"/>
      <w:lang w:eastAsia="pl-PL"/>
    </w:rPr>
  </w:style>
  <w:style w:type="paragraph" w:styleId="Nagwekspisutreci">
    <w:name w:val="TOC Heading"/>
    <w:basedOn w:val="Nagwek1"/>
    <w:next w:val="Normalny"/>
    <w:uiPriority w:val="39"/>
    <w:unhideWhenUsed/>
    <w:qFormat/>
    <w:pPr>
      <w:spacing w:line="259" w:lineRule="auto"/>
      <w:outlineLvl w:val="9"/>
    </w:pPr>
  </w:style>
  <w:style w:type="paragraph" w:styleId="Spistreci2">
    <w:name w:val="toc 2"/>
    <w:basedOn w:val="Normalny"/>
    <w:next w:val="Normalny"/>
    <w:autoRedefine/>
    <w:uiPriority w:val="39"/>
    <w:unhideWhenUsed/>
    <w:pPr>
      <w:spacing w:before="240" w:after="0"/>
    </w:pPr>
    <w:rPr>
      <w:rFonts w:cstheme="minorHAnsi"/>
      <w:b/>
      <w:bCs/>
    </w:rPr>
  </w:style>
  <w:style w:type="paragraph" w:styleId="Spistreci1">
    <w:name w:val="toc 1"/>
    <w:basedOn w:val="Normalny"/>
    <w:next w:val="Normalny"/>
    <w:autoRedefine/>
    <w:uiPriority w:val="39"/>
    <w:unhideWhenUsed/>
    <w:pPr>
      <w:spacing w:before="360" w:after="0"/>
    </w:pPr>
    <w:rPr>
      <w:rFonts w:asciiTheme="majorHAnsi" w:hAnsiTheme="majorHAnsi" w:cstheme="majorHAnsi"/>
      <w:b/>
      <w:bCs/>
      <w:caps/>
      <w:sz w:val="24"/>
      <w:szCs w:val="24"/>
    </w:rPr>
  </w:style>
  <w:style w:type="paragraph" w:styleId="Spistreci3">
    <w:name w:val="toc 3"/>
    <w:basedOn w:val="Normalny"/>
    <w:next w:val="Normalny"/>
    <w:autoRedefine/>
    <w:uiPriority w:val="39"/>
    <w:unhideWhenUsed/>
    <w:pPr>
      <w:spacing w:before="0" w:after="0"/>
      <w:ind w:left="200"/>
    </w:pPr>
    <w:rPr>
      <w:rFonts w:cstheme="minorHAnsi"/>
    </w:rPr>
  </w:style>
  <w:style w:type="paragraph" w:styleId="Spistreci4">
    <w:name w:val="toc 4"/>
    <w:basedOn w:val="Normalny"/>
    <w:next w:val="Normalny"/>
    <w:autoRedefine/>
    <w:uiPriority w:val="39"/>
    <w:unhideWhenUsed/>
    <w:pPr>
      <w:spacing w:before="0" w:after="0"/>
      <w:ind w:left="400"/>
    </w:pPr>
    <w:rPr>
      <w:rFonts w:cstheme="minorHAnsi"/>
    </w:rPr>
  </w:style>
  <w:style w:type="paragraph" w:styleId="Spistreci5">
    <w:name w:val="toc 5"/>
    <w:basedOn w:val="Normalny"/>
    <w:next w:val="Normalny"/>
    <w:autoRedefine/>
    <w:uiPriority w:val="39"/>
    <w:unhideWhenUsed/>
    <w:pPr>
      <w:spacing w:before="0" w:after="0"/>
      <w:ind w:left="600"/>
    </w:pPr>
    <w:rPr>
      <w:rFonts w:cstheme="minorHAnsi"/>
    </w:rPr>
  </w:style>
  <w:style w:type="paragraph" w:styleId="Spistreci6">
    <w:name w:val="toc 6"/>
    <w:basedOn w:val="Normalny"/>
    <w:next w:val="Normalny"/>
    <w:autoRedefine/>
    <w:uiPriority w:val="39"/>
    <w:unhideWhenUsed/>
    <w:pPr>
      <w:spacing w:before="0" w:after="0"/>
      <w:ind w:left="800"/>
    </w:pPr>
    <w:rPr>
      <w:rFonts w:cstheme="minorHAnsi"/>
    </w:rPr>
  </w:style>
  <w:style w:type="paragraph" w:styleId="Spistreci7">
    <w:name w:val="toc 7"/>
    <w:basedOn w:val="Normalny"/>
    <w:next w:val="Normalny"/>
    <w:autoRedefine/>
    <w:uiPriority w:val="39"/>
    <w:unhideWhenUsed/>
    <w:pPr>
      <w:spacing w:before="0" w:after="0"/>
      <w:ind w:left="1000"/>
    </w:pPr>
    <w:rPr>
      <w:rFonts w:cstheme="minorHAnsi"/>
    </w:rPr>
  </w:style>
  <w:style w:type="paragraph" w:styleId="Spistreci8">
    <w:name w:val="toc 8"/>
    <w:basedOn w:val="Normalny"/>
    <w:next w:val="Normalny"/>
    <w:autoRedefine/>
    <w:uiPriority w:val="39"/>
    <w:unhideWhenUsed/>
    <w:pPr>
      <w:spacing w:before="0" w:after="0"/>
      <w:ind w:left="1200"/>
    </w:pPr>
    <w:rPr>
      <w:rFonts w:cstheme="minorHAnsi"/>
    </w:rPr>
  </w:style>
  <w:style w:type="paragraph" w:styleId="Spistreci9">
    <w:name w:val="toc 9"/>
    <w:basedOn w:val="Normalny"/>
    <w:next w:val="Normalny"/>
    <w:autoRedefine/>
    <w:uiPriority w:val="39"/>
    <w:unhideWhenUsed/>
    <w:pPr>
      <w:spacing w:before="0" w:after="0"/>
      <w:ind w:left="1400"/>
    </w:pPr>
    <w:rPr>
      <w:rFonts w:cstheme="minorHAnsi"/>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omylnaczcionkaakapitu"/>
  </w:style>
  <w:style w:type="character" w:styleId="Hipercze">
    <w:name w:val="Hyperlink"/>
    <w:basedOn w:val="Domylnaczcionkaakapitu"/>
    <w:uiPriority w:val="99"/>
    <w:unhideWhenUsed/>
    <w:rPr>
      <w:color w:val="0563C1" w:themeColor="hyperlink"/>
      <w:u w:val="single"/>
    </w:rPr>
  </w:style>
  <w:style w:type="character" w:styleId="Nierozpoznanawzmianka">
    <w:name w:val="Unresolved Mention"/>
    <w:basedOn w:val="Domylnaczcionkaakapitu"/>
    <w:uiPriority w:val="99"/>
    <w:semiHidden/>
    <w:unhideWhenUsed/>
    <w:rPr>
      <w:color w:val="605E5C"/>
      <w:shd w:val="clear" w:color="auto" w:fill="E1DFDD"/>
    </w:rPr>
  </w:style>
  <w:style w:type="paragraph" w:styleId="Poprawka">
    <w:name w:val="Revision"/>
    <w:hidden/>
    <w:uiPriority w:val="99"/>
    <w:semiHidden/>
    <w:pPr>
      <w:spacing w:after="0" w:line="240" w:lineRule="auto"/>
    </w:pPr>
    <w:rPr>
      <w:rFonts w:eastAsiaTheme="minorEastAsia"/>
      <w:sz w:val="20"/>
      <w:szCs w:val="20"/>
      <w:lang w:eastAsia="pl-PL"/>
    </w:rPr>
  </w:style>
  <w:style w:type="paragraph" w:styleId="Bezodstpw">
    <w:name w:val="No Spacing"/>
    <w:uiPriority w:val="1"/>
    <w:qFormat/>
    <w:pPr>
      <w:spacing w:after="0" w:line="240" w:lineRule="auto"/>
    </w:pPr>
  </w:style>
  <w:style w:type="character" w:customStyle="1" w:styleId="TekstprzypisudolnegoZnak">
    <w:name w:val="Tekst przypisu dolnego Znak"/>
    <w:basedOn w:val="Domylnaczcionkaakapitu"/>
    <w:link w:val="Tekstprzypisudolnego"/>
    <w:uiPriority w:val="99"/>
    <w:qFormat/>
    <w:rPr>
      <w:rFonts w:ascii="Book Antiqua" w:hAnsi="Book Antiqua"/>
    </w:rPr>
  </w:style>
  <w:style w:type="paragraph" w:styleId="Tekstprzypisudolnego">
    <w:name w:val="footnote text"/>
    <w:basedOn w:val="Normalny"/>
    <w:link w:val="TekstprzypisudolnegoZnak"/>
    <w:uiPriority w:val="99"/>
    <w:unhideWhenUsed/>
    <w:pPr>
      <w:spacing w:before="0" w:after="0" w:line="240" w:lineRule="auto"/>
    </w:pPr>
    <w:rPr>
      <w:rFonts w:ascii="Book Antiqua" w:eastAsiaTheme="minorHAnsi" w:hAnsi="Book Antiqua"/>
      <w:sz w:val="22"/>
      <w:szCs w:val="22"/>
      <w:lang w:eastAsia="en-US"/>
    </w:rPr>
  </w:style>
  <w:style w:type="character" w:customStyle="1" w:styleId="TekstprzypisudolnegoZnak1">
    <w:name w:val="Tekst przypisu dolnego Znak1"/>
    <w:basedOn w:val="Domylnaczcionkaakapitu"/>
    <w:uiPriority w:val="99"/>
    <w:semiHidden/>
    <w:rPr>
      <w:rFonts w:eastAsiaTheme="minorEastAsia"/>
      <w:sz w:val="20"/>
      <w:szCs w:val="20"/>
      <w:lang w:eastAsia="pl-PL"/>
    </w:rPr>
  </w:style>
  <w:style w:type="paragraph" w:styleId="NormalnyWeb">
    <w:name w:val="Normal (Web)"/>
    <w:basedOn w:val="Normalny"/>
    <w:uiPriority w:val="99"/>
    <w:unhideWhenUsed/>
    <w:qFormat/>
    <w:pPr>
      <w:spacing w:before="0" w:beforeAutospacing="1" w:after="0" w:afterAutospacing="1" w:line="240" w:lineRule="auto"/>
    </w:pPr>
    <w:rPr>
      <w:rFonts w:ascii="Times New Roman" w:eastAsia="Times New Roman" w:hAnsi="Times New Roman" w:cs="Times New Roman"/>
      <w:sz w:val="24"/>
      <w:szCs w:val="24"/>
    </w:rPr>
  </w:style>
  <w:style w:type="character" w:styleId="Odwoanieprzypisudolnego">
    <w:name w:val="footnote reference"/>
    <w:basedOn w:val="Domylnaczcionkaakapitu"/>
    <w:uiPriority w:val="99"/>
    <w:rPr>
      <w:vertAlign w:val="superscript"/>
    </w:rPr>
  </w:style>
  <w:style w:type="paragraph" w:styleId="Stopka">
    <w:name w:val="footer"/>
    <w:basedOn w:val="Normalny"/>
    <w:link w:val="StopkaZnak"/>
    <w:uiPriority w:val="99"/>
    <w:unhideWhenUsed/>
    <w:pPr>
      <w:tabs>
        <w:tab w:val="center" w:pos="4536"/>
        <w:tab w:val="right" w:pos="9072"/>
      </w:tabs>
      <w:spacing w:before="0" w:after="0" w:line="240" w:lineRule="auto"/>
    </w:pPr>
  </w:style>
  <w:style w:type="character" w:customStyle="1" w:styleId="StopkaZnak">
    <w:name w:val="Stopka Znak"/>
    <w:basedOn w:val="Domylnaczcionkaakapitu"/>
    <w:link w:val="Stopka"/>
    <w:uiPriority w:val="99"/>
    <w:rPr>
      <w:rFonts w:eastAsiaTheme="minorEastAsia"/>
      <w:sz w:val="20"/>
      <w:szCs w:val="20"/>
      <w:lang w:eastAsia="pl-PL"/>
    </w:rPr>
  </w:style>
  <w:style w:type="character" w:customStyle="1" w:styleId="AkapitzlistZnak">
    <w:name w:val="Akapit z listą Znak"/>
    <w:link w:val="Akapitzlist"/>
    <w:uiPriority w:val="34"/>
    <w:qFormat/>
    <w:locked/>
    <w:rPr>
      <w:rFonts w:eastAsiaTheme="minorEastAsia"/>
      <w:sz w:val="20"/>
      <w:szCs w:val="20"/>
      <w:lang w:eastAsia="pl-PL"/>
    </w:rPr>
  </w:style>
  <w:style w:type="paragraph" w:customStyle="1" w:styleId="ZLITUSTzmustliter">
    <w:name w:val="Z_LIT/UST(§) – zm. ust. (§) literą"/>
    <w:basedOn w:val="Normalny"/>
    <w:uiPriority w:val="46"/>
    <w:qFormat/>
    <w:pPr>
      <w:suppressAutoHyphens/>
      <w:autoSpaceDE w:val="0"/>
      <w:autoSpaceDN w:val="0"/>
      <w:adjustRightInd w:val="0"/>
      <w:spacing w:before="0" w:after="0" w:line="360" w:lineRule="auto"/>
      <w:ind w:left="987" w:firstLine="510"/>
      <w:jc w:val="both"/>
    </w:pPr>
    <w:rPr>
      <w:rFonts w:ascii="Times" w:hAnsi="Times" w:cs="Arial"/>
      <w:bCs/>
      <w:sz w:val="24"/>
    </w:rPr>
  </w:style>
  <w:style w:type="paragraph" w:customStyle="1" w:styleId="ZLITPKTzmpktliter">
    <w:name w:val="Z_LIT/PKT – zm. pkt literą"/>
    <w:basedOn w:val="Normalny"/>
    <w:uiPriority w:val="47"/>
    <w:qFormat/>
    <w:pPr>
      <w:spacing w:before="0" w:after="0" w:line="360" w:lineRule="auto"/>
      <w:ind w:left="1497" w:hanging="510"/>
      <w:jc w:val="both"/>
    </w:pPr>
    <w:rPr>
      <w:rFonts w:ascii="Times" w:hAnsi="Times" w:cs="Arial"/>
      <w:bCs/>
      <w:sz w:val="24"/>
    </w:rPr>
  </w:style>
  <w:style w:type="character" w:styleId="Wzmianka">
    <w:name w:val="Mention"/>
    <w:basedOn w:val="Domylnaczcionkaakapitu"/>
    <w:uiPriority w:val="99"/>
    <w:unhideWhenUsed/>
    <w:rsid w:val="0009338B"/>
    <w:rPr>
      <w:color w:val="2B579A"/>
      <w:shd w:val="clear" w:color="auto" w:fill="E1DFDD"/>
    </w:rPr>
  </w:style>
  <w:style w:type="character" w:customStyle="1" w:styleId="normaltextrun">
    <w:name w:val="normaltextrun"/>
    <w:basedOn w:val="Domylnaczcionkaakapitu"/>
    <w:rsid w:val="00B85E97"/>
  </w:style>
  <w:style w:type="paragraph" w:customStyle="1" w:styleId="PKTpunkt">
    <w:name w:val="PKT – punkt"/>
    <w:uiPriority w:val="99"/>
    <w:qFormat/>
    <w:rsid w:val="00FC6580"/>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6D4DCA"/>
    <w:rPr>
      <w:b/>
    </w:rPr>
  </w:style>
  <w:style w:type="paragraph" w:customStyle="1" w:styleId="ARTartustawynprozporzdzenia">
    <w:name w:val="ART(§) – art. ustawy (§ np. rozporządzenia)"/>
    <w:uiPriority w:val="99"/>
    <w:qFormat/>
    <w:rsid w:val="00484CF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styleId="UyteHipercze">
    <w:name w:val="FollowedHyperlink"/>
    <w:basedOn w:val="Domylnaczcionkaakapitu"/>
    <w:uiPriority w:val="99"/>
    <w:semiHidden/>
    <w:unhideWhenUsed/>
    <w:rsid w:val="009F20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43704BC500D33499CF7A8D84B855585" ma:contentTypeVersion="6" ma:contentTypeDescription="Utwórz nowy dokument." ma:contentTypeScope="" ma:versionID="edf4fda46bfa3916041f2bc5699d87a3">
  <xsd:schema xmlns:xsd="http://www.w3.org/2001/XMLSchema" xmlns:xs="http://www.w3.org/2001/XMLSchema" xmlns:p="http://schemas.microsoft.com/office/2006/metadata/properties" xmlns:ns2="dae98073-3a37-49e3-82c0-ba05dd56c598" xmlns:ns3="f651fe72-64ac-4af0-b802-1c66a6b13aaf" targetNamespace="http://schemas.microsoft.com/office/2006/metadata/properties" ma:root="true" ma:fieldsID="0ce30f84bb5fc1d1fd1563c1d7d7ed43" ns2:_="" ns3:_="">
    <xsd:import namespace="dae98073-3a37-49e3-82c0-ba05dd56c598"/>
    <xsd:import namespace="f651fe72-64ac-4af0-b802-1c66a6b13a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98073-3a37-49e3-82c0-ba05dd56c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1fe72-64ac-4af0-b802-1c66a6b13aaf"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E1612-2614-4828-B907-8B1017E663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22B52F-2D24-4C5E-A860-38E1F1C657A8}">
  <ds:schemaRefs>
    <ds:schemaRef ds:uri="http://schemas.microsoft.com/sharepoint/v3/contenttype/forms"/>
  </ds:schemaRefs>
</ds:datastoreItem>
</file>

<file path=customXml/itemProps3.xml><?xml version="1.0" encoding="utf-8"?>
<ds:datastoreItem xmlns:ds="http://schemas.openxmlformats.org/officeDocument/2006/customXml" ds:itemID="{F4F09736-22A6-4B75-8588-8266A2EEC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98073-3a37-49e3-82c0-ba05dd56c598"/>
    <ds:schemaRef ds:uri="f651fe72-64ac-4af0-b802-1c66a6b13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2563</Words>
  <Characters>15380</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Choszczyk Łukasz</dc:creator>
  <cp:keywords/>
  <dc:description/>
  <cp:lastModifiedBy>Markowska Anna</cp:lastModifiedBy>
  <cp:revision>19</cp:revision>
  <dcterms:created xsi:type="dcterms:W3CDTF">2026-08-19T09:22:00Z</dcterms:created>
  <dcterms:modified xsi:type="dcterms:W3CDTF">2026-09-23T08:50:00Z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0x010100043704BC500D33499CF7A8D84B855585</vt:lpwstr>
  </property>
</Properties>
</file>