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E42" w:rsidRDefault="001B4C6E" w:rsidP="00DF4B4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</w:pPr>
      <w:bookmarkStart w:id="0" w:name="_GoBack"/>
      <w:bookmarkEnd w:id="0"/>
      <w:r w:rsidRPr="00153E42"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  <w:t>OGŁOSZENIE WOJEWODY ŁÓDZKIEGO</w:t>
      </w:r>
    </w:p>
    <w:p w:rsidR="001B4C6E" w:rsidRPr="00153E42" w:rsidRDefault="00AD36BC" w:rsidP="00DF4B4C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  <w:t xml:space="preserve">z dnia 19 </w:t>
      </w:r>
      <w:r w:rsidR="00F41D09"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  <w:t>czerwca 2023</w:t>
      </w:r>
      <w:r w:rsidR="001B4C6E" w:rsidRPr="00153E42">
        <w:rPr>
          <w:rFonts w:ascii="Times New Roman" w:eastAsia="Times New Roman" w:hAnsi="Times New Roman" w:cs="Times New Roman"/>
          <w:b/>
          <w:bCs/>
          <w:color w:val="1B1B1B"/>
          <w:sz w:val="39"/>
          <w:szCs w:val="39"/>
          <w:lang w:eastAsia="pl-PL"/>
        </w:rPr>
        <w:t xml:space="preserve"> r.</w:t>
      </w:r>
    </w:p>
    <w:p w:rsidR="00153E42" w:rsidRDefault="001B4C6E" w:rsidP="003E72D4">
      <w:pPr>
        <w:shd w:val="clear" w:color="auto" w:fill="FFFFFF"/>
        <w:spacing w:after="0" w:line="360" w:lineRule="auto"/>
        <w:ind w:left="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 xml:space="preserve">Na podstawie </w:t>
      </w:r>
      <w:r w:rsidR="006C7C12"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21 ust. 3 w związku z </w:t>
      </w:r>
      <w:r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F41D09"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>42 d</w:t>
      </w:r>
      <w:r w:rsidR="00324BBE"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D09"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>ust. 5</w:t>
      </w:r>
      <w:r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ustawy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dnia 23 października 2018 r</w:t>
      </w:r>
      <w:r w:rsidRPr="00153E42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.</w:t>
      </w:r>
      <w:r w:rsid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="00E6329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      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(Dz.U. z 202</w:t>
      </w:r>
      <w:r w:rsidR="00F41D0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3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 </w:t>
      </w:r>
      <w:r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F41D09" w:rsidRPr="00E632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747 </w:t>
      </w:r>
      <w:r w:rsidR="00F41D0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</w:t>
      </w:r>
      <w:r w:rsidR="00DE6D6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późn.</w:t>
      </w:r>
      <w:r w:rsidR="00F41D0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zm</w:t>
      </w:r>
      <w:r w:rsidR="007E2B3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</w:t>
      </w:r>
      <w:r w:rsid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</w:t>
      </w:r>
    </w:p>
    <w:p w:rsidR="001B4C6E" w:rsidRPr="00153E42" w:rsidRDefault="001B4C6E" w:rsidP="00754D7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ogłaszam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  <w:t>nabór wniosków o dofinansowanie zadań jednorocznych na rok 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202</w:t>
      </w:r>
      <w:r w:rsidR="00F41D0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4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i wieloletnich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br/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 Rządowego Funduszu Rozwoju Dróg</w:t>
      </w:r>
    </w:p>
    <w:p w:rsidR="001B4C6E" w:rsidRPr="00153E42" w:rsidRDefault="001B4C6E" w:rsidP="00153E42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:rsidR="001B4C6E" w:rsidRPr="00153E42" w:rsidRDefault="00FC5569" w:rsidP="003E72D4">
      <w:pPr>
        <w:shd w:val="clear" w:color="auto" w:fill="FFFFFF"/>
        <w:spacing w:after="0" w:line="360" w:lineRule="auto"/>
        <w:ind w:left="68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ysokość środków przeznaczonych na dofinansowanie zadań po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wiatowych oraz zadań gminnych w 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ramach naboru </w:t>
      </w:r>
      <w:r w:rsidR="00147D0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206 448 256,30 </w:t>
      </w:r>
      <w:r w:rsidR="00976B75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zł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w tym na:</w:t>
      </w:r>
    </w:p>
    <w:p w:rsidR="001B4C6E" w:rsidRPr="00153E42" w:rsidRDefault="005A6546" w:rsidP="005A654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Zadania powiatowe- </w:t>
      </w:r>
      <w:r w:rsidR="0018093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80 000 000,00</w:t>
      </w:r>
      <w:r w:rsidR="001B4C6E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zł</w:t>
      </w:r>
    </w:p>
    <w:p w:rsidR="001B4C6E" w:rsidRPr="00153E42" w:rsidRDefault="005A6546" w:rsidP="005A654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18093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Zadania gminne- </w:t>
      </w:r>
      <w:r w:rsidR="00180939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126 448 256,30</w:t>
      </w:r>
      <w:r w:rsidR="001B4C6E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zł</w:t>
      </w:r>
    </w:p>
    <w:p w:rsidR="001B4C6E" w:rsidRPr="00153E42" w:rsidRDefault="001B4C6E" w:rsidP="0007719C">
      <w:pPr>
        <w:shd w:val="clear" w:color="auto" w:fill="FFFFFF"/>
        <w:spacing w:after="24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Limit zobowiązań wieloletnich na rok:</w:t>
      </w:r>
    </w:p>
    <w:p w:rsidR="001B4C6E" w:rsidRPr="00153E42" w:rsidRDefault="005A6546" w:rsidP="005A654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202</w:t>
      </w:r>
      <w:r w:rsidR="00F41D0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5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r.- </w:t>
      </w:r>
      <w:r w:rsid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56 270 852,32</w:t>
      </w:r>
      <w:r w:rsidR="001B4C6E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zł,</w:t>
      </w:r>
    </w:p>
    <w:p w:rsidR="001B4C6E" w:rsidRPr="00153E42" w:rsidRDefault="005A6546" w:rsidP="005A654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- 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202</w:t>
      </w:r>
      <w:r w:rsidR="00F41D0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</w:t>
      </w:r>
      <w:r w:rsidR="001B4C6E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07719C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</w:t>
      </w:r>
      <w:r w:rsid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 i lata następne –</w:t>
      </w:r>
      <w:r w:rsidR="0007719C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58 661 577,92</w:t>
      </w:r>
      <w:r w:rsidR="0007719C"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zł,</w:t>
      </w:r>
    </w:p>
    <w:p w:rsidR="001B4C6E" w:rsidRPr="00153E42" w:rsidRDefault="001B4C6E" w:rsidP="003E72D4">
      <w:pPr>
        <w:shd w:val="clear" w:color="auto" w:fill="FFFFFF"/>
        <w:spacing w:after="0" w:line="240" w:lineRule="auto"/>
        <w:ind w:left="855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ramach ogłaszanego naboru dofinansowanie może zostać udz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ielone na zadania polegające na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budowie, przebudowie lub remoncie dróg powiatowych, zwane dalej „zadaniami powiatowymi” lub budowie, przebudowie bądź remoncie dróg gminnych, zwane dalej „zadaniami gminnymi”.</w:t>
      </w:r>
    </w:p>
    <w:p w:rsidR="00903CD6" w:rsidRPr="00FC5569" w:rsidRDefault="001B4C6E" w:rsidP="00FC556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</w:pPr>
      <w:r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Zadania, o których mowa w ust. 1 obejmują również przebud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owę dróg wewnętrznych, które są </w:t>
      </w:r>
      <w:r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następnie zaliczane do odpowiedniej kategorii dróg publicznych w trybie określonym przepisami ustawy z dnia 21 marca 1985 r. o drogach publicznych (Dz.U. 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 </w:t>
      </w:r>
      <w:r w:rsidR="00F41D09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2023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 poz. </w:t>
      </w:r>
      <w:r w:rsidR="00F41D09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645</w:t>
      </w:r>
      <w:r w:rsidR="00DF4B4C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 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późn.zm</w:t>
      </w:r>
      <w:r w:rsidR="007E2B37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). W przypadku gdy przedmiotem zadania, na które przekazano dofinansowanie, jest </w:t>
      </w:r>
      <w:r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droga, która ma zostać zaliczona do kategorii dróg publicznych, właściwy organ jednostki samorządu terytorialnego jest obowiązany podjąć uchwałę w </w:t>
      </w:r>
      <w:r w:rsidR="00A5258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sprawie zaliczenia tej drogi do </w:t>
      </w:r>
      <w:r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odpowiedniej kategorii w trybie określonym przepisami u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stawy z dnia 21 marca 1985 r. o </w:t>
      </w:r>
      <w:r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drogach publicznych, w terminie 12 miesięcy od dnia zatwierdzenia rozliczenia dofinansowania zadania zgodnie z art. 29 ust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. 2 </w:t>
      </w:r>
      <w:r w:rsidR="00302DE1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ustawy z dnia 23 października 2018 r. (Dz.U. z</w:t>
      </w:r>
      <w:r w:rsidR="00DF4B4C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302DE1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2023 r. poz. 747 z</w:t>
      </w:r>
      <w:r w:rsidR="00EB15F0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późn.</w:t>
      </w:r>
      <w:r w:rsidR="00302DE1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zm</w:t>
      </w:r>
      <w:r w:rsidR="007E2B37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  <w:r w:rsidR="00302DE1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).</w:t>
      </w:r>
      <w:r w:rsidR="00302DE1"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J</w:t>
      </w:r>
      <w:r w:rsidRPr="00302DE1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ednostka samorządu terytorialnego niezwłocznie przekazuje uchwałę w sprawie zaliczenia wojewodzie.</w:t>
      </w:r>
      <w:r w:rsidR="005A654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903CD6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 xml:space="preserve"> Zadania remontowe nie mogą być realizowane </w:t>
      </w:r>
      <w:r w:rsidR="00903CD6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lastRenderedPageBreak/>
        <w:t xml:space="preserve">na drodze </w:t>
      </w:r>
      <w:r w:rsidR="00383F2C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wewnętrznej, w dniu</w:t>
      </w:r>
      <w:r w:rsidR="00A17093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 xml:space="preserve"> </w:t>
      </w:r>
      <w:r w:rsidR="00383F2C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złożenia</w:t>
      </w:r>
      <w:r w:rsidR="00903CD6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 xml:space="preserve"> wniosku</w:t>
      </w:r>
      <w:r w:rsidR="00383F2C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, droga musi posiadać status drogi publicznej</w:t>
      </w:r>
      <w:r w:rsidR="00903CD6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Przez zadanie:</w:t>
      </w:r>
    </w:p>
    <w:p w:rsidR="001B4C6E" w:rsidRPr="00153E42" w:rsidRDefault="001B4C6E" w:rsidP="0007719C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F230A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jednoroczne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– rozumie się zadanie, którego przewidywany czas realizacji jest </w:t>
      </w:r>
      <w:r w:rsidR="00302DE1"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dłuższy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niż 12 miesięcy od dnia zawarcia umowy z wykonawcą robót,</w:t>
      </w:r>
    </w:p>
    <w:p w:rsidR="001B4C6E" w:rsidRPr="008F230A" w:rsidRDefault="001B4C6E" w:rsidP="0007719C">
      <w:pPr>
        <w:numPr>
          <w:ilvl w:val="1"/>
          <w:numId w:val="4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F230A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 xml:space="preserve">wieloletnie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– rozumie się zadanie, którego przewidywany czas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realizacji jest dłuższy niż 12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miesięcy od dnia z</w:t>
      </w:r>
      <w:r w:rsidR="008F230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awarcia umowy z wykonawcą robót</w:t>
      </w:r>
      <w:r w:rsidR="008F230A" w:rsidRPr="008F230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*</w:t>
      </w:r>
    </w:p>
    <w:p w:rsidR="008F230A" w:rsidRPr="00153E42" w:rsidRDefault="008F230A" w:rsidP="008F230A">
      <w:p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8F230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zadanie musi być rozpoczęte i częściowo sfinansowane ze środków z RFRD w 2024 r.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ramach realizacji zadań mogą być dofinansowane zadania polegające na budowie, przebudowie lub remoncie skrzyżowań z innymi drogami publicznymi.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Dofinansowanie realizacji zadań nie obejmuje kosztów nabywania nieruchomości pod pasy drogowe.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 ramach naboru nie można ubiegać się </w:t>
      </w:r>
      <w:r w:rsidR="00302DE1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o dofinansowanie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realizację zadań na drogach publicznych zarządzanych przez prezydenta miasta na prawach powiatu będącego siedzibą wojewody lub sejmiku województwa.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Jednostka samorządu terytorialnego może otrzymać dofinansowanie na zadania powiatowe lub zadania gminne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 wysokości do 80%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kosztów kwalifikowalnych realizacji tego zadania.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Wysokość dofinansowania ustala się, biorąc pod uwagę dochody podatkowe gmin i powiatów, o których mowa w art. 20 ust. 3 i art. 22 ust. 3 ustawy z dnia 13 listopada 2003 r. o dochodach jednostek samorządu terytorialnego 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(Dz.U. z </w:t>
      </w:r>
      <w:r w:rsidR="00302DE1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2022</w:t>
      </w:r>
      <w:r w:rsidR="00B1141F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r. poz.</w:t>
      </w:r>
      <w:r w:rsidR="00302DE1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2267</w:t>
      </w: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),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ustalone z uwzględnieniem art. 32 ust. 1 i 3 tej ustawy, pomniejszone o wpłaty danej jednos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tki samorządu terytorialnego, o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których mowa odpowiednio w art. 29 i art. 30 tej ustawy i powiększone o przysługujące danej jednostce samorządu terytorialnego część wyrównawczą i część równoważącą subwencji ogólnej, przeliczone na mieszkańca tej jednostki, w stosunku do sumy dochodów podatkowych jednostek samorządu terytorialnego danego rodzaju w skali kraju, pomniejszonych o sumę wpłat jednostek samorządu terytorialnego danego rodzaju, o których mowa w art. 29 i art. 30 tej ustawy, i powiększonych o sumę przysługujących im części wyrównawczych i równoważących subwencji ogólnej, przeliczonych na mieszkańca jednostek samorządu terytorialnego danego rodzaju.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Podstawę do wyliczenia dochodów stanowią:</w:t>
      </w:r>
    </w:p>
    <w:p w:rsidR="001B4C6E" w:rsidRPr="00153E42" w:rsidRDefault="001B4C6E" w:rsidP="0007719C">
      <w:pPr>
        <w:numPr>
          <w:ilvl w:val="0"/>
          <w:numId w:val="42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dochody podatkowe, ustalone za rok poprzedzający rok bazowy, a także część wyrównawcza i część równoważąca subwencji ogólnej oraz wpłaty do budżetu państwa ustalone na rok bazowy;</w:t>
      </w:r>
    </w:p>
    <w:p w:rsidR="001B4C6E" w:rsidRPr="00153E42" w:rsidRDefault="001B4C6E" w:rsidP="0007719C">
      <w:pPr>
        <w:numPr>
          <w:ilvl w:val="0"/>
          <w:numId w:val="42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liczba mieszkańców zamieszkałych na obszarze danej jedno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stki samorządu terytorialnego i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obszarze kraju, według stanu na dzień 31 grudnia roku poprzedzającego rok bazowy, ustalona przez Prezesa Głównego Urzędu Statystycznego do dnia 31 maja roku bazowego.</w:t>
      </w:r>
    </w:p>
    <w:p w:rsidR="001B4C6E" w:rsidRPr="00153E42" w:rsidRDefault="001B4C6E" w:rsidP="003E72D4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Wojewoda przeprowadza nabór przy pomocy komisji, która dokonuje oceny wniosków o dofinansowanie zadań powiatowych oraz zadań gminnych, zwanej dalej „komisją”.</w:t>
      </w:r>
    </w:p>
    <w:p w:rsidR="001B4C6E" w:rsidRPr="00153E42" w:rsidRDefault="001B4C6E" w:rsidP="0007719C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Wniosek o dofinansowanie zadania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 powiatowego albo zadania gminnego </w:t>
      </w:r>
      <w:r w:rsidRPr="00C37FF5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składa właściwy</w:t>
      </w:r>
      <w:r w:rsidRPr="00C37FF5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 xml:space="preserve"> </w:t>
      </w:r>
      <w:r w:rsidRPr="00C37FF5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zarządca drogi powiatowej albo drogi gminnej</w:t>
      </w:r>
      <w:r w:rsidR="00C37FF5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 xml:space="preserve"> </w:t>
      </w:r>
      <w:r w:rsidR="00C37FF5" w:rsidRPr="00C37FF5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*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 zgodnie ze wzorem stanowiącym załącznik do ogłoszenia o naborze:</w:t>
      </w:r>
    </w:p>
    <w:p w:rsidR="001B4C6E" w:rsidRPr="00153E42" w:rsidRDefault="001B4C6E" w:rsidP="0007719C">
      <w:pPr>
        <w:numPr>
          <w:ilvl w:val="1"/>
          <w:numId w:val="41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R;</w:t>
      </w:r>
    </w:p>
    <w:p w:rsidR="001B4C6E" w:rsidRPr="00153E42" w:rsidRDefault="001B4C6E" w:rsidP="0007719C">
      <w:pPr>
        <w:numPr>
          <w:ilvl w:val="1"/>
          <w:numId w:val="41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BPR jednoroczne;</w:t>
      </w:r>
    </w:p>
    <w:p w:rsidR="001B4C6E" w:rsidRPr="00153E42" w:rsidRDefault="001B4C6E" w:rsidP="0007719C">
      <w:pPr>
        <w:numPr>
          <w:ilvl w:val="1"/>
          <w:numId w:val="41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BPR wieloletnie.</w:t>
      </w:r>
    </w:p>
    <w:p w:rsidR="001B4C6E" w:rsidRPr="00153E42" w:rsidRDefault="00C37FF5" w:rsidP="0007719C">
      <w:p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C37FF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*</w:t>
      </w:r>
      <w:r w:rsidRPr="0026111F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W przypadku złożenia wniosku przez gminę na drogę powiatową ( lub odwrotnie) należy złożyć podpisane porozumienie w sprawie powierzenia zadania publicznego w zakresie zarządzania odcinkiem drogi.</w:t>
      </w:r>
    </w:p>
    <w:p w:rsidR="001B4C6E" w:rsidRPr="006C7C12" w:rsidRDefault="001B4C6E" w:rsidP="003E72D4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 ramach ogłaszanego naboru ustanawia się limit składanych wniosków</w:t>
      </w:r>
      <w:r w:rsidR="00324BBE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="00DF4B4C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ze względu na </w:t>
      </w:r>
      <w:r w:rsidR="00DC3431" w:rsidRPr="006C7C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Beneficjenta:</w:t>
      </w:r>
    </w:p>
    <w:p w:rsidR="006C7C12" w:rsidRDefault="001B4C6E" w:rsidP="00426566">
      <w:pPr>
        <w:numPr>
          <w:ilvl w:val="1"/>
          <w:numId w:val="40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GMINY</w:t>
      </w:r>
      <w:r w:rsidR="00180939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 xml:space="preserve"> </w:t>
      </w:r>
      <w:r w:rsidR="009E59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– maksymalnie</w:t>
      </w:r>
      <w:r w:rsid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C37FF5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2</w:t>
      </w:r>
      <w:r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wnios</w:t>
      </w:r>
      <w:r w:rsidR="00C37FF5"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ki</w:t>
      </w:r>
      <w:r w:rsidR="00324BBE"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</w:t>
      </w: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przy czym </w:t>
      </w:r>
      <w:r w:rsidR="00C37FF5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łączna kwota złożonych wniosków</w:t>
      </w:r>
      <w:r w:rsidR="00324BBE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C37FF5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</w:t>
      </w: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może </w:t>
      </w:r>
      <w:r w:rsidR="00C37FF5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przekroczyć</w:t>
      </w:r>
      <w:r w:rsidR="00756DCD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</w:t>
      </w:r>
      <w:r w:rsidR="00C37FF5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8</w:t>
      </w:r>
      <w:r w:rsidR="00756DCD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 000 000,00 zł wartości zadania</w:t>
      </w:r>
      <w:r w:rsidR="006C7C12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 xml:space="preserve"> na rok 2024</w:t>
      </w: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</w:t>
      </w:r>
    </w:p>
    <w:p w:rsidR="006A57D8" w:rsidRPr="006C7C12" w:rsidRDefault="001B4C6E" w:rsidP="00426566">
      <w:pPr>
        <w:numPr>
          <w:ilvl w:val="1"/>
          <w:numId w:val="40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>POWIATY</w:t>
      </w:r>
      <w:r w:rsidR="00180939"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  <w:t xml:space="preserve"> ORAZ MIASTA NA PRAWACH POWIATU </w:t>
      </w: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– </w:t>
      </w:r>
      <w:r w:rsidR="009E59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maksymalnie</w:t>
      </w:r>
      <w:r w:rsid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976B75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2</w:t>
      </w:r>
      <w:r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wniosk</w:t>
      </w:r>
      <w:r w:rsidR="00976B75"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i</w:t>
      </w: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  <w:r w:rsidR="00C37FF5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przy czym łączna kwota złożonych wniosków</w:t>
      </w:r>
      <w:r w:rsidR="00324BBE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C37FF5"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może przekroczyć</w:t>
      </w:r>
      <w:r w:rsidRP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C37FF5"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12</w:t>
      </w:r>
      <w:r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</w:t>
      </w:r>
      <w:r w:rsidR="00976B75"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0</w:t>
      </w:r>
      <w:r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00 000 zł wartości zadania</w:t>
      </w:r>
      <w:r w:rsid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na rok 2024</w:t>
      </w:r>
      <w:r w:rsidR="00800BF4"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,</w:t>
      </w:r>
      <w:r w:rsidRPr="006C7C1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</w:t>
      </w:r>
    </w:p>
    <w:p w:rsidR="001B4C6E" w:rsidRDefault="001B4C6E" w:rsidP="0007719C">
      <w:pPr>
        <w:shd w:val="clear" w:color="auto" w:fill="FFFFFF"/>
        <w:spacing w:after="24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ZŁOŻENIE WIĘKSZEJ ILOŚCI WNIO</w:t>
      </w:r>
      <w:r w:rsidR="009E599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SKÓW LUB NIEZASTOSOWANIE SIĘ DO 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ZASA</w:t>
      </w:r>
      <w:r w:rsidR="009E5993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D I LIMITÓW OKREŚLONYCH W PKT 11 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 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SPOWODUJE WYELIMINOWANIE Z OCENY FORMALNEJ I MERYTORYCZNEJ</w:t>
      </w:r>
      <w:r w:rsidR="00324BBE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 xml:space="preserve"> </w:t>
      </w:r>
      <w:r w:rsidR="00DC3431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ZŁOŻONEGO/YCH WNIOSKU/ÓW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.</w:t>
      </w:r>
    </w:p>
    <w:p w:rsidR="001B4C6E" w:rsidRPr="00153E42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Jako jedno zadanie mogą być </w:t>
      </w:r>
      <w:r w:rsidRPr="00EB15F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zgłoszone </w:t>
      </w:r>
      <w:r w:rsidRPr="00EB15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trzy odcinki drogi/dróg</w:t>
      </w:r>
      <w:r w:rsidRPr="00EB15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spełniające wymagania (nie dotyczy remontów):</w:t>
      </w:r>
    </w:p>
    <w:p w:rsidR="001B4C6E" w:rsidRPr="00BB2FAA" w:rsidRDefault="00147D01" w:rsidP="0007719C">
      <w:pPr>
        <w:pStyle w:val="Akapitzlist"/>
        <w:numPr>
          <w:ilvl w:val="0"/>
          <w:numId w:val="3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jeden wniosek musi  dotyczyć jednego rodzaju robót </w:t>
      </w:r>
      <w:r w:rsidR="001B4C6E"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:rsidR="001B4C6E" w:rsidRPr="00BB2FAA" w:rsidRDefault="001B4C6E" w:rsidP="0007719C">
      <w:pPr>
        <w:pStyle w:val="Akapitzlist"/>
        <w:numPr>
          <w:ilvl w:val="0"/>
          <w:numId w:val="3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pojedynczy odcinek ma charakter ciągły (nieprzerwany) oraz jest jednorodny pod względem parametrów funkcjonalnych i technicznych,</w:t>
      </w:r>
    </w:p>
    <w:p w:rsidR="001B4C6E" w:rsidRPr="00BB2FAA" w:rsidRDefault="001B4C6E" w:rsidP="0007719C">
      <w:pPr>
        <w:pStyle w:val="Akapitzlist"/>
        <w:numPr>
          <w:ilvl w:val="0"/>
          <w:numId w:val="3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ramach jednego odcinka szerokość pasa/pasów ruchu jest taka sama,</w:t>
      </w:r>
    </w:p>
    <w:p w:rsidR="001B4C6E" w:rsidRPr="00BB2FAA" w:rsidRDefault="001B4C6E" w:rsidP="0007719C">
      <w:pPr>
        <w:pStyle w:val="Akapitzlist"/>
        <w:numPr>
          <w:ilvl w:val="0"/>
          <w:numId w:val="3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jeden odcinek obejmuje drogę publiczną o jednym numerze, przy czym dopuszcza się wydzielenie na drodze publicznej o jednym numerze dwóch lub trzech odcinków,</w:t>
      </w:r>
    </w:p>
    <w:p w:rsidR="006658A6" w:rsidRDefault="001B4C6E" w:rsidP="0007719C">
      <w:pPr>
        <w:pStyle w:val="Akapitzlist"/>
        <w:numPr>
          <w:ilvl w:val="0"/>
          <w:numId w:val="3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każdy odcinek może posiadać inną klasę, właściwą dla danej kategorii drogi</w:t>
      </w:r>
      <w:r w:rsidR="006658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:rsidR="001B4C6E" w:rsidRPr="00BB2FAA" w:rsidRDefault="006658A6" w:rsidP="0007719C">
      <w:pPr>
        <w:pStyle w:val="Akapitzlist"/>
        <w:numPr>
          <w:ilvl w:val="0"/>
          <w:numId w:val="39"/>
        </w:numPr>
        <w:shd w:val="clear" w:color="auto" w:fill="FFFFFF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nie dopuszcza się składania wniosków dotyczącyc</w:t>
      </w:r>
      <w:r w:rsidR="009E59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h odcinków dróg gminnych wraz z 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odcinkami dróg powiatowych w ramach jednego wniosku.</w:t>
      </w:r>
    </w:p>
    <w:p w:rsidR="001B4C6E" w:rsidRPr="00153E42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We wniosku o dofinansowanie określa się przewidywany koszt i czas realizacji zadania oraz termin dokonywania wypłat na rzecz wykonawcy zadania.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*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Dofinansowanie na rok 202</w:t>
      </w:r>
      <w:r w:rsidR="0046070D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4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zostanie wypłacone </w:t>
      </w:r>
      <w:r w:rsid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do 20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 xml:space="preserve"> grudnia 202</w:t>
      </w:r>
      <w:r w:rsidR="0046070D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4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 xml:space="preserve"> r.</w:t>
      </w:r>
    </w:p>
    <w:p w:rsidR="001B4C6E" w:rsidRPr="00153E42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wniosku o dofinansowanie zadania należy załączyć:</w:t>
      </w:r>
    </w:p>
    <w:p w:rsidR="001B4C6E" w:rsidRDefault="001B4C6E" w:rsidP="003E72D4">
      <w:pPr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mapę poglądową umożliwiającą zlokalizowanie przedmiotu inwestycji w terenie, w szczególności względem innych dróg w okolicy wraz z zaznaczonymi elementami mającymi wpływ na ocenę merytoryczną wniosku, sporządzoną w skali oraz w sposób umożliwiający ich identyfikację i właściwą ocenę inwestycji,</w:t>
      </w:r>
    </w:p>
    <w:p w:rsidR="0046070D" w:rsidRPr="006C7C12" w:rsidRDefault="00014DEA" w:rsidP="003E72D4">
      <w:pPr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przekazaniu danych o sieci dróg publicznych</w:t>
      </w:r>
      <w:r w:rsidR="005A65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14DEA" w:rsidRDefault="00014DEA" w:rsidP="003E72D4">
      <w:pPr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realizacji inwestycji zgodnie z warunkami t</w:t>
      </w:r>
      <w:r w:rsidR="00DF4B4C"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echnicznymi określonymi m.in. w 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Ministra Infrastruktury w sprawie przepisów techniczno-budowlanych</w:t>
      </w:r>
      <w:r w:rsidR="00324BBE"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dotyczących dróg publicznych ( Dz.U. z 2022 r</w:t>
      </w:r>
      <w:r w:rsidR="00DE6D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poz.1518) -</w:t>
      </w:r>
      <w:r w:rsidRPr="006C7C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DOTYCZY REMONTU</w:t>
      </w:r>
      <w:r w:rsidR="005A65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5A6546" w:rsidRPr="005A6546" w:rsidRDefault="005B450B" w:rsidP="003E72D4">
      <w:pPr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</w:t>
      </w:r>
      <w:r w:rsidR="005877B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5A6546" w:rsidRPr="005A6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3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zarządzaniu</w:t>
      </w:r>
      <w:r w:rsidR="005877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odcinkami</w:t>
      </w:r>
      <w:r w:rsidR="005A6546" w:rsidRPr="005A6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dróg będących przedmiotem wniosku</w:t>
      </w:r>
      <w:r w:rsidR="005A65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B4C6E" w:rsidRDefault="001B4C6E" w:rsidP="003E72D4">
      <w:pPr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harmonogram rzeczowo - finansowy zadania</w:t>
      </w:r>
      <w:r w:rsidR="00FC5569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(</w:t>
      </w:r>
      <w:r w:rsidR="000D4BB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przy real</w:t>
      </w:r>
      <w:r w:rsidR="009E59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izacji zadań </w:t>
      </w:r>
      <w:r w:rsidR="009E5993" w:rsidRPr="009E5993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 kwocie powyżej</w:t>
      </w:r>
      <w:r w:rsidR="009E5993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9E5993" w:rsidRPr="009E5993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1 </w:t>
      </w:r>
      <w:r w:rsidR="000D4BB2" w:rsidRPr="009E5993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mln zł</w:t>
      </w:r>
      <w:r w:rsidR="000D4BB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. w harmonogramie można uwzględnić kwotę od 1000 do 5000 zł. </w:t>
      </w:r>
      <w:r w:rsidR="000D4BB2" w:rsidRPr="006C7C12">
        <w:rPr>
          <w:rFonts w:ascii="Times New Roman" w:eastAsia="Times New Roman" w:hAnsi="Times New Roman" w:cs="Times New Roman"/>
          <w:b/>
          <w:color w:val="1B1B1B"/>
          <w:sz w:val="24"/>
          <w:szCs w:val="24"/>
          <w:u w:val="single"/>
          <w:lang w:eastAsia="pl-PL"/>
        </w:rPr>
        <w:t>na prowadzenie obligatoryjnych działań informacyjnych</w:t>
      </w:r>
      <w:r w:rsidR="000D4BB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o realizacji zadani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 przy udziale dofinansowania z </w:t>
      </w:r>
      <w:r w:rsidR="000D4BB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RFRD)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,</w:t>
      </w:r>
    </w:p>
    <w:p w:rsidR="00014DEA" w:rsidRPr="00014DEA" w:rsidRDefault="00014DEA" w:rsidP="003E72D4">
      <w:pPr>
        <w:pStyle w:val="Akapitzlist"/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014DE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podpisane porozumienie w sprawie powierzenia zadania publicznego w zakre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sie zarządzania odcinkiem drogi w</w:t>
      </w:r>
      <w:r w:rsidRPr="00014DE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przypadku złożenia wniosku p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rzez gminę na drogę powiatową (lub odwrotnie),</w:t>
      </w:r>
    </w:p>
    <w:p w:rsidR="001B4C6E" w:rsidRPr="003B718F" w:rsidRDefault="001B4C6E" w:rsidP="003E72D4">
      <w:pPr>
        <w:numPr>
          <w:ilvl w:val="0"/>
          <w:numId w:val="38"/>
        </w:numPr>
        <w:shd w:val="clear" w:color="auto" w:fill="FFFFFF"/>
        <w:tabs>
          <w:tab w:val="clear" w:pos="928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wniosek </w:t>
      </w:r>
      <w:r w:rsidR="00492CE5" w:rsidRP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i harmonogram rzeczowo-finansowy </w:t>
      </w:r>
      <w:r w:rsidR="002A6C0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muszą być podpisane</w:t>
      </w:r>
      <w:r w:rsidRP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elektronicznym podpisem kwalifikowalnym przez osobę (osoby) uprawnioną do składania oświadczeń woli w zakresie praw i obowiązków majątkowych w imieniu Beneficjenta</w:t>
      </w:r>
      <w:r w:rsidR="00492CE5" w:rsidRP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przy kontrasygnacie Skarbnika </w:t>
      </w:r>
      <w:r w:rsidRP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. </w:t>
      </w:r>
      <w:r w:rsid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</w:t>
      </w:r>
      <w:r w:rsidRPr="003B718F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przypadku pełnomocnictwa, musi być ono udzielone w formie pisemnej pod rygorem nieważności. Z treści pełnomocnictwa musi jednoznacznie wynikać zakres umocowania do czynności związanych ze złożeniem wniosku o dofinansowanie (aplikowania o środki).</w:t>
      </w:r>
    </w:p>
    <w:p w:rsidR="001B4C6E" w:rsidRPr="003E72D4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Koszty niekwalifikowalne realizacji zadania obejmują w szczególności:</w:t>
      </w:r>
    </w:p>
    <w:p w:rsidR="001B4C6E" w:rsidRPr="006C7C12" w:rsidRDefault="001B4C6E" w:rsidP="003E72D4">
      <w:pPr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techniczna niezwiązana z drogą, o której mowa w § 140 ust. 1 i 2 rozporządzenia Ministra Transportu i Gospodarki Morskiej z dnia 2 marca 1999 r. w sprawie warunków technicznych, jakim powinny odpowiadać drogi publiczne i ich usytuowanie (Dz.U. z 2016 r. poz. 124, z późn.zm.),</w:t>
      </w:r>
    </w:p>
    <w:p w:rsidR="001B4C6E" w:rsidRPr="006C7C12" w:rsidRDefault="001B4C6E" w:rsidP="003E72D4">
      <w:pPr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nabywania nieruchomości</w:t>
      </w:r>
      <w:r w:rsidR="00324BBE"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pod pasy drogowe,</w:t>
      </w:r>
    </w:p>
    <w:p w:rsidR="001B4C6E" w:rsidRPr="006C7C12" w:rsidRDefault="001B4C6E" w:rsidP="003E72D4">
      <w:pPr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budowę, przebudowę lub remont dróg lub ich części, dla których wnioskodawca nie jest ustawowym zarządcą, z wyjątkiem robót na skrzyżowaniu z drogą wyższej kategorii, które są realizowane zgodnie z art. 25 ust. 2 ustawy z dnia 21 marca 1985 r. o drogach publicznych, jeśli skrzyżowanie to jest elementem składowym wniosku przedłożonego do oceny,</w:t>
      </w:r>
    </w:p>
    <w:p w:rsidR="001B4C6E" w:rsidRPr="006C7C12" w:rsidRDefault="001B4C6E" w:rsidP="003E72D4">
      <w:pPr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oraz koszty robót realizowanych poza pasem drogowym drogi będącej przedmiotem wniosku,</w:t>
      </w:r>
    </w:p>
    <w:p w:rsidR="001B4C6E" w:rsidRPr="006C7C12" w:rsidRDefault="001B4C6E" w:rsidP="003E72D4">
      <w:pPr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oraz koszty, które powinny być wykonywane w ramach utrzymania drogi.</w:t>
      </w:r>
    </w:p>
    <w:p w:rsidR="001B4C6E" w:rsidRPr="003E72D4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Wniosek nie spełnia wymogów formalnych, gdy: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wnioskodawca nie zastosował się do wzorów określonych dla danego zadania,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zawiera wszystkich wymaganych danych lub nie dołączono do niego wszystkich wymaganych załączników,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został złożony po terminie zakończenia naboru wniosków,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dotyczy zadania niepolegającego na budowie, rozbudowie, przebudowie lub remoncie drogi,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dotyczy zadania obejmującego odcinek drogi niebędącej drogą publiczną zaliczoną do kategorii dróg powiatowych lub dróg gminnych, w rozumieniu ustawy z dnia 21 marca 1985 r. o drogach publicznych 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</w:t>
      </w:r>
      <w:r w:rsidR="00DE3C27"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DE3C27"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>645</w:t>
      </w:r>
      <w:r w:rsidRPr="006C7C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późn.zm.). </w:t>
      </w: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Wyjątek stanowią zadania mające na celu: wybudowanie nowej drogi i zaliczenie jej, po wybudowaniu i oddaniu do użytkowania, do jednej z wymienionych kategorii albo rozbudowę lub przebudowę drogi wewnętrznej do właściwych parametrów technicznych, a następnie zaliczenie jej do kategorii dróg powiatowych lub gminnych.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dotyczy zadania obejmującego odcinek drogi, dla której wnioskodawca (w dniu złożenia wniosku o dofinansowanie), zgodnie z przepisami ustawy z dnia 21 marca 1985 r. o drogach publicznych (art. 19 ust. 2), nie jest właściwym zarządcą drogi.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dotyczy zadania złożonego przez dwóch wnioskodawców obejmującego swym zakresem dwa (lub więcej) odcinki dróg, dla których zarządcy są różni,</w:t>
      </w:r>
    </w:p>
    <w:p w:rsidR="001B4C6E" w:rsidRPr="00CF7234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2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wnioskowana kwota dofinansowania </w:t>
      </w:r>
      <w:r w:rsidR="009E59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zadań wieloletnich </w:t>
      </w:r>
      <w:r w:rsidRPr="00CF723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przekracza maksymalną wartość, tj. 30 mln zł,</w:t>
      </w:r>
    </w:p>
    <w:p w:rsidR="001B4C6E" w:rsidRPr="00BB2FAA" w:rsidRDefault="001B4C6E" w:rsidP="003E72D4">
      <w:pPr>
        <w:pStyle w:val="Akapitzlist"/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BB2FAA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został podpisany przez osoby uprawnione do reprezentowania wnioskodawcy.</w:t>
      </w:r>
    </w:p>
    <w:p w:rsidR="001B4C6E" w:rsidRPr="003E72D4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W przypadku gdy wniosek o dofinansowanie:</w:t>
      </w:r>
    </w:p>
    <w:p w:rsidR="001B4C6E" w:rsidRPr="00153E42" w:rsidRDefault="001B4C6E" w:rsidP="0007719C">
      <w:pPr>
        <w:numPr>
          <w:ilvl w:val="1"/>
          <w:numId w:val="35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nie spełnia wymogów formalnych lub określonych w ogłoszeniu o naborze,</w:t>
      </w:r>
    </w:p>
    <w:p w:rsidR="001B4C6E" w:rsidRPr="00153E42" w:rsidRDefault="001B4C6E" w:rsidP="0007719C">
      <w:pPr>
        <w:numPr>
          <w:ilvl w:val="1"/>
          <w:numId w:val="35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zawiera oczywiste omyłki- komisja wzywa wnioskodawcę</w:t>
      </w:r>
      <w:r w:rsidR="006C7C1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jego uzupełnienia lub poprawie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nia w nim oczywistych omyłek, w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terminie </w:t>
      </w:r>
      <w:r w:rsidR="00DE3C27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10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dni od dnia otrzymania wezwania, pod rygorem pozostawienia wniosku bez rozpatrzenia.</w:t>
      </w:r>
    </w:p>
    <w:p w:rsidR="001B4C6E" w:rsidRPr="003E72D4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lastRenderedPageBreak/>
        <w:t>Wnioskodawca, uzupełniając lub poprawiając wniosek o dofinansowanie nie może załączyć dokumentów datowanych na dzień po złożeniu wniosku, o czym komisja poucza wnioskodawcę, kierując do niego wezwanie.</w:t>
      </w:r>
    </w:p>
    <w:p w:rsidR="001B4C6E" w:rsidRPr="003E72D4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Komisja dokonuje oceny wniosków o dofinansowanie, mając na celu wyrównywanie potencjału społeczno-gospodarczego, poprawę jakości życia mieszkańców, zapewnienie spójności terytorialnej na obszarze województwa i biorąc pod uwagę:</w:t>
      </w:r>
    </w:p>
    <w:p w:rsidR="001B4C6E" w:rsidRPr="00153E42" w:rsidRDefault="001B4C6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poprawę stanu bezpieczeństwa ruchu drogowego;</w:t>
      </w:r>
    </w:p>
    <w:p w:rsidR="001B4C6E" w:rsidRPr="00153E42" w:rsidRDefault="001B4C6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zapewnienie spójności sieci dróg publicznych;</w:t>
      </w:r>
    </w:p>
    <w:p w:rsidR="001B4C6E" w:rsidRPr="00153E42" w:rsidRDefault="001B4C6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podnoszenie standardów technicznych dróg powiatowych i dróg gminnych oraz zachowanie jednorodności sieci dróg powiatowych i dróg gminnych pod względem spełniania tych standardów;</w:t>
      </w:r>
    </w:p>
    <w:p w:rsidR="001B4C6E" w:rsidRPr="00153E42" w:rsidRDefault="001B4C6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zwiększenie dostępności transportowej jednostek administracyjnych;</w:t>
      </w:r>
    </w:p>
    <w:p w:rsidR="001B4C6E" w:rsidRDefault="001B4C6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poprawę dos</w:t>
      </w:r>
      <w:r w:rsidR="0067575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tępności terenów inwestycyjnych;</w:t>
      </w:r>
    </w:p>
    <w:p w:rsidR="0067575E" w:rsidRPr="0067575E" w:rsidRDefault="0067575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7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zwiększenie liczby obwodnic w ciągu dróg powiatowych i dróg gminnych;</w:t>
      </w:r>
    </w:p>
    <w:p w:rsidR="0067575E" w:rsidRPr="0067575E" w:rsidRDefault="0067575E" w:rsidP="0007719C">
      <w:pPr>
        <w:numPr>
          <w:ilvl w:val="1"/>
          <w:numId w:val="34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67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poprawę dostępności terenów objętych przedsięwzięciami</w:t>
      </w:r>
      <w:r w:rsidR="009E5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lub inwestycjami powiązanymi z </w:t>
      </w:r>
      <w:r w:rsidRPr="0067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przedsięwzięciem infrastrukturalnym, o których mowa </w:t>
      </w:r>
      <w:r w:rsidRPr="00DE6D6C">
        <w:rPr>
          <w:rFonts w:ascii="Times New Roman" w:hAnsi="Times New Roman" w:cs="Times New Roman"/>
          <w:sz w:val="24"/>
          <w:szCs w:val="24"/>
          <w:shd w:val="clear" w:color="auto" w:fill="FFFFFF"/>
        </w:rPr>
        <w:t>w </w:t>
      </w:r>
      <w:hyperlink r:id="rId8" w:history="1">
        <w:r w:rsidRPr="00DE6D6C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art. 5c ust. 1</w:t>
        </w:r>
      </w:hyperlink>
      <w:r w:rsidR="009E5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ustawy z dnia 8 </w:t>
      </w:r>
      <w:r w:rsidRPr="0067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grudnia 2006 r. o finansowym wsparciu niektórych przedsięwzięć mieszkaniowych (Dz.U. z 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67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r. 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788</w:t>
      </w:r>
      <w:r w:rsidRPr="0067575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).</w:t>
      </w:r>
    </w:p>
    <w:p w:rsidR="001B4C6E" w:rsidRPr="003E72D4" w:rsidRDefault="001B4C6E" w:rsidP="003E72D4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b/>
          <w:color w:val="1B1B1B"/>
          <w:sz w:val="24"/>
          <w:szCs w:val="24"/>
          <w:lang w:eastAsia="pl-PL"/>
        </w:rPr>
        <w:t>Komisja w celu usunięcia wątpliwości dotyczących treści wniosku o dofinansowanie, może wystąpić do wnioskodawcy o udzielenie informacji lub wyjaśnień w wyznaczonym terminie.</w:t>
      </w:r>
    </w:p>
    <w:p w:rsidR="001B4C6E" w:rsidRPr="003E72D4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podstawie oceny, Komisja ustala listę zadań powiatowych oraz zadań gminnych rekomendowanych do dofinansowania ze środków Funduszu, która zawiera w szczególności:</w:t>
      </w:r>
    </w:p>
    <w:p w:rsidR="001B4C6E" w:rsidRPr="00153E42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przyznane miejsce na liście, uszeregowane od najbardziej do najmniej priorytetowego zadania rekomendowanego do dofinansowania;</w:t>
      </w:r>
    </w:p>
    <w:p w:rsidR="001B4C6E" w:rsidRPr="00153E42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nazwę jednostki samorządu terytorialnego będącej beneficjentem dofinansowania;</w:t>
      </w:r>
    </w:p>
    <w:p w:rsidR="001B4C6E" w:rsidRPr="00153E42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nazwę zadania;</w:t>
      </w:r>
    </w:p>
    <w:p w:rsidR="001B4C6E" w:rsidRPr="00153E42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przewidywany koszt realizacji zadania, ustalony na podstawie informacji zawartej we wniosku o dofinansowanie,</w:t>
      </w:r>
    </w:p>
    <w:p w:rsidR="001B4C6E" w:rsidRPr="00153E42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przewidywany okres realizacji zadania;</w:t>
      </w:r>
    </w:p>
    <w:p w:rsidR="001B4C6E" w:rsidRPr="00153E42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proponowany procent dofinansowania zadania;</w:t>
      </w:r>
    </w:p>
    <w:p w:rsidR="001B4C6E" w:rsidRDefault="001B4C6E" w:rsidP="0007719C">
      <w:pPr>
        <w:numPr>
          <w:ilvl w:val="1"/>
          <w:numId w:val="33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proponowaną kwotę dofinansowania, a w przypadku zadań wieloletnich- proponowaną kwotę dofinansowania w podziale na poszczególne lata.</w:t>
      </w:r>
    </w:p>
    <w:p w:rsidR="001B4C6E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Komisja pisemnie informuje wnioskodawcę o umieszczeniu zadania na liście.</w:t>
      </w:r>
    </w:p>
    <w:p w:rsidR="001B4C6E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 xml:space="preserve">Beneficjenci, </w:t>
      </w:r>
      <w:r w:rsidR="00F1487D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po otrzymaniu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zawiadomienia o przyznaniu dofinansowania </w:t>
      </w:r>
      <w:r w:rsidR="00F1487D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</w:t>
      </w:r>
      <w:r w:rsidR="00324BBE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</w:t>
      </w:r>
      <w:r w:rsidR="00F1487D" w:rsidRPr="003E72D4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wyznaczonym terminie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zobligowani są do pisemnego potwierdzeni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 gotowości do zawarcia umowy o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dofinansowanie, poprzez akceptację przyznanego poziomu i kwoty dofinansowania.</w:t>
      </w:r>
    </w:p>
    <w:p w:rsidR="001B4C6E" w:rsidRPr="00153E42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Lista, o której mowa wyżej może ulec zmianie wyłącznie w przypadku:</w:t>
      </w:r>
    </w:p>
    <w:p w:rsidR="001B4C6E" w:rsidRPr="00153E42" w:rsidRDefault="001B4C6E" w:rsidP="0007719C">
      <w:pPr>
        <w:numPr>
          <w:ilvl w:val="1"/>
          <w:numId w:val="32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rezygnacji wnioskodawcy z udzielonego dofinansowania;</w:t>
      </w:r>
    </w:p>
    <w:p w:rsidR="001B4C6E" w:rsidRDefault="001B4C6E" w:rsidP="0007719C">
      <w:pPr>
        <w:numPr>
          <w:ilvl w:val="1"/>
          <w:numId w:val="32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zmniejszenia wysokości dofinansowania w wyniku </w:t>
      </w:r>
      <w:r w:rsidR="00DF4B4C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przeprowadzonego postępowania o 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udzielenie zamówienia na realizację zadania objętego wnioskiem o dofinansowanie.</w:t>
      </w:r>
    </w:p>
    <w:p w:rsidR="001B4C6E" w:rsidRPr="00153E42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 przypadku zmiany listy, zadanie o najwyższym priorytecie do dofinansowania umieszczone na liście rezerwowej jest przenoszone na listę podstawową, do wysokości środków przeznaczonych na dofinansowanie w danym województwie.</w:t>
      </w:r>
    </w:p>
    <w:p w:rsidR="001B4C6E" w:rsidRPr="00153E42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Na podstawie listy zadań powiatowych oraz listy zadań gminnych przeznaczonych do dofinansowania w danym województwie, Wojewoda zawiera z wnioskodawcami umowy o udzielenie dofinansowania zadania powiatowego albo zadania gminnego.</w:t>
      </w:r>
    </w:p>
    <w:p w:rsidR="001B4C6E" w:rsidRPr="00153E42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 procedury udzielania dofinansowania zadań powiatowych oraz zadań gminnych ze środków Funduszu, w tym do:</w:t>
      </w:r>
    </w:p>
    <w:p w:rsidR="001B4C6E" w:rsidRPr="00153E42" w:rsidRDefault="001B4C6E" w:rsidP="0007719C">
      <w:pPr>
        <w:numPr>
          <w:ilvl w:val="1"/>
          <w:numId w:val="45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składania wniosków o dofinansowanie i ich oceny,</w:t>
      </w:r>
    </w:p>
    <w:p w:rsidR="001B4C6E" w:rsidRPr="00153E42" w:rsidRDefault="001B4C6E" w:rsidP="0007719C">
      <w:pPr>
        <w:numPr>
          <w:ilvl w:val="1"/>
          <w:numId w:val="45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ustalania list,</w:t>
      </w:r>
    </w:p>
    <w:p w:rsidR="001B4C6E" w:rsidRDefault="001B4C6E" w:rsidP="0007719C">
      <w:pPr>
        <w:numPr>
          <w:ilvl w:val="1"/>
          <w:numId w:val="45"/>
        </w:numPr>
        <w:shd w:val="clear" w:color="auto" w:fill="FFFFFF"/>
        <w:tabs>
          <w:tab w:val="clear" w:pos="144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wprowadzania na listach zmian oraz zatwierdzania tych list,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nie stosuje się przepisów ustawy z dnia 14 czerwca 1960 r.- Kodeks postępowania administracyjnego </w:t>
      </w:r>
      <w:r w:rsidRPr="00956863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</w:t>
      </w:r>
      <w:r w:rsidR="005511EC" w:rsidRPr="00956863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95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7</w:t>
      </w:r>
      <w:r w:rsidR="005511EC" w:rsidRPr="00956863">
        <w:rPr>
          <w:rFonts w:ascii="Times New Roman" w:eastAsia="Times New Roman" w:hAnsi="Times New Roman" w:cs="Times New Roman"/>
          <w:sz w:val="24"/>
          <w:szCs w:val="24"/>
          <w:lang w:eastAsia="pl-PL"/>
        </w:rPr>
        <w:t>75</w:t>
      </w:r>
      <w:r w:rsidRPr="009568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późn.zm.),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z wyjątkiem przepisów dotyczących doręczeń i sposobu obliczania terminów.</w:t>
      </w:r>
    </w:p>
    <w:p w:rsidR="001B4C6E" w:rsidRPr="00153E42" w:rsidRDefault="001B4C6E" w:rsidP="003E72D4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Obowiązujące dokumenty dotyczące naboru zostały umieszczone na stronie internetowej Łódzkiego Urzędu Wojewódzkiego w Łodzi pod adresem: https://www</w:t>
      </w:r>
      <w:r w:rsidR="00AA17A8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.gov.pl/web/uw-lodzki/rzadowy-fundusz-rozwoju-drog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B10765" w:rsidRDefault="00B10765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</w:pPr>
    </w:p>
    <w:p w:rsidR="001B4C6E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</w:pPr>
      <w:r w:rsidRPr="00B1076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u w:val="single"/>
          <w:lang w:eastAsia="pl-PL"/>
        </w:rPr>
        <w:t>Termin składania wniosków: 30 dni od dnia ogłoszenia naboru.</w:t>
      </w:r>
    </w:p>
    <w:p w:rsidR="00B10765" w:rsidRPr="00B10765" w:rsidRDefault="00B10765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u w:val="single"/>
          <w:lang w:eastAsia="pl-PL"/>
        </w:rPr>
      </w:pPr>
    </w:p>
    <w:p w:rsidR="001B4C6E" w:rsidRPr="00153E42" w:rsidRDefault="001B4C6E" w:rsidP="0007719C">
      <w:pPr>
        <w:shd w:val="clear" w:color="auto" w:fill="FFFFFF"/>
        <w:spacing w:after="24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Wnioski złożone po tym terminie nie będą </w:t>
      </w:r>
      <w:r w:rsidR="00324BB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rozpatrywane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(decyduje data wpływu do Łódzkiego Urzędu Wojewódzkiego w Łodzi)</w:t>
      </w:r>
      <w:r w:rsidR="00324BBE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Wnioski o dofinansowanie należy składać WYŁĄCZNIE: w wersji elektronicznej za pomocą platformy ePUAP: /lodzuw/skrytka.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Akceptowalnymi formatami plików dołączanych do formularzy są:</w:t>
      </w:r>
    </w:p>
    <w:p w:rsidR="001B4C6E" w:rsidRPr="00153E42" w:rsidRDefault="001B4C6E" w:rsidP="0007719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DOC, DOCX, RTF, ODT, TXT, PDF</w:t>
      </w:r>
    </w:p>
    <w:p w:rsidR="001B4C6E" w:rsidRPr="00153E42" w:rsidRDefault="001B4C6E" w:rsidP="0007719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XLS, XSLX, ODS</w:t>
      </w:r>
    </w:p>
    <w:p w:rsidR="001B4C6E" w:rsidRPr="00153E42" w:rsidRDefault="001B4C6E" w:rsidP="0007719C">
      <w:pPr>
        <w:numPr>
          <w:ilvl w:val="0"/>
          <w:numId w:val="18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lastRenderedPageBreak/>
        <w:t>GIF, TIF, JPG, PNG</w:t>
      </w:r>
    </w:p>
    <w:p w:rsidR="001B4C6E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Zapraszam wszystkie samorządy z terenu województwa łódzkiego do indywidualnego kontaktu z Łódzkim Urzędem Wojewódzkim w Łodzi.</w:t>
      </w:r>
    </w:p>
    <w:p w:rsidR="001B4C6E" w:rsidRPr="00B10765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Maria Tałajko - 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Kierownik Oddziału Inwestycji - (42) 664 15 24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Pracownicy Wydziału Rolnictwa i Transportu, Oddziału Inwestycji</w:t>
      </w:r>
    </w:p>
    <w:p w:rsidR="001B4C6E" w:rsidRPr="00153E42" w:rsidRDefault="001B4C6E" w:rsidP="0007719C">
      <w:pPr>
        <w:shd w:val="clear" w:color="auto" w:fill="FFFFFF"/>
        <w:spacing w:after="0" w:line="360" w:lineRule="auto"/>
        <w:ind w:left="493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(42) 664 11 59 -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Marcin Bucewka, Iwona Ciepłuch,</w:t>
      </w:r>
    </w:p>
    <w:p w:rsidR="00B10765" w:rsidRPr="00153E42" w:rsidRDefault="001B4C6E" w:rsidP="0007719C">
      <w:pPr>
        <w:shd w:val="clear" w:color="auto" w:fill="FFFFFF"/>
        <w:spacing w:after="0" w:line="360" w:lineRule="auto"/>
        <w:ind w:left="493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(42) 664 11 97 </w:t>
      </w:r>
      <w:r w:rsidR="00324BBE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-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  <w:r w:rsidR="00B107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Izabela Fidor,</w:t>
      </w:r>
    </w:p>
    <w:p w:rsidR="001B4C6E" w:rsidRDefault="001B4C6E" w:rsidP="0007719C">
      <w:pPr>
        <w:shd w:val="clear" w:color="auto" w:fill="FFFFFF"/>
        <w:spacing w:after="0" w:line="360" w:lineRule="auto"/>
        <w:ind w:left="493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(42) 664 12 13 - </w:t>
      </w:r>
      <w:r w:rsidR="00B10765"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Paulina Ceglarek</w:t>
      </w:r>
      <w:r w:rsidR="00B107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, Marzenna Krawczyk, </w:t>
      </w: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Adam Lesiak,</w:t>
      </w:r>
    </w:p>
    <w:p w:rsidR="00B10765" w:rsidRDefault="00324BBE" w:rsidP="0007719C">
      <w:pPr>
        <w:shd w:val="clear" w:color="auto" w:fill="FFFFFF"/>
        <w:spacing w:after="0" w:line="360" w:lineRule="auto"/>
        <w:ind w:left="493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(42) 664 12 43</w:t>
      </w:r>
      <w:r w:rsidR="00B1076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-</w:t>
      </w:r>
      <w:r w:rsidR="00B10765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 xml:space="preserve"> Elżbieta Kulawińska</w:t>
      </w:r>
    </w:p>
    <w:p w:rsidR="00B10765" w:rsidRDefault="00324BBE" w:rsidP="0007719C">
      <w:pPr>
        <w:shd w:val="clear" w:color="auto" w:fill="FFFFFF"/>
        <w:spacing w:after="0" w:line="360" w:lineRule="auto"/>
        <w:ind w:left="493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(42) 664 12 60</w:t>
      </w:r>
      <w:r w:rsidR="00B10765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 xml:space="preserve"> - </w:t>
      </w:r>
      <w:r w:rsidR="00B10765" w:rsidRPr="00B10765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Daniel Adamiec</w:t>
      </w:r>
    </w:p>
    <w:p w:rsidR="00B10765" w:rsidRPr="00B10765" w:rsidRDefault="00B10765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</w:p>
    <w:p w:rsidR="001B4C6E" w:rsidRPr="00153E42" w:rsidRDefault="001B4C6E" w:rsidP="0007719C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Sekretariat Wydziału Rolnictwa i Transportu - (42) 664 11 85.</w:t>
      </w:r>
    </w:p>
    <w:p w:rsidR="001B4C6E" w:rsidRPr="00153E42" w:rsidRDefault="001B4C6E" w:rsidP="0007719C">
      <w:pPr>
        <w:shd w:val="clear" w:color="auto" w:fill="FFFFFF"/>
        <w:spacing w:after="24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</w:pPr>
      <w:r w:rsidRPr="00153E42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 </w:t>
      </w:r>
    </w:p>
    <w:p w:rsidR="006161A0" w:rsidRPr="00153E42" w:rsidRDefault="001B4C6E" w:rsidP="0007719C">
      <w:pPr>
        <w:shd w:val="clear" w:color="auto" w:fill="FFFFFF"/>
        <w:spacing w:after="0" w:line="240" w:lineRule="auto"/>
        <w:ind w:left="5595"/>
        <w:jc w:val="center"/>
        <w:textAlignment w:val="baseline"/>
        <w:rPr>
          <w:rFonts w:ascii="Times New Roman" w:hAnsi="Times New Roman" w:cs="Times New Roman"/>
        </w:rPr>
      </w:pP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t>WOJEWODA ŁÓDZKI</w:t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br/>
      </w:r>
      <w:r w:rsidRPr="00153E42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pl-PL"/>
        </w:rPr>
        <w:br/>
      </w:r>
      <w:r w:rsidR="00956863">
        <w:rPr>
          <w:rFonts w:ascii="Times New Roman" w:eastAsia="Times New Roman" w:hAnsi="Times New Roman" w:cs="Times New Roman"/>
          <w:b/>
          <w:bCs/>
          <w:i/>
          <w:iCs/>
          <w:color w:val="1B1B1B"/>
          <w:sz w:val="24"/>
          <w:szCs w:val="24"/>
          <w:lang w:eastAsia="pl-PL"/>
        </w:rPr>
        <w:t>Karol  Młynarczyk</w:t>
      </w:r>
    </w:p>
    <w:sectPr w:rsidR="006161A0" w:rsidRPr="00153E42" w:rsidSect="00324BB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708" w:rsidRDefault="00482708" w:rsidP="00754D78">
      <w:pPr>
        <w:spacing w:after="0" w:line="240" w:lineRule="auto"/>
      </w:pPr>
      <w:r>
        <w:separator/>
      </w:r>
    </w:p>
  </w:endnote>
  <w:endnote w:type="continuationSeparator" w:id="0">
    <w:p w:rsidR="00482708" w:rsidRDefault="00482708" w:rsidP="00754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3518595"/>
      <w:docPartObj>
        <w:docPartGallery w:val="Page Numbers (Bottom of Page)"/>
        <w:docPartUnique/>
      </w:docPartObj>
    </w:sdtPr>
    <w:sdtEndPr/>
    <w:sdtContent>
      <w:p w:rsidR="00754D78" w:rsidRDefault="00754D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A9F">
          <w:rPr>
            <w:noProof/>
          </w:rPr>
          <w:t>1</w:t>
        </w:r>
        <w:r>
          <w:fldChar w:fldCharType="end"/>
        </w:r>
      </w:p>
    </w:sdtContent>
  </w:sdt>
  <w:p w:rsidR="00754D78" w:rsidRDefault="00754D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708" w:rsidRDefault="00482708" w:rsidP="00754D78">
      <w:pPr>
        <w:spacing w:after="0" w:line="240" w:lineRule="auto"/>
      </w:pPr>
      <w:r>
        <w:separator/>
      </w:r>
    </w:p>
  </w:footnote>
  <w:footnote w:type="continuationSeparator" w:id="0">
    <w:p w:rsidR="00482708" w:rsidRDefault="00482708" w:rsidP="00754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4F1"/>
    <w:multiLevelType w:val="multilevel"/>
    <w:tmpl w:val="0A6880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D7B22"/>
    <w:multiLevelType w:val="multilevel"/>
    <w:tmpl w:val="447E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116D3"/>
    <w:multiLevelType w:val="multilevel"/>
    <w:tmpl w:val="A23C5D4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46438"/>
    <w:multiLevelType w:val="multilevel"/>
    <w:tmpl w:val="1FBCD7D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C70D5"/>
    <w:multiLevelType w:val="multilevel"/>
    <w:tmpl w:val="BF48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A952AA"/>
    <w:multiLevelType w:val="multilevel"/>
    <w:tmpl w:val="FD9CE2A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E5D18"/>
    <w:multiLevelType w:val="multilevel"/>
    <w:tmpl w:val="46824E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12F2B"/>
    <w:multiLevelType w:val="multilevel"/>
    <w:tmpl w:val="71844B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C1C93"/>
    <w:multiLevelType w:val="hybridMultilevel"/>
    <w:tmpl w:val="F9A4AF2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826F29"/>
    <w:multiLevelType w:val="multilevel"/>
    <w:tmpl w:val="99F60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10564"/>
    <w:multiLevelType w:val="multilevel"/>
    <w:tmpl w:val="EFD8B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D175C5"/>
    <w:multiLevelType w:val="multilevel"/>
    <w:tmpl w:val="91B44A0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A22980"/>
    <w:multiLevelType w:val="multilevel"/>
    <w:tmpl w:val="ADD449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5E53B1"/>
    <w:multiLevelType w:val="multilevel"/>
    <w:tmpl w:val="D6B0BA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42D93"/>
    <w:multiLevelType w:val="multilevel"/>
    <w:tmpl w:val="1B447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8413D"/>
    <w:multiLevelType w:val="multilevel"/>
    <w:tmpl w:val="F11A2D8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3AB02F18"/>
    <w:multiLevelType w:val="multilevel"/>
    <w:tmpl w:val="E16210E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1A665F"/>
    <w:multiLevelType w:val="multilevel"/>
    <w:tmpl w:val="1FEAD3F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2D0E7B"/>
    <w:multiLevelType w:val="multilevel"/>
    <w:tmpl w:val="49B88B5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40C26"/>
    <w:multiLevelType w:val="multilevel"/>
    <w:tmpl w:val="6B3090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427FC"/>
    <w:multiLevelType w:val="multilevel"/>
    <w:tmpl w:val="72FA499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217C4"/>
    <w:multiLevelType w:val="multilevel"/>
    <w:tmpl w:val="EBF250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64EE4"/>
    <w:multiLevelType w:val="multilevel"/>
    <w:tmpl w:val="F700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73A13"/>
    <w:multiLevelType w:val="multilevel"/>
    <w:tmpl w:val="781C69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A72F44"/>
    <w:multiLevelType w:val="multilevel"/>
    <w:tmpl w:val="E8C0A34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472FAA"/>
    <w:multiLevelType w:val="multilevel"/>
    <w:tmpl w:val="86107F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8C6DFE"/>
    <w:multiLevelType w:val="hybridMultilevel"/>
    <w:tmpl w:val="DDC0C96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6C7F41"/>
    <w:multiLevelType w:val="multilevel"/>
    <w:tmpl w:val="43A2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0B56AE"/>
    <w:multiLevelType w:val="multilevel"/>
    <w:tmpl w:val="9C98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9" w15:restartNumberingAfterBreak="0">
    <w:nsid w:val="6218046F"/>
    <w:multiLevelType w:val="multilevel"/>
    <w:tmpl w:val="704A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6CB4079"/>
    <w:multiLevelType w:val="multilevel"/>
    <w:tmpl w:val="2910AD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130346"/>
    <w:multiLevelType w:val="multilevel"/>
    <w:tmpl w:val="6200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D20F31"/>
    <w:multiLevelType w:val="multilevel"/>
    <w:tmpl w:val="9C98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06F99"/>
    <w:multiLevelType w:val="multilevel"/>
    <w:tmpl w:val="ABB255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9543F3"/>
    <w:multiLevelType w:val="multilevel"/>
    <w:tmpl w:val="22B6FE5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D24E20"/>
    <w:multiLevelType w:val="multilevel"/>
    <w:tmpl w:val="D86E7A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5116F"/>
    <w:multiLevelType w:val="multilevel"/>
    <w:tmpl w:val="6B3090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2E510E"/>
    <w:multiLevelType w:val="multilevel"/>
    <w:tmpl w:val="B5C251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49195F"/>
    <w:multiLevelType w:val="multilevel"/>
    <w:tmpl w:val="EA92A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D47707"/>
    <w:multiLevelType w:val="multilevel"/>
    <w:tmpl w:val="4C92C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455C15"/>
    <w:multiLevelType w:val="multilevel"/>
    <w:tmpl w:val="BCCEE34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EA2CED"/>
    <w:multiLevelType w:val="multilevel"/>
    <w:tmpl w:val="8D988F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5E4553"/>
    <w:multiLevelType w:val="multilevel"/>
    <w:tmpl w:val="881889D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886868"/>
    <w:multiLevelType w:val="multilevel"/>
    <w:tmpl w:val="711496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E920B14"/>
    <w:multiLevelType w:val="multilevel"/>
    <w:tmpl w:val="3A16D52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"/>
  </w:num>
  <w:num w:numId="3">
    <w:abstractNumId w:val="22"/>
  </w:num>
  <w:num w:numId="4">
    <w:abstractNumId w:val="33"/>
  </w:num>
  <w:num w:numId="5">
    <w:abstractNumId w:val="29"/>
  </w:num>
  <w:num w:numId="6">
    <w:abstractNumId w:val="43"/>
  </w:num>
  <w:num w:numId="7">
    <w:abstractNumId w:val="38"/>
  </w:num>
  <w:num w:numId="8">
    <w:abstractNumId w:val="15"/>
  </w:num>
  <w:num w:numId="9">
    <w:abstractNumId w:val="6"/>
  </w:num>
  <w:num w:numId="10">
    <w:abstractNumId w:val="40"/>
  </w:num>
  <w:num w:numId="11">
    <w:abstractNumId w:val="2"/>
  </w:num>
  <w:num w:numId="12">
    <w:abstractNumId w:val="32"/>
  </w:num>
  <w:num w:numId="13">
    <w:abstractNumId w:val="12"/>
  </w:num>
  <w:num w:numId="14">
    <w:abstractNumId w:val="14"/>
  </w:num>
  <w:num w:numId="15">
    <w:abstractNumId w:val="24"/>
  </w:num>
  <w:num w:numId="16">
    <w:abstractNumId w:val="11"/>
  </w:num>
  <w:num w:numId="17">
    <w:abstractNumId w:val="17"/>
  </w:num>
  <w:num w:numId="18">
    <w:abstractNumId w:val="9"/>
  </w:num>
  <w:num w:numId="19">
    <w:abstractNumId w:val="28"/>
  </w:num>
  <w:num w:numId="20">
    <w:abstractNumId w:val="4"/>
  </w:num>
  <w:num w:numId="21">
    <w:abstractNumId w:val="27"/>
  </w:num>
  <w:num w:numId="22">
    <w:abstractNumId w:val="19"/>
  </w:num>
  <w:num w:numId="23">
    <w:abstractNumId w:val="36"/>
  </w:num>
  <w:num w:numId="24">
    <w:abstractNumId w:val="8"/>
  </w:num>
  <w:num w:numId="25">
    <w:abstractNumId w:val="3"/>
  </w:num>
  <w:num w:numId="26">
    <w:abstractNumId w:val="25"/>
  </w:num>
  <w:num w:numId="27">
    <w:abstractNumId w:val="23"/>
  </w:num>
  <w:num w:numId="28">
    <w:abstractNumId w:val="5"/>
  </w:num>
  <w:num w:numId="29">
    <w:abstractNumId w:val="21"/>
  </w:num>
  <w:num w:numId="30">
    <w:abstractNumId w:val="13"/>
  </w:num>
  <w:num w:numId="31">
    <w:abstractNumId w:val="20"/>
  </w:num>
  <w:num w:numId="32">
    <w:abstractNumId w:val="18"/>
  </w:num>
  <w:num w:numId="33">
    <w:abstractNumId w:val="35"/>
  </w:num>
  <w:num w:numId="34">
    <w:abstractNumId w:val="42"/>
  </w:num>
  <w:num w:numId="35">
    <w:abstractNumId w:val="7"/>
  </w:num>
  <w:num w:numId="36">
    <w:abstractNumId w:val="10"/>
  </w:num>
  <w:num w:numId="37">
    <w:abstractNumId w:val="30"/>
  </w:num>
  <w:num w:numId="38">
    <w:abstractNumId w:val="44"/>
  </w:num>
  <w:num w:numId="39">
    <w:abstractNumId w:val="26"/>
  </w:num>
  <w:num w:numId="40">
    <w:abstractNumId w:val="41"/>
  </w:num>
  <w:num w:numId="41">
    <w:abstractNumId w:val="0"/>
  </w:num>
  <w:num w:numId="42">
    <w:abstractNumId w:val="37"/>
  </w:num>
  <w:num w:numId="43">
    <w:abstractNumId w:val="39"/>
  </w:num>
  <w:num w:numId="44">
    <w:abstractNumId w:val="1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6E"/>
    <w:rsid w:val="00014DEA"/>
    <w:rsid w:val="00043FBB"/>
    <w:rsid w:val="0007719C"/>
    <w:rsid w:val="000D4BB2"/>
    <w:rsid w:val="00147D01"/>
    <w:rsid w:val="00153E42"/>
    <w:rsid w:val="00180939"/>
    <w:rsid w:val="001B4C6E"/>
    <w:rsid w:val="0026111F"/>
    <w:rsid w:val="002A6C0D"/>
    <w:rsid w:val="00302DE1"/>
    <w:rsid w:val="00324BBE"/>
    <w:rsid w:val="00340A9F"/>
    <w:rsid w:val="00383F2C"/>
    <w:rsid w:val="003B718F"/>
    <w:rsid w:val="003E72D4"/>
    <w:rsid w:val="0046070D"/>
    <w:rsid w:val="00482708"/>
    <w:rsid w:val="00492CE5"/>
    <w:rsid w:val="005511EC"/>
    <w:rsid w:val="005877BE"/>
    <w:rsid w:val="005A6546"/>
    <w:rsid w:val="005B450B"/>
    <w:rsid w:val="006161A0"/>
    <w:rsid w:val="006658A6"/>
    <w:rsid w:val="0067575E"/>
    <w:rsid w:val="006A57D8"/>
    <w:rsid w:val="006C7C12"/>
    <w:rsid w:val="006D781F"/>
    <w:rsid w:val="00754D78"/>
    <w:rsid w:val="00756DCD"/>
    <w:rsid w:val="007E2B37"/>
    <w:rsid w:val="00800BF4"/>
    <w:rsid w:val="008F230A"/>
    <w:rsid w:val="00903CD6"/>
    <w:rsid w:val="00940DD6"/>
    <w:rsid w:val="00956863"/>
    <w:rsid w:val="00970F06"/>
    <w:rsid w:val="009755EB"/>
    <w:rsid w:val="00976B75"/>
    <w:rsid w:val="009E5993"/>
    <w:rsid w:val="00A17093"/>
    <w:rsid w:val="00A44C07"/>
    <w:rsid w:val="00A52585"/>
    <w:rsid w:val="00A95C03"/>
    <w:rsid w:val="00AA17A8"/>
    <w:rsid w:val="00AD36BC"/>
    <w:rsid w:val="00B10765"/>
    <w:rsid w:val="00B1141F"/>
    <w:rsid w:val="00B14933"/>
    <w:rsid w:val="00B451F7"/>
    <w:rsid w:val="00BB2FAA"/>
    <w:rsid w:val="00C37FF5"/>
    <w:rsid w:val="00CF7234"/>
    <w:rsid w:val="00DB4D48"/>
    <w:rsid w:val="00DC3431"/>
    <w:rsid w:val="00DE3C27"/>
    <w:rsid w:val="00DE6D6C"/>
    <w:rsid w:val="00DE6FA6"/>
    <w:rsid w:val="00DF4B4C"/>
    <w:rsid w:val="00E277E2"/>
    <w:rsid w:val="00E63295"/>
    <w:rsid w:val="00E75D95"/>
    <w:rsid w:val="00EB15F0"/>
    <w:rsid w:val="00F1487D"/>
    <w:rsid w:val="00F41D09"/>
    <w:rsid w:val="00F536D6"/>
    <w:rsid w:val="00F878D8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E492E-00BF-407B-93BD-F2CD6FF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2D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D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D78"/>
  </w:style>
  <w:style w:type="paragraph" w:styleId="Stopka">
    <w:name w:val="footer"/>
    <w:basedOn w:val="Normalny"/>
    <w:link w:val="StopkaZnak"/>
    <w:uiPriority w:val="99"/>
    <w:unhideWhenUsed/>
    <w:rsid w:val="0075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D78"/>
  </w:style>
  <w:style w:type="character" w:styleId="Hipercze">
    <w:name w:val="Hyperlink"/>
    <w:basedOn w:val="Domylnaczcionkaakapitu"/>
    <w:uiPriority w:val="99"/>
    <w:semiHidden/>
    <w:unhideWhenUsed/>
    <w:rsid w:val="0067575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3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rtgu3tiltqmfyc4nrsgqytsojug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FB50-BD13-4C8B-A635-0D66361D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2265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mtal</dc:creator>
  <cp:keywords/>
  <dc:description/>
  <cp:lastModifiedBy>Agnieszka Rosiak</cp:lastModifiedBy>
  <cp:revision>2</cp:revision>
  <cp:lastPrinted>2023-06-14T09:39:00Z</cp:lastPrinted>
  <dcterms:created xsi:type="dcterms:W3CDTF">2023-06-19T12:09:00Z</dcterms:created>
  <dcterms:modified xsi:type="dcterms:W3CDTF">2023-06-19T12:09:00Z</dcterms:modified>
</cp:coreProperties>
</file>