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336" w14:textId="1B88A13B" w:rsidR="003A49ED" w:rsidRPr="005216BC" w:rsidRDefault="003A49ED" w:rsidP="003A49ED">
      <w:pPr>
        <w:jc w:val="center"/>
        <w:rPr>
          <w:rFonts w:ascii="Aptos" w:hAnsi="Aptos"/>
          <w:b/>
          <w:bCs/>
          <w:sz w:val="32"/>
          <w:szCs w:val="32"/>
        </w:rPr>
      </w:pPr>
      <w:r w:rsidRPr="005216BC">
        <w:rPr>
          <w:rFonts w:ascii="Aptos" w:hAnsi="Aptos"/>
          <w:b/>
          <w:bCs/>
          <w:sz w:val="32"/>
          <w:szCs w:val="32"/>
        </w:rPr>
        <w:t>Nabory planowane w latach 2025-2027 zgodnie z Programem Prac DEP 2025-2027</w:t>
      </w:r>
      <w:r w:rsidR="0087690F" w:rsidRPr="005216BC">
        <w:rPr>
          <w:rFonts w:ascii="Aptos" w:hAnsi="Aptos"/>
          <w:b/>
          <w:bCs/>
          <w:sz w:val="32"/>
          <w:szCs w:val="32"/>
        </w:rPr>
        <w:t xml:space="preserve"> z obszaru </w:t>
      </w:r>
      <w:proofErr w:type="spellStart"/>
      <w:r w:rsidR="0087690F" w:rsidRPr="005216BC">
        <w:rPr>
          <w:rFonts w:ascii="Aptos" w:hAnsi="Aptos"/>
          <w:b/>
          <w:bCs/>
          <w:sz w:val="32"/>
          <w:szCs w:val="32"/>
        </w:rPr>
        <w:t>Cyberbezpieczeństwo</w:t>
      </w:r>
      <w:proofErr w:type="spellEnd"/>
    </w:p>
    <w:p w14:paraId="1734D3E3" w14:textId="77777777" w:rsidR="003A49ED" w:rsidRPr="005216BC" w:rsidRDefault="003A49ED" w:rsidP="003A49ED">
      <w:pPr>
        <w:rPr>
          <w:rFonts w:ascii="Aptos" w:hAnsi="Aptos"/>
          <w:i/>
          <w:iCs/>
        </w:rPr>
      </w:pPr>
    </w:p>
    <w:tbl>
      <w:tblPr>
        <w:tblStyle w:val="Tabela-Siatka"/>
        <w:tblW w:w="16013" w:type="dxa"/>
        <w:tblLayout w:type="fixed"/>
        <w:tblLook w:val="04A0" w:firstRow="1" w:lastRow="0" w:firstColumn="1" w:lastColumn="0" w:noHBand="0" w:noVBand="1"/>
      </w:tblPr>
      <w:tblGrid>
        <w:gridCol w:w="1689"/>
        <w:gridCol w:w="4685"/>
        <w:gridCol w:w="2268"/>
        <w:gridCol w:w="1701"/>
        <w:gridCol w:w="1418"/>
        <w:gridCol w:w="1275"/>
        <w:gridCol w:w="2977"/>
      </w:tblGrid>
      <w:tr w:rsidR="003A49ED" w:rsidRPr="005216BC" w14:paraId="3DE654A3" w14:textId="77777777" w:rsidTr="00EF06E0">
        <w:trPr>
          <w:trHeight w:val="1134"/>
        </w:trPr>
        <w:tc>
          <w:tcPr>
            <w:tcW w:w="1689" w:type="dxa"/>
          </w:tcPr>
          <w:p w14:paraId="60B17A10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Nazwa naboru</w:t>
            </w:r>
          </w:p>
        </w:tc>
        <w:tc>
          <w:tcPr>
            <w:tcW w:w="4685" w:type="dxa"/>
          </w:tcPr>
          <w:p w14:paraId="13A4A669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Cel</w:t>
            </w:r>
          </w:p>
        </w:tc>
        <w:tc>
          <w:tcPr>
            <w:tcW w:w="2268" w:type="dxa"/>
          </w:tcPr>
          <w:p w14:paraId="2E90C185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Rodzaj wsparcia</w:t>
            </w:r>
          </w:p>
        </w:tc>
        <w:tc>
          <w:tcPr>
            <w:tcW w:w="1701" w:type="dxa"/>
          </w:tcPr>
          <w:p w14:paraId="025CC7B6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Budżet</w:t>
            </w:r>
          </w:p>
        </w:tc>
        <w:tc>
          <w:tcPr>
            <w:tcW w:w="1418" w:type="dxa"/>
          </w:tcPr>
          <w:p w14:paraId="3C665407" w14:textId="590E2397" w:rsidR="003A49ED" w:rsidRPr="00D45966" w:rsidRDefault="005216BC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Harmonogram naboru</w:t>
            </w:r>
          </w:p>
        </w:tc>
        <w:tc>
          <w:tcPr>
            <w:tcW w:w="1275" w:type="dxa"/>
          </w:tcPr>
          <w:p w14:paraId="3CB27241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Realizacja projektów</w:t>
            </w:r>
          </w:p>
        </w:tc>
        <w:tc>
          <w:tcPr>
            <w:tcW w:w="2977" w:type="dxa"/>
          </w:tcPr>
          <w:p w14:paraId="24D5ECB3" w14:textId="77777777" w:rsidR="003A49ED" w:rsidRPr="00D45966" w:rsidRDefault="003A49ED" w:rsidP="00D74F5A">
            <w:pPr>
              <w:jc w:val="center"/>
              <w:rPr>
                <w:rFonts w:ascii="Aptos" w:hAnsi="Aptos"/>
                <w:b/>
                <w:bCs/>
              </w:rPr>
            </w:pPr>
            <w:r w:rsidRPr="00D45966">
              <w:rPr>
                <w:rFonts w:ascii="Aptos" w:hAnsi="Aptos"/>
                <w:b/>
                <w:bCs/>
              </w:rPr>
              <w:t>Rodzaj wnioskodawców</w:t>
            </w:r>
          </w:p>
        </w:tc>
      </w:tr>
      <w:tr w:rsidR="00EC7602" w:rsidRPr="005216BC" w14:paraId="70A6B6C5" w14:textId="77777777" w:rsidTr="00EF06E0">
        <w:trPr>
          <w:trHeight w:val="1124"/>
        </w:trPr>
        <w:tc>
          <w:tcPr>
            <w:tcW w:w="1689" w:type="dxa"/>
          </w:tcPr>
          <w:p w14:paraId="672F186E" w14:textId="5F4902B7" w:rsidR="00EC7602" w:rsidRPr="00D45966" w:rsidRDefault="00EC7602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Coordinated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preparedness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testing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other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preparedness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actions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14C92F85" w14:textId="2BF8CCC7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jest wsparcie działań na rzecz zwiększenia gotowości państw członkowskich UE oraz podmiotów z sektorów krytycznych do reagowania na zagrożenia cybernetyczne. W ramach naboru finansowane będą z jednej strony skoordynowane testy gotowości (np. testy penetracyjne, ocena </w:t>
            </w:r>
            <w:proofErr w:type="spellStart"/>
            <w:r w:rsidRPr="00D45966">
              <w:rPr>
                <w:rFonts w:ascii="Aptos" w:hAnsi="Aptos" w:cstheme="minorHAnsi"/>
              </w:rPr>
              <w:t>ryzyk</w:t>
            </w:r>
            <w:proofErr w:type="spellEnd"/>
            <w:r w:rsidRPr="00D45966">
              <w:rPr>
                <w:rFonts w:ascii="Aptos" w:hAnsi="Aptos" w:cstheme="minorHAnsi"/>
              </w:rPr>
              <w:t>), a z drugiej – działania uzupełniające, takie jak monitoring podatności, szkolenia, ćwiczenia oraz rozwój polityk ujawniania podatności i zarządzania nimi.</w:t>
            </w:r>
          </w:p>
        </w:tc>
        <w:tc>
          <w:tcPr>
            <w:tcW w:w="2268" w:type="dxa"/>
          </w:tcPr>
          <w:p w14:paraId="0530C8F4" w14:textId="33826667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58CF204F" w14:textId="19335D3C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15 mln euro (2026) oraz </w:t>
            </w:r>
            <w:r>
              <w:rPr>
                <w:rFonts w:ascii="Aptos" w:hAnsi="Aptos" w:cstheme="minorHAnsi"/>
              </w:rPr>
              <w:t>15</w:t>
            </w:r>
            <w:r w:rsidRPr="00D45966">
              <w:rPr>
                <w:rFonts w:ascii="Aptos" w:hAnsi="Aptos" w:cstheme="minorHAnsi"/>
              </w:rPr>
              <w:t xml:space="preserve"> mln euro</w:t>
            </w:r>
            <w:r>
              <w:rPr>
                <w:rFonts w:ascii="Aptos" w:hAnsi="Aptos" w:cstheme="minorHAnsi"/>
              </w:rPr>
              <w:t xml:space="preserve"> (2027)</w:t>
            </w:r>
          </w:p>
          <w:p w14:paraId="1D1757E2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</w:p>
          <w:p w14:paraId="23934322" w14:textId="45777BDB" w:rsidR="00EC7602" w:rsidRPr="00D45966" w:rsidRDefault="00EC7602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coordinated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preparedness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testing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>:</w:t>
            </w:r>
            <w:r w:rsidRPr="00D45966">
              <w:rPr>
                <w:rFonts w:ascii="Aptos" w:hAnsi="Aptos" w:cstheme="minorHAnsi"/>
              </w:rPr>
              <w:t xml:space="preserve">  </w:t>
            </w:r>
            <w:r w:rsidR="00222F96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 xml:space="preserve">5 </w:t>
            </w:r>
            <w:r w:rsidRPr="00D45966">
              <w:rPr>
                <w:rFonts w:ascii="Aptos" w:hAnsi="Aptos" w:cstheme="minorHAnsi"/>
              </w:rPr>
              <w:t>mln euro</w:t>
            </w:r>
            <w:r>
              <w:rPr>
                <w:rFonts w:ascii="Aptos" w:hAnsi="Aptos" w:cstheme="minorHAnsi"/>
              </w:rPr>
              <w:t xml:space="preserve"> </w:t>
            </w:r>
          </w:p>
          <w:p w14:paraId="63833482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</w:p>
          <w:p w14:paraId="3B99DEA1" w14:textId="3B82522B" w:rsidR="00EC7602" w:rsidRPr="00D45966" w:rsidRDefault="00EC7602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other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preparedness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actions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 xml:space="preserve">: </w:t>
            </w:r>
            <w:r w:rsidRPr="00A0020A">
              <w:rPr>
                <w:rFonts w:ascii="Aptos" w:hAnsi="Aptos" w:cstheme="minorHAnsi"/>
              </w:rPr>
              <w:t xml:space="preserve">15 </w:t>
            </w:r>
            <w:r w:rsidRPr="00D45966">
              <w:rPr>
                <w:rFonts w:ascii="Aptos" w:hAnsi="Aptos" w:cstheme="minorHAnsi"/>
              </w:rPr>
              <w:t>mln euro</w:t>
            </w:r>
          </w:p>
        </w:tc>
        <w:tc>
          <w:tcPr>
            <w:tcW w:w="1418" w:type="dxa"/>
          </w:tcPr>
          <w:p w14:paraId="18FEA3DA" w14:textId="5EFB698E" w:rsidR="00EC7602" w:rsidRPr="00D45966" w:rsidRDefault="00EF06E0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</w:t>
            </w:r>
            <w:r w:rsidR="006D5680">
              <w:rPr>
                <w:rFonts w:ascii="Aptos" w:hAnsi="Aptos" w:cstheme="minorHAnsi"/>
              </w:rPr>
              <w:t xml:space="preserve">rzeci kwartał </w:t>
            </w:r>
            <w:r w:rsidR="00EC7602"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7BE0A21B" w14:textId="09B49132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0BE4DEA7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coordinated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preparedness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testing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>:</w:t>
            </w:r>
            <w:r w:rsidRPr="00D45966">
              <w:rPr>
                <w:rFonts w:ascii="Aptos" w:hAnsi="Aptos" w:cstheme="minorHAnsi"/>
              </w:rPr>
              <w:t xml:space="preserve"> Organy publiczne pełniące funkcję właściwych organów ds.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lub CSIRT-ów, a także inne podmioty publiczne objęte zakresem stosowania dyrektywy NIS 2, aktu o odporności cybernetycznej (CRA), aktu o </w:t>
            </w:r>
            <w:proofErr w:type="spellStart"/>
            <w:r w:rsidRPr="00D45966">
              <w:rPr>
                <w:rFonts w:ascii="Aptos" w:hAnsi="Aptos" w:cstheme="minorHAnsi"/>
              </w:rPr>
              <w:t>cyberbezpieczeństwie</w:t>
            </w:r>
            <w:proofErr w:type="spellEnd"/>
            <w:r w:rsidRPr="00D45966">
              <w:rPr>
                <w:rFonts w:ascii="Aptos" w:hAnsi="Aptos" w:cstheme="minorHAnsi"/>
              </w:rPr>
              <w:t xml:space="preserve"> (CSA), aktu o </w:t>
            </w:r>
            <w:proofErr w:type="spellStart"/>
            <w:r w:rsidRPr="00D45966">
              <w:rPr>
                <w:rFonts w:ascii="Aptos" w:hAnsi="Aptos" w:cstheme="minorHAnsi"/>
              </w:rPr>
              <w:t>cybersolidarności</w:t>
            </w:r>
            <w:proofErr w:type="spellEnd"/>
            <w:r w:rsidRPr="00D45966">
              <w:rPr>
                <w:rFonts w:ascii="Aptos" w:hAnsi="Aptos" w:cstheme="minorHAnsi"/>
              </w:rPr>
              <w:t xml:space="preserve"> (</w:t>
            </w:r>
            <w:proofErr w:type="spellStart"/>
            <w:r w:rsidRPr="00D45966">
              <w:rPr>
                <w:rFonts w:ascii="Aptos" w:hAnsi="Aptos" w:cstheme="minorHAnsi"/>
              </w:rPr>
              <w:t>CSoA</w:t>
            </w:r>
            <w:proofErr w:type="spellEnd"/>
            <w:r w:rsidRPr="00D45966">
              <w:rPr>
                <w:rFonts w:ascii="Aptos" w:hAnsi="Aptos" w:cstheme="minorHAnsi"/>
              </w:rPr>
              <w:t>), rozporządzenia DORA i innych właściwych regulacji UE</w:t>
            </w:r>
          </w:p>
          <w:p w14:paraId="663E640A" w14:textId="77777777" w:rsidR="00EC7602" w:rsidRPr="00D45966" w:rsidRDefault="00EC7602" w:rsidP="00674718">
            <w:pPr>
              <w:rPr>
                <w:rFonts w:ascii="Aptos" w:hAnsi="Aptos" w:cstheme="minorHAnsi"/>
              </w:rPr>
            </w:pPr>
          </w:p>
          <w:p w14:paraId="0290B664" w14:textId="77777777" w:rsidR="00EC7602" w:rsidRPr="00D45966" w:rsidRDefault="00EC7602" w:rsidP="00674718">
            <w:pPr>
              <w:rPr>
                <w:rFonts w:ascii="Aptos" w:hAnsi="Aptos" w:cstheme="minorHAnsi"/>
                <w:b/>
                <w:bCs/>
              </w:rPr>
            </w:pPr>
            <w:r>
              <w:rPr>
                <w:rFonts w:ascii="Aptos" w:hAnsi="Aptos" w:cstheme="minorHAnsi"/>
                <w:b/>
                <w:bCs/>
              </w:rPr>
              <w:t xml:space="preserve">Dla </w:t>
            </w:r>
            <w:proofErr w:type="spellStart"/>
            <w:r>
              <w:rPr>
                <w:rFonts w:ascii="Aptos" w:hAnsi="Aptos" w:cstheme="minorHAnsi"/>
                <w:b/>
                <w:bCs/>
              </w:rPr>
              <w:t>o</w:t>
            </w:r>
            <w:r w:rsidRPr="00D45966">
              <w:rPr>
                <w:rFonts w:ascii="Aptos" w:hAnsi="Aptos" w:cstheme="minorHAnsi"/>
                <w:b/>
                <w:bCs/>
              </w:rPr>
              <w:t>ther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preparedness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b/>
                <w:bCs/>
              </w:rPr>
              <w:t>actions</w:t>
            </w:r>
            <w:proofErr w:type="spellEnd"/>
            <w:r w:rsidRPr="00D45966">
              <w:rPr>
                <w:rFonts w:ascii="Aptos" w:hAnsi="Aptos" w:cstheme="minorHAnsi"/>
                <w:b/>
                <w:bCs/>
              </w:rPr>
              <w:t>:</w:t>
            </w:r>
          </w:p>
          <w:p w14:paraId="73B7E3AF" w14:textId="04B1DD3E" w:rsidR="00EC7602" w:rsidRPr="00D45966" w:rsidRDefault="00EC7602" w:rsidP="00674718">
            <w:pPr>
              <w:spacing w:before="120"/>
              <w:rPr>
                <w:rFonts w:ascii="Aptos" w:eastAsia="Calibri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j. w. oraz Interesariusze przemysłowi oraz inne podmioty publiczne i prywatne, które mogą </w:t>
            </w:r>
            <w:r w:rsidRPr="00D45966">
              <w:rPr>
                <w:rFonts w:ascii="Aptos" w:hAnsi="Aptos" w:cstheme="minorHAnsi"/>
              </w:rPr>
              <w:lastRenderedPageBreak/>
              <w:t xml:space="preserve">wspierać wdrażanie dyrektywy NIS 2 (samodzielnie lub we współpracy z podmiotami z sektorów wysoce krytycznych i innych sektorów krytycznych), aktu o odporności cybernetycznej (CRA), aktu o </w:t>
            </w:r>
            <w:proofErr w:type="spellStart"/>
            <w:r w:rsidRPr="00D45966">
              <w:rPr>
                <w:rFonts w:ascii="Aptos" w:hAnsi="Aptos" w:cstheme="minorHAnsi"/>
              </w:rPr>
              <w:t>cyberbezpieczeństwie</w:t>
            </w:r>
            <w:proofErr w:type="spellEnd"/>
            <w:r w:rsidRPr="00D45966">
              <w:rPr>
                <w:rFonts w:ascii="Aptos" w:hAnsi="Aptos" w:cstheme="minorHAnsi"/>
              </w:rPr>
              <w:t xml:space="preserve"> (CSA), aktu o </w:t>
            </w:r>
            <w:proofErr w:type="spellStart"/>
            <w:r w:rsidRPr="00D45966">
              <w:rPr>
                <w:rFonts w:ascii="Aptos" w:hAnsi="Aptos" w:cstheme="minorHAnsi"/>
              </w:rPr>
              <w:t>cybersolidarności</w:t>
            </w:r>
            <w:proofErr w:type="spellEnd"/>
            <w:r w:rsidRPr="00D45966">
              <w:rPr>
                <w:rFonts w:ascii="Aptos" w:hAnsi="Aptos" w:cstheme="minorHAnsi"/>
              </w:rPr>
              <w:t xml:space="preserve"> (</w:t>
            </w:r>
            <w:proofErr w:type="spellStart"/>
            <w:r w:rsidRPr="00D45966">
              <w:rPr>
                <w:rFonts w:ascii="Aptos" w:hAnsi="Aptos" w:cstheme="minorHAnsi"/>
              </w:rPr>
              <w:t>CSoA</w:t>
            </w:r>
            <w:proofErr w:type="spellEnd"/>
            <w:r w:rsidRPr="00D45966">
              <w:rPr>
                <w:rFonts w:ascii="Aptos" w:hAnsi="Aptos" w:cstheme="minorHAnsi"/>
              </w:rPr>
              <w:t xml:space="preserve">), rozporządzenia DORA, zaufani dostawcy usług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</w:p>
        </w:tc>
      </w:tr>
      <w:tr w:rsidR="00EC7602" w:rsidRPr="005216BC" w14:paraId="7B2F928F" w14:textId="77777777" w:rsidTr="00EF06E0">
        <w:trPr>
          <w:trHeight w:val="1124"/>
        </w:trPr>
        <w:tc>
          <w:tcPr>
            <w:tcW w:w="1689" w:type="dxa"/>
          </w:tcPr>
          <w:p w14:paraId="19BB8617" w14:textId="77777777" w:rsidR="00EC7602" w:rsidRPr="00D45966" w:rsidRDefault="00EC7602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Enhancing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the NCC Network </w:t>
            </w:r>
          </w:p>
          <w:p w14:paraId="54D68AC4" w14:textId="36814EDF" w:rsidR="00EC7602" w:rsidRPr="00D45966" w:rsidRDefault="00EC7602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685" w:type="dxa"/>
          </w:tcPr>
          <w:p w14:paraId="45965D84" w14:textId="761F9F22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jest wsparcie funkcjonowania Krajowych Centrów Koordynacji (NCC) w państwach członkowskich UE poprzez rozwój ich zdolności operacyjnych, wspieranie społeczności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(w tym MŚP, start-</w:t>
            </w:r>
            <w:proofErr w:type="spellStart"/>
            <w:r w:rsidRPr="00D45966">
              <w:rPr>
                <w:rFonts w:ascii="Aptos" w:hAnsi="Aptos" w:cstheme="minorHAnsi"/>
              </w:rPr>
              <w:t>upów</w:t>
            </w:r>
            <w:proofErr w:type="spellEnd"/>
            <w:r w:rsidRPr="00D45966">
              <w:rPr>
                <w:rFonts w:ascii="Aptos" w:hAnsi="Aptos" w:cstheme="minorHAnsi"/>
              </w:rPr>
              <w:t xml:space="preserve"> i środowisk akademickich) oraz upowszechnianie innowacyjnych rozwiązań w zakresie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>.</w:t>
            </w:r>
          </w:p>
        </w:tc>
        <w:tc>
          <w:tcPr>
            <w:tcW w:w="2268" w:type="dxa"/>
          </w:tcPr>
          <w:p w14:paraId="348E6267" w14:textId="57F1AE8A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6AE354C5" w14:textId="0AE8961F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</w:t>
            </w:r>
            <w:r>
              <w:rPr>
                <w:rFonts w:ascii="Aptos" w:hAnsi="Aptos" w:cstheme="minorHAnsi"/>
              </w:rPr>
              <w:t>1</w:t>
            </w:r>
            <w:r w:rsidRPr="00D45966">
              <w:rPr>
                <w:rFonts w:ascii="Aptos" w:hAnsi="Aptos" w:cstheme="minorHAnsi"/>
              </w:rPr>
              <w:t xml:space="preserve"> mln euro (2026) oraz </w:t>
            </w:r>
            <w:r>
              <w:rPr>
                <w:rFonts w:ascii="Aptos" w:hAnsi="Aptos" w:cstheme="minorHAnsi"/>
              </w:rPr>
              <w:t>17</w:t>
            </w:r>
            <w:r w:rsidRPr="00D45966">
              <w:rPr>
                <w:rFonts w:ascii="Aptos" w:hAnsi="Aptos" w:cstheme="minorHAnsi"/>
              </w:rPr>
              <w:t xml:space="preserve"> mln euro (2027)</w:t>
            </w:r>
          </w:p>
        </w:tc>
        <w:tc>
          <w:tcPr>
            <w:tcW w:w="1418" w:type="dxa"/>
          </w:tcPr>
          <w:p w14:paraId="2E37EDAC" w14:textId="4ADC8DBC" w:rsidR="00EC7602" w:rsidRPr="00D45966" w:rsidRDefault="00EF06E0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</w:t>
            </w:r>
            <w:r w:rsidR="006D5680">
              <w:rPr>
                <w:rFonts w:ascii="Aptos" w:hAnsi="Aptos" w:cstheme="minorHAnsi"/>
              </w:rPr>
              <w:t xml:space="preserve">rzeci kwartał </w:t>
            </w:r>
            <w:r w:rsidR="00EC7602"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32A5ACBD" w14:textId="3DA016BA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3-4 lata</w:t>
            </w:r>
          </w:p>
        </w:tc>
        <w:tc>
          <w:tcPr>
            <w:tcW w:w="2977" w:type="dxa"/>
          </w:tcPr>
          <w:p w14:paraId="6983AA77" w14:textId="7F6CFE69" w:rsidR="00EC7602" w:rsidRPr="00D45966" w:rsidRDefault="00EC7602" w:rsidP="00674718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Krajowe Centra Koordynacji (</w:t>
            </w:r>
            <w:proofErr w:type="spellStart"/>
            <w:r w:rsidRPr="00D45966">
              <w:rPr>
                <w:rFonts w:ascii="Aptos" w:hAnsi="Aptos" w:cstheme="minorHAnsi"/>
              </w:rPr>
              <w:t>National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Coordination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Centres</w:t>
            </w:r>
            <w:proofErr w:type="spellEnd"/>
            <w:r w:rsidRPr="00D45966">
              <w:rPr>
                <w:rFonts w:ascii="Aptos" w:hAnsi="Aptos" w:cstheme="minorHAnsi"/>
              </w:rPr>
              <w:t xml:space="preserve"> – NCC) oraz inne podmioty prywatne i publiczne działające w konsorcjum z NCC, w tym jednostki naukowe i badawcze</w:t>
            </w:r>
          </w:p>
        </w:tc>
      </w:tr>
      <w:tr w:rsidR="000126DB" w:rsidRPr="005216BC" w14:paraId="0F805F9D" w14:textId="77777777" w:rsidTr="00EF06E0">
        <w:trPr>
          <w:trHeight w:val="1124"/>
        </w:trPr>
        <w:tc>
          <w:tcPr>
            <w:tcW w:w="1689" w:type="dxa"/>
          </w:tcPr>
          <w:p w14:paraId="12B032EA" w14:textId="6F0B2EE0" w:rsidR="000126DB" w:rsidRPr="00D45966" w:rsidRDefault="000126DB" w:rsidP="00674718">
            <w:pPr>
              <w:rPr>
                <w:rFonts w:ascii="Aptos" w:hAnsi="Aptos"/>
                <w:b/>
                <w:bCs/>
                <w:lang w:val="en-GB"/>
              </w:rPr>
            </w:pPr>
            <w:proofErr w:type="spellStart"/>
            <w:r>
              <w:rPr>
                <w:rFonts w:ascii="Aptos" w:hAnsi="Aptos"/>
                <w:b/>
                <w:bCs/>
              </w:rPr>
              <w:t>National</w:t>
            </w:r>
            <w:proofErr w:type="spellEnd"/>
            <w:r w:rsidRPr="00D45966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</w:rPr>
              <w:t>Cyber</w:t>
            </w:r>
            <w:proofErr w:type="spellEnd"/>
            <w:r w:rsidRPr="00D45966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</w:rPr>
              <w:t>Hubs</w:t>
            </w:r>
            <w:proofErr w:type="spellEnd"/>
            <w:r w:rsidRPr="00D45966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4685" w:type="dxa"/>
          </w:tcPr>
          <w:p w14:paraId="24AA6909" w14:textId="77777777" w:rsidR="000126DB" w:rsidRDefault="000126DB" w:rsidP="00674718">
            <w:pPr>
              <w:rPr>
                <w:rFonts w:ascii="Aptos" w:hAnsi="Aptos" w:cstheme="minorHAnsi"/>
              </w:rPr>
            </w:pPr>
            <w:r w:rsidRPr="00A80F74">
              <w:rPr>
                <w:rFonts w:ascii="Aptos" w:hAnsi="Aptos" w:cstheme="minorHAnsi"/>
              </w:rPr>
              <w:t xml:space="preserve">Wzmocnienie lub utworzenie Narodowych Centrów </w:t>
            </w:r>
            <w:proofErr w:type="spellStart"/>
            <w:r w:rsidRPr="00A80F74">
              <w:rPr>
                <w:rFonts w:ascii="Aptos" w:hAnsi="Aptos" w:cstheme="minorHAnsi"/>
              </w:rPr>
              <w:t>Cyberbezpieczeństwa</w:t>
            </w:r>
            <w:proofErr w:type="spellEnd"/>
            <w:r w:rsidRPr="00A80F74">
              <w:rPr>
                <w:rFonts w:ascii="Aptos" w:hAnsi="Aptos" w:cstheme="minorHAnsi"/>
              </w:rPr>
              <w:t xml:space="preserve"> (</w:t>
            </w:r>
            <w:proofErr w:type="spellStart"/>
            <w:r w:rsidRPr="00A80F74">
              <w:rPr>
                <w:rFonts w:ascii="Aptos" w:hAnsi="Aptos" w:cstheme="minorHAnsi"/>
              </w:rPr>
              <w:t>National</w:t>
            </w:r>
            <w:proofErr w:type="spellEnd"/>
            <w:r w:rsidRPr="00A80F74">
              <w:rPr>
                <w:rFonts w:ascii="Aptos" w:hAnsi="Aptos" w:cstheme="minorHAnsi"/>
              </w:rPr>
              <w:t xml:space="preserve"> </w:t>
            </w:r>
            <w:proofErr w:type="spellStart"/>
            <w:r w:rsidRPr="00A80F74">
              <w:rPr>
                <w:rFonts w:ascii="Aptos" w:hAnsi="Aptos" w:cstheme="minorHAnsi"/>
              </w:rPr>
              <w:t>Cyber</w:t>
            </w:r>
            <w:proofErr w:type="spellEnd"/>
            <w:r w:rsidRPr="00A80F74">
              <w:rPr>
                <w:rFonts w:ascii="Aptos" w:hAnsi="Aptos" w:cstheme="minorHAnsi"/>
              </w:rPr>
              <w:t xml:space="preserve"> </w:t>
            </w:r>
            <w:proofErr w:type="spellStart"/>
            <w:r w:rsidRPr="00A80F74">
              <w:rPr>
                <w:rFonts w:ascii="Aptos" w:hAnsi="Aptos" w:cstheme="minorHAnsi"/>
              </w:rPr>
              <w:t>Hubs</w:t>
            </w:r>
            <w:proofErr w:type="spellEnd"/>
            <w:r w:rsidRPr="00A80F74">
              <w:rPr>
                <w:rFonts w:ascii="Aptos" w:hAnsi="Aptos" w:cstheme="minorHAnsi"/>
              </w:rPr>
              <w:t>) w państwach członkowskich UE. Mają one działać jako centralne punkty odniesienia i wymiany informacji o zagrożeniach cybernetycznych – gromadzić, analizować i przekazywać dane o incydentach, współpracując z CSIRT-</w:t>
            </w:r>
            <w:proofErr w:type="spellStart"/>
            <w:r w:rsidRPr="00A80F74">
              <w:rPr>
                <w:rFonts w:ascii="Aptos" w:hAnsi="Aptos" w:cstheme="minorHAnsi"/>
              </w:rPr>
              <w:t>ami</w:t>
            </w:r>
            <w:proofErr w:type="spellEnd"/>
            <w:r w:rsidRPr="00A80F74">
              <w:rPr>
                <w:rFonts w:ascii="Aptos" w:hAnsi="Aptos" w:cstheme="minorHAnsi"/>
              </w:rPr>
              <w:t>, ISAC-</w:t>
            </w:r>
            <w:proofErr w:type="spellStart"/>
            <w:r w:rsidRPr="00A80F74">
              <w:rPr>
                <w:rFonts w:ascii="Aptos" w:hAnsi="Aptos" w:cstheme="minorHAnsi"/>
              </w:rPr>
              <w:t>ami</w:t>
            </w:r>
            <w:proofErr w:type="spellEnd"/>
            <w:r w:rsidRPr="00A80F74">
              <w:rPr>
                <w:rFonts w:ascii="Aptos" w:hAnsi="Aptos" w:cstheme="minorHAnsi"/>
              </w:rPr>
              <w:t xml:space="preserve"> i innymi podmiotami krajowymi oraz transgranicznymi.</w:t>
            </w:r>
            <w:r>
              <w:rPr>
                <w:rFonts w:ascii="Aptos" w:hAnsi="Aptos" w:cstheme="minorHAnsi"/>
              </w:rPr>
              <w:t xml:space="preserve"> Działanie składa się z dwóch komponentów (</w:t>
            </w:r>
            <w:proofErr w:type="spellStart"/>
            <w:r>
              <w:rPr>
                <w:rFonts w:ascii="Aptos" w:hAnsi="Aptos" w:cstheme="minorHAnsi"/>
              </w:rPr>
              <w:t>workstreams</w:t>
            </w:r>
            <w:proofErr w:type="spellEnd"/>
            <w:r>
              <w:rPr>
                <w:rFonts w:ascii="Aptos" w:hAnsi="Aptos" w:cstheme="minorHAnsi"/>
              </w:rPr>
              <w:t xml:space="preserve">): </w:t>
            </w:r>
          </w:p>
          <w:p w14:paraId="388C45C0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785CBB87" w14:textId="77777777" w:rsidR="000126DB" w:rsidRDefault="000126DB" w:rsidP="009C7E28">
            <w:pPr>
              <w:pStyle w:val="Akapitzlist"/>
              <w:numPr>
                <w:ilvl w:val="0"/>
                <w:numId w:val="2"/>
              </w:num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Joint </w:t>
            </w:r>
            <w:proofErr w:type="spellStart"/>
            <w:r>
              <w:rPr>
                <w:rFonts w:ascii="Aptos" w:hAnsi="Aptos" w:cstheme="minorHAnsi"/>
              </w:rPr>
              <w:t>Procurement</w:t>
            </w:r>
            <w:proofErr w:type="spellEnd"/>
            <w:r>
              <w:rPr>
                <w:rFonts w:ascii="Aptos" w:hAnsi="Aptos" w:cstheme="minorHAnsi"/>
              </w:rPr>
              <w:t xml:space="preserve"> - wspólne zamówienie publiczne z państwem członkowskim na </w:t>
            </w:r>
            <w:r w:rsidRPr="009C7E28">
              <w:rPr>
                <w:rFonts w:ascii="Aptos" w:hAnsi="Aptos" w:cstheme="minorHAnsi"/>
              </w:rPr>
              <w:t xml:space="preserve">zakup infrastruktury, sprzętu i </w:t>
            </w:r>
            <w:proofErr w:type="spellStart"/>
            <w:r w:rsidRPr="009C7E28">
              <w:rPr>
                <w:rFonts w:ascii="Aptos" w:hAnsi="Aptos" w:cstheme="minorHAnsi"/>
              </w:rPr>
              <w:t>narzędz</w:t>
            </w:r>
            <w:proofErr w:type="spellEnd"/>
            <w:r w:rsidRPr="009C7E28">
              <w:rPr>
                <w:rFonts w:ascii="Aptos" w:hAnsi="Aptos" w:cstheme="minorHAnsi"/>
              </w:rPr>
              <w:t xml:space="preserve">, </w:t>
            </w:r>
          </w:p>
          <w:p w14:paraId="0C9E00D8" w14:textId="18930FA6" w:rsidR="000126DB" w:rsidRPr="00EF06E0" w:rsidRDefault="000126DB" w:rsidP="00674718">
            <w:pPr>
              <w:pStyle w:val="Akapitzlist"/>
              <w:numPr>
                <w:ilvl w:val="0"/>
                <w:numId w:val="2"/>
              </w:numPr>
              <w:rPr>
                <w:rFonts w:ascii="Aptos" w:hAnsi="Aptos" w:cstheme="minorHAnsi"/>
              </w:rPr>
            </w:pPr>
            <w:r w:rsidRPr="00EF06E0">
              <w:rPr>
                <w:rFonts w:ascii="Aptos" w:hAnsi="Aptos" w:cstheme="minorHAnsi"/>
              </w:rPr>
              <w:t xml:space="preserve">Simple Grant - grant dla wyznaczonego podmiotu krajowego na uruchomienie i bieżące funkcjonowanie </w:t>
            </w:r>
            <w:proofErr w:type="spellStart"/>
            <w:r w:rsidRPr="00EF06E0">
              <w:rPr>
                <w:rFonts w:ascii="Aptos" w:hAnsi="Aptos" w:cstheme="minorHAnsi"/>
              </w:rPr>
              <w:t>hubu</w:t>
            </w:r>
            <w:proofErr w:type="spellEnd"/>
            <w:r w:rsidRPr="00EF06E0">
              <w:rPr>
                <w:rFonts w:ascii="Aptos" w:hAnsi="Aptos" w:cstheme="minorHAnsi"/>
              </w:rPr>
              <w:t xml:space="preserve"> oraz niewielka część budżetu przeznaczona na działania administracyjne. </w:t>
            </w:r>
          </w:p>
        </w:tc>
        <w:tc>
          <w:tcPr>
            <w:tcW w:w="2268" w:type="dxa"/>
          </w:tcPr>
          <w:p w14:paraId="1BED6428" w14:textId="77777777" w:rsidR="000126DB" w:rsidRPr="009C7E28" w:rsidRDefault="000126DB" w:rsidP="009C7E28">
            <w:pPr>
              <w:pStyle w:val="Akapitzlist"/>
              <w:numPr>
                <w:ilvl w:val="0"/>
                <w:numId w:val="3"/>
              </w:num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lastRenderedPageBreak/>
              <w:t xml:space="preserve">Call for </w:t>
            </w:r>
            <w:proofErr w:type="spellStart"/>
            <w:r w:rsidRPr="009C7E28">
              <w:rPr>
                <w:rFonts w:ascii="Aptos" w:hAnsi="Aptos" w:cstheme="minorHAnsi"/>
              </w:rPr>
              <w:t>Expression</w:t>
            </w:r>
            <w:proofErr w:type="spellEnd"/>
            <w:r w:rsidRPr="009C7E28">
              <w:rPr>
                <w:rFonts w:ascii="Aptos" w:hAnsi="Aptos" w:cstheme="minorHAnsi"/>
              </w:rPr>
              <w:t xml:space="preserve"> of </w:t>
            </w:r>
            <w:proofErr w:type="spellStart"/>
            <w:r w:rsidRPr="009C7E28">
              <w:rPr>
                <w:rFonts w:ascii="Aptos" w:hAnsi="Aptos" w:cstheme="minorHAnsi"/>
              </w:rPr>
              <w:t>Interest</w:t>
            </w:r>
            <w:proofErr w:type="spellEnd"/>
            <w:r w:rsidRPr="009C7E28">
              <w:rPr>
                <w:rFonts w:ascii="Aptos" w:hAnsi="Aptos" w:cstheme="minorHAnsi"/>
              </w:rPr>
              <w:t xml:space="preserve"> - </w:t>
            </w:r>
            <w:proofErr w:type="spellStart"/>
            <w:r w:rsidRPr="009C7E28">
              <w:rPr>
                <w:rFonts w:ascii="Aptos" w:hAnsi="Aptos" w:cstheme="minorHAnsi"/>
              </w:rPr>
              <w:t>workstream</w:t>
            </w:r>
            <w:proofErr w:type="spellEnd"/>
            <w:r w:rsidRPr="009C7E28">
              <w:rPr>
                <w:rFonts w:ascii="Aptos" w:hAnsi="Aptos" w:cstheme="minorHAnsi"/>
              </w:rPr>
              <w:t xml:space="preserve"> on Joint </w:t>
            </w:r>
            <w:proofErr w:type="spellStart"/>
            <w:r w:rsidRPr="009C7E28">
              <w:rPr>
                <w:rFonts w:ascii="Aptos" w:hAnsi="Aptos" w:cstheme="minorHAnsi"/>
              </w:rPr>
              <w:t>procurement</w:t>
            </w:r>
            <w:proofErr w:type="spellEnd"/>
            <w:r w:rsidRPr="009C7E28">
              <w:rPr>
                <w:rFonts w:ascii="Aptos" w:hAnsi="Aptos" w:cstheme="minorHAnsi"/>
              </w:rPr>
              <w:t xml:space="preserve"> with </w:t>
            </w:r>
            <w:proofErr w:type="spellStart"/>
            <w:r w:rsidRPr="009C7E28">
              <w:rPr>
                <w:rFonts w:ascii="Aptos" w:hAnsi="Aptos" w:cstheme="minorHAnsi"/>
              </w:rPr>
              <w:t>Member</w:t>
            </w:r>
            <w:proofErr w:type="spellEnd"/>
            <w:r w:rsidRPr="009C7E28">
              <w:rPr>
                <w:rFonts w:ascii="Aptos" w:hAnsi="Aptos" w:cstheme="minorHAnsi"/>
              </w:rPr>
              <w:t xml:space="preserve"> </w:t>
            </w:r>
            <w:proofErr w:type="spellStart"/>
            <w:r w:rsidRPr="009C7E28">
              <w:rPr>
                <w:rFonts w:ascii="Aptos" w:hAnsi="Aptos" w:cstheme="minorHAnsi"/>
              </w:rPr>
              <w:t>States</w:t>
            </w:r>
            <w:proofErr w:type="spellEnd"/>
          </w:p>
          <w:p w14:paraId="7D280ED8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04CE7D24" w14:textId="77777777" w:rsidR="000126DB" w:rsidRPr="009C7E28" w:rsidRDefault="000126DB" w:rsidP="009C7E28">
            <w:pPr>
              <w:pStyle w:val="Akapitzlist"/>
              <w:numPr>
                <w:ilvl w:val="0"/>
                <w:numId w:val="3"/>
              </w:num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t xml:space="preserve">Call for </w:t>
            </w:r>
            <w:proofErr w:type="spellStart"/>
            <w:r w:rsidRPr="009C7E28">
              <w:rPr>
                <w:rFonts w:ascii="Aptos" w:hAnsi="Aptos" w:cstheme="minorHAnsi"/>
              </w:rPr>
              <w:t>Proposals</w:t>
            </w:r>
            <w:proofErr w:type="spellEnd"/>
            <w:r w:rsidRPr="009C7E28">
              <w:rPr>
                <w:rFonts w:ascii="Aptos" w:hAnsi="Aptos" w:cstheme="minorHAnsi"/>
              </w:rPr>
              <w:t xml:space="preserve">- </w:t>
            </w:r>
            <w:proofErr w:type="spellStart"/>
            <w:r w:rsidRPr="009C7E28">
              <w:rPr>
                <w:rFonts w:ascii="Aptos" w:hAnsi="Aptos" w:cstheme="minorHAnsi"/>
              </w:rPr>
              <w:lastRenderedPageBreak/>
              <w:t>workstream</w:t>
            </w:r>
            <w:proofErr w:type="spellEnd"/>
            <w:r w:rsidRPr="009C7E28">
              <w:rPr>
                <w:rFonts w:ascii="Aptos" w:hAnsi="Aptos" w:cstheme="minorHAnsi"/>
              </w:rPr>
              <w:t xml:space="preserve"> on Simple </w:t>
            </w:r>
            <w:proofErr w:type="spellStart"/>
            <w:r w:rsidRPr="009C7E28">
              <w:rPr>
                <w:rFonts w:ascii="Aptos" w:hAnsi="Aptos" w:cstheme="minorHAnsi"/>
              </w:rPr>
              <w:t>Grants</w:t>
            </w:r>
            <w:proofErr w:type="spellEnd"/>
          </w:p>
          <w:p w14:paraId="00A38D8C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1D79E191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1651DF52" w14:textId="77777777" w:rsidR="000126DB" w:rsidRDefault="000126DB" w:rsidP="00674718">
            <w:pPr>
              <w:rPr>
                <w:rFonts w:ascii="Aptos" w:hAnsi="Aptos" w:cstheme="minorHAnsi"/>
              </w:rPr>
            </w:pPr>
          </w:p>
          <w:p w14:paraId="24931D09" w14:textId="5CCC1278" w:rsidR="000126DB" w:rsidRPr="00D45966" w:rsidRDefault="000126DB" w:rsidP="00674718">
            <w:pPr>
              <w:rPr>
                <w:rFonts w:ascii="Aptos" w:hAnsi="Aptos" w:cstheme="minorHAnsi"/>
              </w:rPr>
            </w:pPr>
          </w:p>
        </w:tc>
        <w:tc>
          <w:tcPr>
            <w:tcW w:w="1701" w:type="dxa"/>
          </w:tcPr>
          <w:p w14:paraId="7FD085B2" w14:textId="5DA60551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lastRenderedPageBreak/>
              <w:t xml:space="preserve">5 mln euro </w:t>
            </w:r>
          </w:p>
        </w:tc>
        <w:tc>
          <w:tcPr>
            <w:tcW w:w="1418" w:type="dxa"/>
          </w:tcPr>
          <w:p w14:paraId="7DA60355" w14:textId="4DBFDDAC" w:rsidR="000126DB" w:rsidRPr="00D45966" w:rsidRDefault="00EF06E0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</w:t>
            </w:r>
            <w:r w:rsidR="006D5680">
              <w:rPr>
                <w:rFonts w:ascii="Aptos" w:hAnsi="Aptos" w:cstheme="minorHAnsi"/>
              </w:rPr>
              <w:t xml:space="preserve">rzeci kwartał </w:t>
            </w:r>
            <w:r w:rsidR="000126DB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64DAD5E1" w14:textId="34B72993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3A4BF846" w14:textId="58250B3B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eastAsia="Calibri" w:hAnsi="Aptos" w:cstheme="minorHAnsi"/>
              </w:rPr>
              <w:t xml:space="preserve">Podmioty publiczne wyznaczone </w:t>
            </w:r>
            <w:r w:rsidRPr="00A80F74">
              <w:rPr>
                <w:rFonts w:ascii="Aptos" w:eastAsia="Calibri" w:hAnsi="Aptos" w:cstheme="minorHAnsi"/>
              </w:rPr>
              <w:t xml:space="preserve">przez państwa członkowskie jako </w:t>
            </w:r>
            <w:proofErr w:type="spellStart"/>
            <w:r w:rsidRPr="00A80F74">
              <w:rPr>
                <w:rFonts w:ascii="Aptos" w:eastAsia="Calibri" w:hAnsi="Aptos" w:cstheme="minorHAnsi"/>
              </w:rPr>
              <w:t>National</w:t>
            </w:r>
            <w:proofErr w:type="spellEnd"/>
            <w:r w:rsidRPr="00A80F74">
              <w:rPr>
                <w:rFonts w:ascii="Aptos" w:eastAsia="Calibri" w:hAnsi="Aptos" w:cstheme="minorHAnsi"/>
              </w:rPr>
              <w:t xml:space="preserve"> </w:t>
            </w:r>
            <w:proofErr w:type="spellStart"/>
            <w:r w:rsidRPr="00A80F74">
              <w:rPr>
                <w:rFonts w:ascii="Aptos" w:eastAsia="Calibri" w:hAnsi="Aptos" w:cstheme="minorHAnsi"/>
              </w:rPr>
              <w:t>Cyber</w:t>
            </w:r>
            <w:proofErr w:type="spellEnd"/>
            <w:r w:rsidRPr="00A80F74">
              <w:rPr>
                <w:rFonts w:ascii="Aptos" w:eastAsia="Calibri" w:hAnsi="Aptos" w:cstheme="minorHAnsi"/>
              </w:rPr>
              <w:t xml:space="preserve"> Hub</w:t>
            </w:r>
          </w:p>
        </w:tc>
      </w:tr>
      <w:tr w:rsidR="000126DB" w:rsidRPr="005216BC" w14:paraId="61C87B58" w14:textId="77777777" w:rsidTr="00EF06E0">
        <w:trPr>
          <w:trHeight w:val="1124"/>
        </w:trPr>
        <w:tc>
          <w:tcPr>
            <w:tcW w:w="1689" w:type="dxa"/>
          </w:tcPr>
          <w:p w14:paraId="02B85E83" w14:textId="3F489515" w:rsidR="000126DB" w:rsidRPr="00D45966" w:rsidRDefault="000126DB" w:rsidP="00674718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0F0933">
              <w:rPr>
                <w:rFonts w:ascii="Aptos" w:hAnsi="Aptos"/>
                <w:b/>
                <w:bCs/>
                <w:sz w:val="22"/>
                <w:szCs w:val="22"/>
              </w:rPr>
              <w:t>Regional</w:t>
            </w:r>
            <w:proofErr w:type="spellEnd"/>
            <w:r w:rsidRPr="000F0933">
              <w:rPr>
                <w:rFonts w:ascii="Aptos" w:hAnsi="Aptos"/>
                <w:b/>
                <w:bCs/>
                <w:sz w:val="22"/>
                <w:szCs w:val="22"/>
              </w:rPr>
              <w:t xml:space="preserve"> Cable </w:t>
            </w:r>
            <w:proofErr w:type="spellStart"/>
            <w:r w:rsidRPr="000F0933">
              <w:rPr>
                <w:rFonts w:ascii="Aptos" w:hAnsi="Aptos"/>
                <w:b/>
                <w:bCs/>
                <w:sz w:val="22"/>
                <w:szCs w:val="22"/>
              </w:rPr>
              <w:t>Hubs</w:t>
            </w:r>
            <w:proofErr w:type="spellEnd"/>
          </w:p>
        </w:tc>
        <w:tc>
          <w:tcPr>
            <w:tcW w:w="4685" w:type="dxa"/>
          </w:tcPr>
          <w:p w14:paraId="760E699B" w14:textId="5E8C0B69" w:rsidR="000126DB" w:rsidRPr="00222F96" w:rsidRDefault="000126DB" w:rsidP="00222F96">
            <w:pPr>
              <w:rPr>
                <w:rFonts w:ascii="Aptos" w:hAnsi="Aptos" w:cstheme="minorHAnsi"/>
              </w:rPr>
            </w:pPr>
            <w:r w:rsidRPr="00222F96">
              <w:rPr>
                <w:rFonts w:ascii="Aptos" w:hAnsi="Aptos" w:cstheme="minorHAnsi"/>
              </w:rPr>
              <w:t xml:space="preserve">Ustanowienie </w:t>
            </w:r>
            <w:proofErr w:type="spellStart"/>
            <w:r w:rsidRPr="00222F96">
              <w:rPr>
                <w:rFonts w:ascii="Aptos" w:hAnsi="Aptos" w:cstheme="minorHAnsi"/>
              </w:rPr>
              <w:t>Regional</w:t>
            </w:r>
            <w:proofErr w:type="spellEnd"/>
            <w:r w:rsidRPr="00222F96">
              <w:rPr>
                <w:rFonts w:ascii="Aptos" w:hAnsi="Aptos" w:cstheme="minorHAnsi"/>
              </w:rPr>
              <w:t xml:space="preserve"> Cable </w:t>
            </w:r>
            <w:proofErr w:type="spellStart"/>
            <w:r w:rsidRPr="00222F96">
              <w:rPr>
                <w:rFonts w:ascii="Aptos" w:hAnsi="Aptos" w:cstheme="minorHAnsi"/>
              </w:rPr>
              <w:t>Hubs</w:t>
            </w:r>
            <w:proofErr w:type="spellEnd"/>
            <w:r w:rsidRPr="00222F96">
              <w:rPr>
                <w:rFonts w:ascii="Aptos" w:hAnsi="Aptos" w:cstheme="minorHAnsi"/>
              </w:rPr>
              <w:t xml:space="preserve">, po jednym dla każdego akwenu morskiego w UE, w celu zwiększenia bezpieczeństwa krytycznej infrastruktury jaką stanowią kable na dnie morza. Zadaniami </w:t>
            </w:r>
            <w:proofErr w:type="spellStart"/>
            <w:r w:rsidRPr="00222F96">
              <w:rPr>
                <w:rFonts w:ascii="Aptos" w:hAnsi="Aptos" w:cstheme="minorHAnsi"/>
              </w:rPr>
              <w:t>hubów</w:t>
            </w:r>
            <w:proofErr w:type="spellEnd"/>
            <w:r w:rsidRPr="00222F96">
              <w:rPr>
                <w:rFonts w:ascii="Aptos" w:hAnsi="Aptos" w:cstheme="minorHAnsi"/>
              </w:rPr>
              <w:t xml:space="preserve"> będzie wykrywanie i raportowanie incydentów, agregowanie i wymianę informacji oraz jej automatyczne analizowanie. Huby wdrożą procedury współpracy z prywatnymi operatorami, a także włączą w swoje działanie tematy z obszaru obronności. Nabór zgodny z </w:t>
            </w:r>
            <w:r w:rsidRPr="00222F96">
              <w:rPr>
                <w:rFonts w:ascii="Aptos" w:hAnsi="Aptos" w:cstheme="minorHAnsi"/>
                <w:i/>
                <w:iCs/>
              </w:rPr>
              <w:t>EU Action Plan on Cable Security</w:t>
            </w:r>
            <w:r w:rsidRPr="00222F96">
              <w:rPr>
                <w:rFonts w:ascii="Aptos" w:hAnsi="Aptos" w:cstheme="minorHAnsi"/>
              </w:rPr>
              <w:t>.</w:t>
            </w:r>
          </w:p>
        </w:tc>
        <w:tc>
          <w:tcPr>
            <w:tcW w:w="2268" w:type="dxa"/>
          </w:tcPr>
          <w:p w14:paraId="21F64AFC" w14:textId="0C1067D2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 xml:space="preserve">Simple </w:t>
            </w:r>
            <w:proofErr w:type="spellStart"/>
            <w:r>
              <w:rPr>
                <w:rFonts w:ascii="Aptos" w:hAnsi="Aptos" w:cstheme="minorHAnsi"/>
              </w:rPr>
              <w:t>Grants</w:t>
            </w:r>
            <w:proofErr w:type="spellEnd"/>
            <w:r>
              <w:rPr>
                <w:rFonts w:ascii="Aptos" w:hAnsi="Aptos" w:cstheme="minorHAnsi"/>
              </w:rPr>
              <w:t xml:space="preserve"> (poziom dofinansowania 70%)</w:t>
            </w:r>
          </w:p>
        </w:tc>
        <w:tc>
          <w:tcPr>
            <w:tcW w:w="1701" w:type="dxa"/>
          </w:tcPr>
          <w:p w14:paraId="5E3EB389" w14:textId="74766F39" w:rsidR="000126DB" w:rsidRDefault="000126DB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5 mln euro (2026) oraz 6 mln euro (2027)</w:t>
            </w:r>
          </w:p>
          <w:p w14:paraId="00A770B4" w14:textId="6C6B94F7" w:rsidR="000126DB" w:rsidRPr="00D45966" w:rsidRDefault="000126DB" w:rsidP="00674718">
            <w:pPr>
              <w:rPr>
                <w:rFonts w:ascii="Aptos" w:hAnsi="Aptos" w:cstheme="minorHAnsi"/>
              </w:rPr>
            </w:pPr>
          </w:p>
        </w:tc>
        <w:tc>
          <w:tcPr>
            <w:tcW w:w="1418" w:type="dxa"/>
          </w:tcPr>
          <w:p w14:paraId="329B63FC" w14:textId="0CC18D27" w:rsidR="000126DB" w:rsidRPr="00D45966" w:rsidRDefault="00EF06E0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</w:t>
            </w:r>
            <w:r w:rsidR="006D5680">
              <w:rPr>
                <w:rFonts w:ascii="Aptos" w:hAnsi="Aptos" w:cstheme="minorHAnsi"/>
              </w:rPr>
              <w:t xml:space="preserve">rzeci kwartał </w:t>
            </w:r>
            <w:r w:rsidR="000126DB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0E57960A" w14:textId="3743FC9F" w:rsidR="000126DB" w:rsidRPr="00D45966" w:rsidRDefault="000126DB" w:rsidP="00674718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5123B44B" w14:textId="00E82DC3" w:rsidR="000126DB" w:rsidRPr="00D45966" w:rsidRDefault="000126DB" w:rsidP="00674718">
            <w:pPr>
              <w:rPr>
                <w:rFonts w:ascii="Aptos" w:eastAsia="Calibri" w:hAnsi="Aptos" w:cstheme="minorHAnsi"/>
              </w:rPr>
            </w:pPr>
            <w:r>
              <w:rPr>
                <w:rFonts w:ascii="Aptos" w:eastAsia="Calibri" w:hAnsi="Aptos" w:cstheme="minorHAnsi"/>
              </w:rPr>
              <w:t>Podmioty publiczne</w:t>
            </w:r>
          </w:p>
        </w:tc>
      </w:tr>
      <w:tr w:rsidR="000126DB" w:rsidRPr="005216BC" w14:paraId="00F5DF3D" w14:textId="77777777" w:rsidTr="00EF06E0">
        <w:trPr>
          <w:trHeight w:val="1124"/>
        </w:trPr>
        <w:tc>
          <w:tcPr>
            <w:tcW w:w="1689" w:type="dxa"/>
          </w:tcPr>
          <w:p w14:paraId="64394D99" w14:textId="77777777" w:rsidR="000126DB" w:rsidRPr="00D45966" w:rsidRDefault="000126DB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Strengthening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cybersecurity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capacities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of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European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SMEs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with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cybersecure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AI-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powered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solution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446DB804" w14:textId="663040F8" w:rsidR="000126DB" w:rsidRPr="00D45966" w:rsidRDefault="000126DB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685" w:type="dxa"/>
          </w:tcPr>
          <w:p w14:paraId="40393CFB" w14:textId="3B767EA3" w:rsidR="000126DB" w:rsidRPr="00D45966" w:rsidRDefault="000126DB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/>
              </w:rPr>
              <w:t xml:space="preserve">Wsparcie dla MŚP w adopcji narzędzi </w:t>
            </w:r>
            <w:proofErr w:type="spellStart"/>
            <w:r w:rsidRPr="00D45966">
              <w:rPr>
                <w:rFonts w:ascii="Aptos" w:hAnsi="Aptos"/>
              </w:rPr>
              <w:t>cyberbezpieczeństwa</w:t>
            </w:r>
            <w:proofErr w:type="spellEnd"/>
            <w:r w:rsidRPr="00D45966">
              <w:rPr>
                <w:rFonts w:ascii="Aptos" w:hAnsi="Aptos"/>
              </w:rPr>
              <w:t xml:space="preserve"> opartych na AI, w tym gotowych zestawów (</w:t>
            </w:r>
            <w:proofErr w:type="spellStart"/>
            <w:r w:rsidRPr="00D45966">
              <w:rPr>
                <w:rFonts w:ascii="Aptos" w:hAnsi="Aptos"/>
              </w:rPr>
              <w:t>toolkitów</w:t>
            </w:r>
            <w:proofErr w:type="spellEnd"/>
            <w:r w:rsidRPr="00D45966">
              <w:rPr>
                <w:rFonts w:ascii="Aptos" w:hAnsi="Aptos"/>
              </w:rPr>
              <w:t>) do zarządzania ryzykiem i reagowania na incydenty.</w:t>
            </w:r>
          </w:p>
        </w:tc>
        <w:tc>
          <w:tcPr>
            <w:tcW w:w="2268" w:type="dxa"/>
          </w:tcPr>
          <w:p w14:paraId="6EE5469E" w14:textId="2A726372" w:rsidR="000126DB" w:rsidRPr="00222F96" w:rsidRDefault="000126DB" w:rsidP="00222F96">
            <w:pPr>
              <w:rPr>
                <w:rFonts w:ascii="Aptos" w:hAnsi="Aptos" w:cstheme="minorHAnsi"/>
              </w:rPr>
            </w:pPr>
            <w:r w:rsidRPr="00222F96">
              <w:rPr>
                <w:rFonts w:ascii="Aptos" w:hAnsi="Aptos" w:cstheme="minorHAnsi"/>
              </w:rPr>
              <w:t xml:space="preserve">SME </w:t>
            </w:r>
            <w:proofErr w:type="spellStart"/>
            <w:r w:rsidRPr="00222F96">
              <w:rPr>
                <w:rFonts w:ascii="Aptos" w:hAnsi="Aptos" w:cstheme="minorHAnsi"/>
              </w:rPr>
              <w:t>support</w:t>
            </w:r>
            <w:proofErr w:type="spellEnd"/>
            <w:r w:rsidRPr="00222F96">
              <w:rPr>
                <w:rFonts w:ascii="Aptos" w:hAnsi="Aptos" w:cstheme="minorHAnsi"/>
              </w:rPr>
              <w:t xml:space="preserve"> </w:t>
            </w:r>
            <w:proofErr w:type="spellStart"/>
            <w:r w:rsidRPr="00222F96">
              <w:rPr>
                <w:rFonts w:ascii="Aptos" w:hAnsi="Aptos" w:cstheme="minorHAnsi"/>
              </w:rPr>
              <w:t>action</w:t>
            </w:r>
            <w:proofErr w:type="spellEnd"/>
            <w:r w:rsidRPr="00222F96">
              <w:rPr>
                <w:rFonts w:ascii="Aptos" w:hAnsi="Aptos" w:cstheme="minorHAnsi"/>
              </w:rPr>
              <w:t xml:space="preserve"> (poziom dofinansowania 50%, dla MŚP 75%)</w:t>
            </w:r>
          </w:p>
        </w:tc>
        <w:tc>
          <w:tcPr>
            <w:tcW w:w="1701" w:type="dxa"/>
          </w:tcPr>
          <w:p w14:paraId="6CD308A4" w14:textId="015DCBA8" w:rsidR="000126DB" w:rsidRPr="00D45966" w:rsidRDefault="000126DB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 mln euro</w:t>
            </w:r>
          </w:p>
        </w:tc>
        <w:tc>
          <w:tcPr>
            <w:tcW w:w="1418" w:type="dxa"/>
          </w:tcPr>
          <w:p w14:paraId="76FF757C" w14:textId="157D999B" w:rsidR="000126DB" w:rsidRPr="00D45966" w:rsidRDefault="00EF06E0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</w:t>
            </w:r>
            <w:r w:rsidR="006D5680">
              <w:rPr>
                <w:rFonts w:ascii="Aptos" w:hAnsi="Aptos" w:cstheme="minorHAnsi"/>
              </w:rPr>
              <w:t xml:space="preserve">rzeci kwartał </w:t>
            </w:r>
            <w:r w:rsidR="000126DB" w:rsidRPr="00D45966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414B0444" w14:textId="56EFD6F3" w:rsidR="000126DB" w:rsidRPr="00D45966" w:rsidRDefault="000126DB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75EF8608" w14:textId="4B9AF0B4" w:rsidR="000126DB" w:rsidRPr="00D45966" w:rsidRDefault="000126DB" w:rsidP="0063532E">
            <w:pPr>
              <w:rPr>
                <w:rFonts w:ascii="Aptos" w:eastAsia="Calibri" w:hAnsi="Aptos" w:cstheme="minorHAnsi"/>
              </w:rPr>
            </w:pPr>
            <w:r w:rsidRPr="00D45966">
              <w:rPr>
                <w:rFonts w:ascii="Aptos" w:hAnsi="Aptos"/>
              </w:rPr>
              <w:t>MŚP, start-</w:t>
            </w:r>
            <w:proofErr w:type="spellStart"/>
            <w:r w:rsidRPr="00D45966">
              <w:rPr>
                <w:rFonts w:ascii="Aptos" w:hAnsi="Aptos"/>
              </w:rPr>
              <w:t>upy</w:t>
            </w:r>
            <w:proofErr w:type="spellEnd"/>
            <w:r w:rsidRPr="00D45966">
              <w:rPr>
                <w:rFonts w:ascii="Aptos" w:hAnsi="Aptos"/>
              </w:rPr>
              <w:t>, uczelnie, jednostki sektora publicznego, dostawcy narzędzi AI, podmioty NIS 2</w:t>
            </w:r>
          </w:p>
        </w:tc>
      </w:tr>
      <w:tr w:rsidR="008C412D" w:rsidRPr="005216BC" w14:paraId="67FA5873" w14:textId="77777777" w:rsidTr="00EF06E0">
        <w:trPr>
          <w:trHeight w:val="1124"/>
        </w:trPr>
        <w:tc>
          <w:tcPr>
            <w:tcW w:w="1689" w:type="dxa"/>
          </w:tcPr>
          <w:p w14:paraId="32960E1A" w14:textId="3ACFC20A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Strengthening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the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Hubs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ecosystem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enhancing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information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sharing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41A7CB9E" w14:textId="5E071913" w:rsidR="008C412D" w:rsidRPr="009C7E28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wzmocnienie współpracy, koordynacji i wymiany wiedzy pomiędzy Krajowymi i Transgranicznymi Centrami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(</w:t>
            </w:r>
            <w:proofErr w:type="spellStart"/>
            <w:r w:rsidRPr="00D45966">
              <w:rPr>
                <w:rFonts w:ascii="Aptos" w:hAnsi="Aptos" w:cstheme="minorHAnsi"/>
              </w:rPr>
              <w:t>Cyber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Hubs</w:t>
            </w:r>
            <w:proofErr w:type="spellEnd"/>
            <w:r w:rsidRPr="00D45966">
              <w:rPr>
                <w:rFonts w:ascii="Aptos" w:hAnsi="Aptos" w:cstheme="minorHAnsi"/>
              </w:rPr>
              <w:t xml:space="preserve">), a także ich integracja z sektorem prywatnym oraz inicjatywami unijnymi, takimi jak </w:t>
            </w:r>
            <w:proofErr w:type="spellStart"/>
            <w:r w:rsidRPr="00D45966">
              <w:rPr>
                <w:rFonts w:ascii="Aptos" w:hAnsi="Aptos" w:cstheme="minorHAnsi"/>
              </w:rPr>
              <w:t>ISACs</w:t>
            </w:r>
            <w:proofErr w:type="spellEnd"/>
            <w:r w:rsidRPr="00D45966">
              <w:rPr>
                <w:rFonts w:ascii="Aptos" w:hAnsi="Aptos" w:cstheme="minorHAnsi"/>
              </w:rPr>
              <w:t xml:space="preserve"> i sieć CSIRT. Działania mają wspierać tworzenie wspólnych standardów, narzędzi, szkoleń i mechanizmów wymiany informacji. </w:t>
            </w:r>
          </w:p>
        </w:tc>
        <w:tc>
          <w:tcPr>
            <w:tcW w:w="2268" w:type="dxa"/>
          </w:tcPr>
          <w:p w14:paraId="5D3B53DF" w14:textId="0055A767" w:rsidR="008C412D" w:rsidRPr="000F0933" w:rsidRDefault="008C412D" w:rsidP="000F0933">
            <w:pPr>
              <w:rPr>
                <w:rFonts w:ascii="Aptos" w:hAnsi="Aptos" w:cstheme="minorHAnsi"/>
              </w:rPr>
            </w:pPr>
            <w:proofErr w:type="spellStart"/>
            <w:r w:rsidRPr="00D45966">
              <w:rPr>
                <w:rFonts w:ascii="Aptos" w:hAnsi="Aptos"/>
              </w:rPr>
              <w:t>Coordination</w:t>
            </w:r>
            <w:proofErr w:type="spellEnd"/>
            <w:r w:rsidRPr="00D45966">
              <w:rPr>
                <w:rFonts w:ascii="Aptos" w:hAnsi="Aptos"/>
              </w:rPr>
              <w:t xml:space="preserve"> and </w:t>
            </w:r>
            <w:proofErr w:type="spellStart"/>
            <w:r w:rsidRPr="00D45966">
              <w:rPr>
                <w:rFonts w:ascii="Aptos" w:hAnsi="Aptos"/>
              </w:rPr>
              <w:t>Support</w:t>
            </w:r>
            <w:proofErr w:type="spellEnd"/>
            <w:r w:rsidRPr="00D45966">
              <w:rPr>
                <w:rFonts w:ascii="Aptos" w:hAnsi="Aptos"/>
              </w:rPr>
              <w:t xml:space="preserve"> Action (poziom dofinansowania 100%)</w:t>
            </w:r>
          </w:p>
        </w:tc>
        <w:tc>
          <w:tcPr>
            <w:tcW w:w="1701" w:type="dxa"/>
          </w:tcPr>
          <w:p w14:paraId="480D8C4B" w14:textId="374CBAE7" w:rsidR="008C412D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 mln euro</w:t>
            </w:r>
          </w:p>
        </w:tc>
        <w:tc>
          <w:tcPr>
            <w:tcW w:w="1418" w:type="dxa"/>
          </w:tcPr>
          <w:p w14:paraId="4ACC03DE" w14:textId="4469A2BA" w:rsidR="008C412D" w:rsidRPr="00D45966" w:rsidRDefault="00EF06E0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</w:t>
            </w:r>
            <w:r w:rsidR="006D5680">
              <w:rPr>
                <w:rFonts w:ascii="Aptos" w:hAnsi="Aptos" w:cstheme="minorHAnsi"/>
              </w:rPr>
              <w:t xml:space="preserve">rzeci kwartał </w:t>
            </w:r>
            <w:r w:rsidR="008C412D" w:rsidRPr="00D45966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0FBD47B3" w14:textId="79192B64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2-3 lata</w:t>
            </w:r>
          </w:p>
        </w:tc>
        <w:tc>
          <w:tcPr>
            <w:tcW w:w="2977" w:type="dxa"/>
          </w:tcPr>
          <w:p w14:paraId="6B744EA7" w14:textId="5949CCC2" w:rsidR="008C412D" w:rsidRPr="00D45966" w:rsidRDefault="008C412D" w:rsidP="0063532E">
            <w:pPr>
              <w:rPr>
                <w:rFonts w:ascii="Aptos" w:eastAsia="Calibri" w:hAnsi="Aptos" w:cstheme="minorHAnsi"/>
              </w:rPr>
            </w:pPr>
            <w:r w:rsidRPr="00D45966">
              <w:rPr>
                <w:rFonts w:ascii="Aptos" w:hAnsi="Aptos" w:cstheme="minorHAnsi"/>
                <w:lang w:eastAsia="en-GB"/>
              </w:rPr>
              <w:t xml:space="preserve">Operatorzy </w:t>
            </w:r>
            <w:proofErr w:type="spellStart"/>
            <w:r w:rsidRPr="00D45966">
              <w:rPr>
                <w:rFonts w:ascii="Aptos" w:hAnsi="Aptos" w:cstheme="minorHAnsi"/>
                <w:lang w:eastAsia="en-GB"/>
              </w:rPr>
              <w:t>Cyber</w:t>
            </w:r>
            <w:proofErr w:type="spellEnd"/>
            <w:r w:rsidRPr="00D45966">
              <w:rPr>
                <w:rFonts w:ascii="Aptos" w:hAnsi="Aptos" w:cstheme="minorHAnsi"/>
                <w:lang w:eastAsia="en-GB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  <w:lang w:eastAsia="en-GB"/>
              </w:rPr>
              <w:t>Hubs</w:t>
            </w:r>
            <w:proofErr w:type="spellEnd"/>
          </w:p>
        </w:tc>
      </w:tr>
      <w:tr w:rsidR="008C412D" w:rsidRPr="005216BC" w14:paraId="468245A3" w14:textId="77777777" w:rsidTr="00EF06E0">
        <w:trPr>
          <w:trHeight w:val="1124"/>
        </w:trPr>
        <w:tc>
          <w:tcPr>
            <w:tcW w:w="1689" w:type="dxa"/>
          </w:tcPr>
          <w:p w14:paraId="58A0F4E7" w14:textId="7CC93E84" w:rsidR="008C412D" w:rsidRPr="00D45966" w:rsidRDefault="008C412D" w:rsidP="0063532E">
            <w:pPr>
              <w:rPr>
                <w:rFonts w:ascii="Aptos" w:hAnsi="Aptos"/>
                <w:b/>
                <w:bCs/>
                <w:lang w:val="en-GB"/>
              </w:rPr>
            </w:pPr>
            <w:r w:rsidRPr="00D45966">
              <w:rPr>
                <w:rFonts w:ascii="Aptos" w:hAnsi="Aptos"/>
                <w:b/>
                <w:bCs/>
              </w:rPr>
              <w:t xml:space="preserve">Mutual </w:t>
            </w:r>
            <w:proofErr w:type="spellStart"/>
            <w:r w:rsidRPr="00D45966">
              <w:rPr>
                <w:rFonts w:ascii="Aptos" w:hAnsi="Aptos"/>
                <w:b/>
                <w:bCs/>
              </w:rPr>
              <w:t>assistance</w:t>
            </w:r>
            <w:proofErr w:type="spellEnd"/>
            <w:r w:rsidRPr="00D45966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4685" w:type="dxa"/>
          </w:tcPr>
          <w:p w14:paraId="31E026FF" w14:textId="23701AE6" w:rsidR="008C412D" w:rsidRPr="00D45966" w:rsidRDefault="008C412D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 xml:space="preserve">Celem działania jest zapewnienie wzajemnej pomocy technicznej między państwami członkowskimi UE w reagowaniu na poważne lub szeroko zakrojone incydenty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>. Wsparcie obejmuje m.in. analizę incydentów, koordynację reagowania, zabezpieczanie śladów cyfrowych oraz raportowanie</w:t>
            </w:r>
          </w:p>
        </w:tc>
        <w:tc>
          <w:tcPr>
            <w:tcW w:w="2268" w:type="dxa"/>
          </w:tcPr>
          <w:p w14:paraId="7F44DFBF" w14:textId="7BE7FE1D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10489DCC" w14:textId="3F9B7AA7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 mln euro (2026) oraz 2 mln euro (2027)</w:t>
            </w:r>
          </w:p>
        </w:tc>
        <w:tc>
          <w:tcPr>
            <w:tcW w:w="1418" w:type="dxa"/>
          </w:tcPr>
          <w:p w14:paraId="4CDA54E1" w14:textId="7D798F9A" w:rsidR="008C412D" w:rsidRPr="00D45966" w:rsidRDefault="00EF06E0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</w:t>
            </w:r>
            <w:r w:rsidR="006D5680">
              <w:rPr>
                <w:rFonts w:ascii="Aptos" w:hAnsi="Aptos" w:cstheme="minorHAnsi"/>
              </w:rPr>
              <w:t xml:space="preserve">rzeci kwartał </w:t>
            </w:r>
            <w:r w:rsidR="008C412D"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6EF7174C" w14:textId="2925B643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3 lata </w:t>
            </w:r>
          </w:p>
        </w:tc>
        <w:tc>
          <w:tcPr>
            <w:tcW w:w="2977" w:type="dxa"/>
          </w:tcPr>
          <w:p w14:paraId="1845BD77" w14:textId="43B8A41D" w:rsidR="008C412D" w:rsidRPr="00D45966" w:rsidRDefault="008C412D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 xml:space="preserve">Organy publiczne pełniące funkcję właściwego organu ds.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oraz zespoły CSIRT wyznaczone lub ustanowione zgodnie z art. 10 dyrektywy (UE) 2022/2555</w:t>
            </w:r>
          </w:p>
        </w:tc>
      </w:tr>
      <w:tr w:rsidR="008C412D" w:rsidRPr="005216BC" w14:paraId="57963919" w14:textId="77777777" w:rsidTr="00EF06E0">
        <w:trPr>
          <w:trHeight w:val="1124"/>
        </w:trPr>
        <w:tc>
          <w:tcPr>
            <w:tcW w:w="1689" w:type="dxa"/>
          </w:tcPr>
          <w:p w14:paraId="5693E564" w14:textId="77777777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Strengthening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EU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cybersecurity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capacities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&amp;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capabilities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in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line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with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legislative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requirements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  <w:p w14:paraId="0A4BD22D" w14:textId="1D7CC4BA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4685" w:type="dxa"/>
          </w:tcPr>
          <w:p w14:paraId="19CAC62B" w14:textId="1D293704" w:rsidR="008C412D" w:rsidRPr="00D45966" w:rsidRDefault="008C412D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 xml:space="preserve">Celem naboru jest wspieranie wdrażania unijnego prawa w zakresie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 – w szczególności dyrektywy NIS 2, aktu o odporności cybernetycznej (CRA), aktu o </w:t>
            </w:r>
            <w:proofErr w:type="spellStart"/>
            <w:r w:rsidRPr="00D45966">
              <w:rPr>
                <w:rFonts w:ascii="Aptos" w:hAnsi="Aptos" w:cstheme="minorHAnsi"/>
              </w:rPr>
              <w:t>cyberbezpieczeństwie</w:t>
            </w:r>
            <w:proofErr w:type="spellEnd"/>
            <w:r w:rsidRPr="00D45966">
              <w:rPr>
                <w:rFonts w:ascii="Aptos" w:hAnsi="Aptos" w:cstheme="minorHAnsi"/>
              </w:rPr>
              <w:t xml:space="preserve"> (CSA), RODO, DORA i innych – poprzez budowę zdolności technicznych, organizacyjnych i kompetencyjnych w całej UE. Działanie wspiera m.in. rozwój narzędzi oceny zgodności, certyfikacji, mechanizmów raportowania, szkolenia, rozwój umiejętności (w tym działania </w:t>
            </w:r>
            <w:proofErr w:type="spellStart"/>
            <w:r w:rsidRPr="00D45966">
              <w:rPr>
                <w:rFonts w:ascii="Aptos" w:hAnsi="Aptos" w:cstheme="minorHAnsi"/>
              </w:rPr>
              <w:t>Cybersecurity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Skills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Academy</w:t>
            </w:r>
            <w:proofErr w:type="spellEnd"/>
            <w:r w:rsidRPr="00D45966">
              <w:rPr>
                <w:rFonts w:ascii="Aptos" w:hAnsi="Aptos" w:cstheme="minorHAnsi"/>
              </w:rPr>
              <w:t>), a także wzmocnienie pozycji MŚP i komercjalizację technologii zwiększających bezpieczeństwo i prywatność (</w:t>
            </w:r>
            <w:proofErr w:type="spellStart"/>
            <w:r w:rsidRPr="00D45966">
              <w:rPr>
                <w:rFonts w:ascii="Aptos" w:hAnsi="Aptos" w:cstheme="minorHAnsi"/>
              </w:rPr>
              <w:t>PETs</w:t>
            </w:r>
            <w:proofErr w:type="spellEnd"/>
            <w:r w:rsidRPr="00D45966">
              <w:rPr>
                <w:rFonts w:ascii="Aptos" w:hAnsi="Aptos" w:cstheme="minorHAnsi"/>
              </w:rPr>
              <w:t>).</w:t>
            </w:r>
          </w:p>
        </w:tc>
        <w:tc>
          <w:tcPr>
            <w:tcW w:w="2268" w:type="dxa"/>
          </w:tcPr>
          <w:p w14:paraId="13210D7B" w14:textId="480472F1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760EE173" w14:textId="34CCF593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 mln euro (2026) oraz 12 mln euro (2027)</w:t>
            </w:r>
          </w:p>
        </w:tc>
        <w:tc>
          <w:tcPr>
            <w:tcW w:w="1418" w:type="dxa"/>
          </w:tcPr>
          <w:p w14:paraId="33EBFAB4" w14:textId="671D20EC" w:rsidR="008C412D" w:rsidRPr="00D45966" w:rsidRDefault="00EF06E0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</w:t>
            </w:r>
            <w:r w:rsidR="006D5680">
              <w:rPr>
                <w:rFonts w:ascii="Aptos" w:hAnsi="Aptos" w:cstheme="minorHAnsi"/>
              </w:rPr>
              <w:t xml:space="preserve">rzeci kwartał </w:t>
            </w:r>
            <w:r w:rsidR="008C412D" w:rsidRPr="00D45966">
              <w:rPr>
                <w:rFonts w:ascii="Aptos" w:hAnsi="Aptos" w:cstheme="minorHAnsi"/>
              </w:rPr>
              <w:t>2026 oraz 2027</w:t>
            </w:r>
          </w:p>
        </w:tc>
        <w:tc>
          <w:tcPr>
            <w:tcW w:w="1275" w:type="dxa"/>
          </w:tcPr>
          <w:p w14:paraId="7EFDA407" w14:textId="6177D857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638A9C2C" w14:textId="75B0CB9C" w:rsidR="008C412D" w:rsidRPr="00D45966" w:rsidRDefault="008C412D" w:rsidP="0063532E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>Wszyscy interesariusze</w:t>
            </w:r>
          </w:p>
        </w:tc>
      </w:tr>
      <w:tr w:rsidR="008C412D" w:rsidRPr="005216BC" w14:paraId="5B564442" w14:textId="77777777" w:rsidTr="00EF06E0">
        <w:trPr>
          <w:trHeight w:val="1124"/>
        </w:trPr>
        <w:tc>
          <w:tcPr>
            <w:tcW w:w="1689" w:type="dxa"/>
          </w:tcPr>
          <w:p w14:paraId="3D62469A" w14:textId="1A800487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Dual-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use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technologies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7E3B4B39" w14:textId="29B6B966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Celem naboru jest wzmocnienie współpracy pomiędzy cywilnym a obronnym sektorem w zakresie rozwoju i wdrażania technologii podwójnego zastosowania w obszarze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 xml:space="preserve">. Projekty pilotażowe mają umożliwić opracowanie i demonstrację rozwiązań takich jak: kryptografia odporna na komputery kwantowe, architektury Zero Trust, systemy wykrywania zagrożeń oparte na AI czy cyfrowe bliźniaki (Digital </w:t>
            </w:r>
            <w:proofErr w:type="spellStart"/>
            <w:r w:rsidRPr="00D45966">
              <w:rPr>
                <w:rFonts w:ascii="Aptos" w:hAnsi="Aptos" w:cstheme="minorHAnsi"/>
              </w:rPr>
              <w:t>Twins</w:t>
            </w:r>
            <w:proofErr w:type="spellEnd"/>
            <w:r w:rsidRPr="00D45966">
              <w:rPr>
                <w:rFonts w:ascii="Aptos" w:hAnsi="Aptos" w:cstheme="minorHAnsi"/>
              </w:rPr>
              <w:t>), z zastosowaniem zarówno w infrastrukturze cywilnej, jak i wojskowej.</w:t>
            </w:r>
          </w:p>
        </w:tc>
        <w:tc>
          <w:tcPr>
            <w:tcW w:w="2268" w:type="dxa"/>
          </w:tcPr>
          <w:p w14:paraId="43C1BC46" w14:textId="4F07034B" w:rsidR="008C412D" w:rsidRPr="00D45966" w:rsidRDefault="008C412D" w:rsidP="0063532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7A6098ED" w14:textId="7FD2B28E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10 mln euro</w:t>
            </w:r>
          </w:p>
        </w:tc>
        <w:tc>
          <w:tcPr>
            <w:tcW w:w="1418" w:type="dxa"/>
          </w:tcPr>
          <w:p w14:paraId="66D7B195" w14:textId="3909B558" w:rsidR="008C412D" w:rsidRPr="00D45966" w:rsidRDefault="00EF06E0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T</w:t>
            </w:r>
            <w:r w:rsidR="00B55A21">
              <w:rPr>
                <w:rFonts w:ascii="Aptos" w:hAnsi="Aptos" w:cstheme="minorHAnsi"/>
              </w:rPr>
              <w:t xml:space="preserve">rzeci kwartał </w:t>
            </w:r>
            <w:r w:rsidR="008C412D" w:rsidRPr="00D45966">
              <w:rPr>
                <w:rFonts w:ascii="Aptos" w:hAnsi="Aptos" w:cstheme="minorHAnsi"/>
              </w:rPr>
              <w:t>2026</w:t>
            </w:r>
          </w:p>
        </w:tc>
        <w:tc>
          <w:tcPr>
            <w:tcW w:w="1275" w:type="dxa"/>
          </w:tcPr>
          <w:p w14:paraId="7BC49A23" w14:textId="383A1950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405A17F7" w14:textId="524882E5" w:rsidR="008C412D" w:rsidRPr="00D45966" w:rsidRDefault="008C412D" w:rsidP="0063532E">
            <w:pPr>
              <w:rPr>
                <w:rFonts w:ascii="Aptos" w:hAnsi="Aptos" w:cstheme="minorHAnsi"/>
                <w:lang w:eastAsia="en-GB"/>
              </w:rPr>
            </w:pPr>
            <w:r w:rsidRPr="00D45966">
              <w:rPr>
                <w:rFonts w:ascii="Aptos" w:hAnsi="Aptos" w:cstheme="minorHAnsi"/>
              </w:rPr>
              <w:t>Interesariusze z obszaru cywilnego i obronnego, których celem jest wspieranie wspólnych działań ukierunkowanych na dostarczanie konkretnych systemów, narzędzi i technologii, w tym przedsiębiorstwa przemysłowe, ministerstwa i agencje obrony, MŚP i start-</w:t>
            </w:r>
            <w:proofErr w:type="spellStart"/>
            <w:r w:rsidRPr="00D45966">
              <w:rPr>
                <w:rFonts w:ascii="Aptos" w:hAnsi="Aptos" w:cstheme="minorHAnsi"/>
              </w:rPr>
              <w:t>upy</w:t>
            </w:r>
            <w:proofErr w:type="spellEnd"/>
            <w:r w:rsidRPr="00D45966">
              <w:rPr>
                <w:rFonts w:ascii="Aptos" w:hAnsi="Aptos" w:cstheme="minorHAnsi"/>
              </w:rPr>
              <w:t xml:space="preserve"> oraz inni istotni aktorzy odgrywający rolę w europejskim cywilnym i obronnym ekosystemie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</w:p>
        </w:tc>
      </w:tr>
      <w:tr w:rsidR="008C412D" w:rsidRPr="005216BC" w14:paraId="551AFD1B" w14:textId="77777777" w:rsidTr="00EF06E0">
        <w:trPr>
          <w:trHeight w:val="1124"/>
        </w:trPr>
        <w:tc>
          <w:tcPr>
            <w:tcW w:w="1689" w:type="dxa"/>
          </w:tcPr>
          <w:p w14:paraId="4231BDB0" w14:textId="1BA31F48" w:rsidR="008C412D" w:rsidRPr="00D45966" w:rsidRDefault="008C412D" w:rsidP="0063532E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Migration of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Hubs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to PQC </w:t>
            </w:r>
          </w:p>
        </w:tc>
        <w:tc>
          <w:tcPr>
            <w:tcW w:w="4685" w:type="dxa"/>
          </w:tcPr>
          <w:p w14:paraId="0946D00C" w14:textId="3173F58D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/>
              </w:rPr>
              <w:t xml:space="preserve">Celem naboru jest integracja rozwiązań kryptografii odpornej na ataki kwantowe (PQC) w infrastrukturze krajowych i transgranicznych Centrów </w:t>
            </w:r>
            <w:proofErr w:type="spellStart"/>
            <w:r w:rsidRPr="00D45966">
              <w:rPr>
                <w:rFonts w:ascii="Aptos" w:hAnsi="Aptos"/>
              </w:rPr>
              <w:t>Cyberbezpieczeństwa</w:t>
            </w:r>
            <w:proofErr w:type="spellEnd"/>
            <w:r w:rsidRPr="00D45966">
              <w:rPr>
                <w:rFonts w:ascii="Aptos" w:hAnsi="Aptos"/>
              </w:rPr>
              <w:t xml:space="preserve"> (</w:t>
            </w:r>
            <w:proofErr w:type="spellStart"/>
            <w:r w:rsidRPr="00D45966">
              <w:rPr>
                <w:rFonts w:ascii="Aptos" w:hAnsi="Aptos"/>
              </w:rPr>
              <w:t>Cyber</w:t>
            </w:r>
            <w:proofErr w:type="spellEnd"/>
            <w:r w:rsidRPr="00D45966">
              <w:rPr>
                <w:rFonts w:ascii="Aptos" w:hAnsi="Aptos"/>
              </w:rPr>
              <w:t xml:space="preserve"> </w:t>
            </w:r>
            <w:proofErr w:type="spellStart"/>
            <w:r w:rsidRPr="00D45966">
              <w:rPr>
                <w:rFonts w:ascii="Aptos" w:hAnsi="Aptos"/>
              </w:rPr>
              <w:t>Hubs</w:t>
            </w:r>
            <w:proofErr w:type="spellEnd"/>
            <w:r w:rsidRPr="00D45966">
              <w:rPr>
                <w:rFonts w:ascii="Aptos" w:hAnsi="Aptos"/>
              </w:rPr>
              <w:t>), w celu zapewnienia odporności cyfrowej na przyszłe zagrożenia. Wnioskodawcy powinni zaplanować i wdrożyć testy, komponenty sprzętowe i programowe oraz systemy zgodne z zasadą „</w:t>
            </w:r>
            <w:proofErr w:type="spellStart"/>
            <w:r w:rsidRPr="00D45966">
              <w:rPr>
                <w:rFonts w:ascii="Aptos" w:hAnsi="Aptos"/>
              </w:rPr>
              <w:t>crypto-agility</w:t>
            </w:r>
            <w:proofErr w:type="spellEnd"/>
            <w:r w:rsidRPr="00D45966">
              <w:rPr>
                <w:rFonts w:ascii="Aptos" w:hAnsi="Aptos"/>
              </w:rPr>
              <w:t xml:space="preserve">” i współpracować m.in. z ENISA oraz ECCG w zakresie walidacji i certyfikacji. </w:t>
            </w:r>
          </w:p>
        </w:tc>
        <w:tc>
          <w:tcPr>
            <w:tcW w:w="2268" w:type="dxa"/>
          </w:tcPr>
          <w:p w14:paraId="7CA81E4B" w14:textId="39CFC36E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6B39CEDE" w14:textId="10C845D5" w:rsidR="008C412D" w:rsidRPr="00D45966" w:rsidRDefault="008C412D" w:rsidP="0063532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4</w:t>
            </w:r>
            <w:r w:rsidRPr="00D45966">
              <w:rPr>
                <w:rFonts w:ascii="Aptos" w:hAnsi="Aptos" w:cstheme="minorHAnsi"/>
              </w:rPr>
              <w:t xml:space="preserve"> mln euro</w:t>
            </w:r>
          </w:p>
        </w:tc>
        <w:tc>
          <w:tcPr>
            <w:tcW w:w="1418" w:type="dxa"/>
          </w:tcPr>
          <w:p w14:paraId="23C211C9" w14:textId="1ECC61CD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2027</w:t>
            </w:r>
          </w:p>
        </w:tc>
        <w:tc>
          <w:tcPr>
            <w:tcW w:w="1275" w:type="dxa"/>
          </w:tcPr>
          <w:p w14:paraId="67311EAA" w14:textId="5D0542EA" w:rsidR="008C412D" w:rsidRPr="00D45966" w:rsidRDefault="008C412D" w:rsidP="0063532E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62724702" w14:textId="41E9E1F8" w:rsidR="008C412D" w:rsidRPr="00D45966" w:rsidRDefault="008C412D" w:rsidP="0063532E">
            <w:pPr>
              <w:rPr>
                <w:rFonts w:ascii="Aptos" w:hAnsi="Aptos" w:cstheme="minorHAnsi"/>
              </w:rPr>
            </w:pPr>
            <w:proofErr w:type="spellStart"/>
            <w:r w:rsidRPr="00D45966">
              <w:rPr>
                <w:rFonts w:ascii="Aptos" w:hAnsi="Aptos" w:cstheme="minorHAnsi"/>
              </w:rPr>
              <w:t>Cyber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Hubs</w:t>
            </w:r>
            <w:proofErr w:type="spellEnd"/>
            <w:r w:rsidRPr="00D45966">
              <w:rPr>
                <w:rFonts w:ascii="Aptos" w:hAnsi="Aptos" w:cstheme="minorHAnsi"/>
              </w:rPr>
              <w:t>, właściwe organy, dostawcy rozwiązań i usług z zakresu kryptografii odpornej na ataki kwantowe (PQC), inni odpowiedni interesariusze (publiczni lub prywatni)</w:t>
            </w:r>
          </w:p>
        </w:tc>
      </w:tr>
      <w:tr w:rsidR="00B45F20" w:rsidRPr="00D45966" w14:paraId="65B8E2AC" w14:textId="77777777" w:rsidTr="00EF06E0">
        <w:trPr>
          <w:trHeight w:val="1124"/>
        </w:trPr>
        <w:tc>
          <w:tcPr>
            <w:tcW w:w="1689" w:type="dxa"/>
          </w:tcPr>
          <w:p w14:paraId="19301DF7" w14:textId="77777777" w:rsidR="00B45F20" w:rsidRPr="00D45966" w:rsidRDefault="00B45F20" w:rsidP="00280682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Cybersecure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tools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technologies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and services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relying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on AI </w:t>
            </w:r>
          </w:p>
        </w:tc>
        <w:tc>
          <w:tcPr>
            <w:tcW w:w="4685" w:type="dxa"/>
          </w:tcPr>
          <w:p w14:paraId="65FA42C0" w14:textId="77777777" w:rsidR="00B45F20" w:rsidRPr="00D45966" w:rsidRDefault="00B45F20" w:rsidP="00280682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 xml:space="preserve">Wsparcie dla rozwoju i wdrażania narzędzi opartych na AI (w tym </w:t>
            </w:r>
            <w:proofErr w:type="spellStart"/>
            <w:r w:rsidRPr="00D45966">
              <w:rPr>
                <w:rFonts w:ascii="Aptos" w:hAnsi="Aptos"/>
              </w:rPr>
              <w:t>GenAI</w:t>
            </w:r>
            <w:proofErr w:type="spellEnd"/>
            <w:r w:rsidRPr="00D45966">
              <w:rPr>
                <w:rFonts w:ascii="Aptos" w:hAnsi="Aptos"/>
              </w:rPr>
              <w:t xml:space="preserve">) do analizy i reagowania na zagrożenia cybernetyczne dla organów publicznych, </w:t>
            </w:r>
            <w:proofErr w:type="spellStart"/>
            <w:r w:rsidRPr="00D45966">
              <w:rPr>
                <w:rFonts w:ascii="Aptos" w:hAnsi="Aptos"/>
              </w:rPr>
              <w:t>Cyber</w:t>
            </w:r>
            <w:proofErr w:type="spellEnd"/>
            <w:r w:rsidRPr="00D45966">
              <w:rPr>
                <w:rFonts w:ascii="Aptos" w:hAnsi="Aptos"/>
              </w:rPr>
              <w:t xml:space="preserve"> </w:t>
            </w:r>
            <w:proofErr w:type="spellStart"/>
            <w:r w:rsidRPr="00D45966">
              <w:rPr>
                <w:rFonts w:ascii="Aptos" w:hAnsi="Aptos"/>
              </w:rPr>
              <w:t>Hubs</w:t>
            </w:r>
            <w:proofErr w:type="spellEnd"/>
            <w:r w:rsidRPr="00D45966">
              <w:rPr>
                <w:rFonts w:ascii="Aptos" w:hAnsi="Aptos"/>
              </w:rPr>
              <w:t xml:space="preserve">, </w:t>
            </w:r>
            <w:proofErr w:type="spellStart"/>
            <w:r w:rsidRPr="00D45966">
              <w:rPr>
                <w:rFonts w:ascii="Aptos" w:hAnsi="Aptos"/>
              </w:rPr>
              <w:t>CSIRTs</w:t>
            </w:r>
            <w:proofErr w:type="spellEnd"/>
            <w:r w:rsidRPr="00D45966">
              <w:rPr>
                <w:rFonts w:ascii="Aptos" w:hAnsi="Aptos"/>
              </w:rPr>
              <w:t xml:space="preserve"> oraz podmiotów publicznych i prywatnych z dyrektywy NIS 2, </w:t>
            </w:r>
            <w:proofErr w:type="spellStart"/>
            <w:r w:rsidRPr="00D45966">
              <w:rPr>
                <w:rFonts w:ascii="Aptos" w:hAnsi="Aptos"/>
              </w:rPr>
              <w:t>NCCs</w:t>
            </w:r>
            <w:proofErr w:type="spellEnd"/>
            <w:r w:rsidRPr="00D45966">
              <w:rPr>
                <w:rFonts w:ascii="Aptos" w:hAnsi="Aptos"/>
              </w:rPr>
              <w:t xml:space="preserve"> itp. </w:t>
            </w:r>
          </w:p>
        </w:tc>
        <w:tc>
          <w:tcPr>
            <w:tcW w:w="2268" w:type="dxa"/>
          </w:tcPr>
          <w:p w14:paraId="4CDFBE87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Simple </w:t>
            </w:r>
            <w:proofErr w:type="spellStart"/>
            <w:r w:rsidRPr="00D45966">
              <w:rPr>
                <w:rFonts w:ascii="Aptos" w:hAnsi="Aptos" w:cstheme="minorHAnsi"/>
              </w:rPr>
              <w:t>Grants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50%)</w:t>
            </w:r>
          </w:p>
        </w:tc>
        <w:tc>
          <w:tcPr>
            <w:tcW w:w="1701" w:type="dxa"/>
          </w:tcPr>
          <w:p w14:paraId="3E9D27C5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15 mln euro</w:t>
            </w:r>
          </w:p>
        </w:tc>
        <w:tc>
          <w:tcPr>
            <w:tcW w:w="1418" w:type="dxa"/>
          </w:tcPr>
          <w:p w14:paraId="2E0B8B88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2027</w:t>
            </w:r>
          </w:p>
        </w:tc>
        <w:tc>
          <w:tcPr>
            <w:tcW w:w="1275" w:type="dxa"/>
          </w:tcPr>
          <w:p w14:paraId="0BF4A784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43CB34E4" w14:textId="74B1CEED" w:rsidR="00B45F20" w:rsidRPr="00D45966" w:rsidRDefault="00B45F20" w:rsidP="00280682">
            <w:pPr>
              <w:rPr>
                <w:rFonts w:ascii="Aptos" w:hAnsi="Aptos"/>
              </w:rPr>
            </w:pPr>
            <w:r w:rsidRPr="00D45966">
              <w:rPr>
                <w:rFonts w:ascii="Aptos" w:hAnsi="Aptos"/>
              </w:rPr>
              <w:t xml:space="preserve">Dostawcy technologii, </w:t>
            </w:r>
            <w:proofErr w:type="spellStart"/>
            <w:r w:rsidRPr="00D45966">
              <w:rPr>
                <w:rFonts w:ascii="Aptos" w:hAnsi="Aptos"/>
              </w:rPr>
              <w:t>Cyber</w:t>
            </w:r>
            <w:proofErr w:type="spellEnd"/>
            <w:r w:rsidRPr="00D45966">
              <w:rPr>
                <w:rFonts w:ascii="Aptos" w:hAnsi="Aptos"/>
              </w:rPr>
              <w:t xml:space="preserve"> </w:t>
            </w:r>
            <w:proofErr w:type="spellStart"/>
            <w:r w:rsidRPr="00D45966">
              <w:rPr>
                <w:rFonts w:ascii="Aptos" w:hAnsi="Aptos"/>
              </w:rPr>
              <w:t>Hubs</w:t>
            </w:r>
            <w:proofErr w:type="spellEnd"/>
            <w:r w:rsidRPr="00D45966">
              <w:rPr>
                <w:rFonts w:ascii="Aptos" w:hAnsi="Aptos"/>
              </w:rPr>
              <w:t xml:space="preserve">, jednostki sektora publicznego, podmioty NIS 2, uczelnie i inne instytucje badawcze, sektor prywatny, inne istotne podmioty </w:t>
            </w:r>
            <w:r w:rsidRPr="00D45966">
              <w:rPr>
                <w:rFonts w:ascii="Aptos" w:hAnsi="Aptos"/>
              </w:rPr>
              <w:lastRenderedPageBreak/>
              <w:t xml:space="preserve">wspierające wdrażanie AI do zastosowań w </w:t>
            </w:r>
            <w:proofErr w:type="spellStart"/>
            <w:r w:rsidRPr="00D45966">
              <w:rPr>
                <w:rFonts w:ascii="Aptos" w:hAnsi="Aptos"/>
              </w:rPr>
              <w:t>cyberbezpieczeństw</w:t>
            </w:r>
            <w:r>
              <w:rPr>
                <w:rFonts w:ascii="Aptos" w:hAnsi="Aptos"/>
              </w:rPr>
              <w:t>i</w:t>
            </w:r>
            <w:r w:rsidRPr="00D45966">
              <w:rPr>
                <w:rFonts w:ascii="Aptos" w:hAnsi="Aptos"/>
              </w:rPr>
              <w:t>e</w:t>
            </w:r>
            <w:proofErr w:type="spellEnd"/>
            <w:r w:rsidRPr="00D45966">
              <w:rPr>
                <w:rFonts w:ascii="Aptos" w:hAnsi="Aptos"/>
              </w:rPr>
              <w:t xml:space="preserve"> </w:t>
            </w:r>
          </w:p>
        </w:tc>
      </w:tr>
      <w:tr w:rsidR="00B45F20" w:rsidRPr="00D45966" w14:paraId="1E86860F" w14:textId="77777777" w:rsidTr="00EF06E0">
        <w:trPr>
          <w:trHeight w:val="1124"/>
        </w:trPr>
        <w:tc>
          <w:tcPr>
            <w:tcW w:w="1689" w:type="dxa"/>
          </w:tcPr>
          <w:p w14:paraId="7287BF89" w14:textId="77777777" w:rsidR="00B45F20" w:rsidRPr="00D45966" w:rsidRDefault="00B45F20" w:rsidP="00280682">
            <w:pPr>
              <w:rPr>
                <w:rFonts w:ascii="Aptos" w:hAnsi="Aptos"/>
                <w:b/>
                <w:bCs/>
                <w:lang w:val="en-GB"/>
              </w:rPr>
            </w:pPr>
            <w:proofErr w:type="spellStart"/>
            <w:r w:rsidRPr="00D45966">
              <w:rPr>
                <w:rFonts w:ascii="Aptos" w:hAnsi="Aptos"/>
                <w:b/>
                <w:bCs/>
              </w:rPr>
              <w:lastRenderedPageBreak/>
              <w:t>Uptake</w:t>
            </w:r>
            <w:proofErr w:type="spellEnd"/>
            <w:r w:rsidRPr="00D45966">
              <w:rPr>
                <w:rFonts w:ascii="Aptos" w:hAnsi="Aptos"/>
                <w:b/>
                <w:bCs/>
              </w:rPr>
              <w:t xml:space="preserve"> of </w:t>
            </w:r>
            <w:proofErr w:type="spellStart"/>
            <w:r w:rsidRPr="00D45966">
              <w:rPr>
                <w:rFonts w:ascii="Aptos" w:hAnsi="Aptos"/>
                <w:b/>
                <w:bCs/>
              </w:rPr>
              <w:t>innovative</w:t>
            </w:r>
            <w:proofErr w:type="spellEnd"/>
            <w:r w:rsidRPr="00D45966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</w:rPr>
              <w:t>cybersecurity</w:t>
            </w:r>
            <w:proofErr w:type="spellEnd"/>
            <w:r w:rsidRPr="00D45966">
              <w:rPr>
                <w:rFonts w:ascii="Aptos" w:hAnsi="Aptos"/>
                <w:b/>
                <w:bCs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</w:rPr>
              <w:t>solutions</w:t>
            </w:r>
            <w:proofErr w:type="spellEnd"/>
            <w:r w:rsidRPr="00D45966">
              <w:rPr>
                <w:rFonts w:ascii="Aptos" w:hAnsi="Aptos"/>
                <w:b/>
                <w:bCs/>
              </w:rPr>
              <w:t xml:space="preserve"> for </w:t>
            </w:r>
            <w:proofErr w:type="spellStart"/>
            <w:r w:rsidRPr="00D45966">
              <w:rPr>
                <w:rFonts w:ascii="Aptos" w:hAnsi="Aptos"/>
                <w:b/>
                <w:bCs/>
              </w:rPr>
              <w:t>SMEs</w:t>
            </w:r>
            <w:proofErr w:type="spellEnd"/>
            <w:r w:rsidRPr="00D45966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4685" w:type="dxa"/>
          </w:tcPr>
          <w:p w14:paraId="5CCBE760" w14:textId="77777777" w:rsidR="00B45F20" w:rsidRPr="00D45966" w:rsidRDefault="00B45F20" w:rsidP="00280682">
            <w:pPr>
              <w:rPr>
                <w:rFonts w:ascii="Aptos" w:hAnsi="Aptos"/>
              </w:rPr>
            </w:pPr>
            <w:r w:rsidRPr="00D45966">
              <w:rPr>
                <w:rFonts w:ascii="Aptos" w:hAnsi="Aptos" w:cstheme="minorHAnsi"/>
              </w:rPr>
              <w:t xml:space="preserve">Celem naboru jest zwiększenie gotowości przemysłowej i rynkowej MŚP do spełnienia wymagań unijnego prawa w zakresie </w:t>
            </w:r>
            <w:proofErr w:type="spellStart"/>
            <w:r w:rsidRPr="00D45966">
              <w:rPr>
                <w:rFonts w:ascii="Aptos" w:hAnsi="Aptos" w:cstheme="minorHAnsi"/>
              </w:rPr>
              <w:t>cyberbezpieczeństwa</w:t>
            </w:r>
            <w:proofErr w:type="spellEnd"/>
            <w:r w:rsidRPr="00D45966">
              <w:rPr>
                <w:rFonts w:ascii="Aptos" w:hAnsi="Aptos" w:cstheme="minorHAnsi"/>
              </w:rPr>
              <w:t>, w szczególności w kontekście aktu o odporności cybernetycznej (</w:t>
            </w:r>
            <w:proofErr w:type="spellStart"/>
            <w:r w:rsidRPr="00D45966">
              <w:rPr>
                <w:rFonts w:ascii="Aptos" w:hAnsi="Aptos" w:cstheme="minorHAnsi"/>
              </w:rPr>
              <w:t>Cyber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Resilience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Act</w:t>
            </w:r>
            <w:proofErr w:type="spellEnd"/>
            <w:r w:rsidRPr="00D45966">
              <w:rPr>
                <w:rFonts w:ascii="Aptos" w:hAnsi="Aptos" w:cstheme="minorHAnsi"/>
              </w:rPr>
              <w:t>). Działania mają wspierać rozwój innowacyjnych narzędzi i usług pomagających MŚP w zapewnieniu zgodności, reagowaniu na incydenty, współpracy z właściwymi organami oraz podnoszeniu odporności cybernetycznej w całym łańcuchu dostaw.</w:t>
            </w:r>
          </w:p>
        </w:tc>
        <w:tc>
          <w:tcPr>
            <w:tcW w:w="2268" w:type="dxa"/>
          </w:tcPr>
          <w:p w14:paraId="15782A6A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 xml:space="preserve">SME </w:t>
            </w:r>
            <w:proofErr w:type="spellStart"/>
            <w:r w:rsidRPr="00D45966">
              <w:rPr>
                <w:rFonts w:ascii="Aptos" w:hAnsi="Aptos" w:cstheme="minorHAnsi"/>
              </w:rPr>
              <w:t>support</w:t>
            </w:r>
            <w:proofErr w:type="spellEnd"/>
            <w:r w:rsidRPr="00D45966">
              <w:rPr>
                <w:rFonts w:ascii="Aptos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hAnsi="Aptos" w:cstheme="minorHAnsi"/>
              </w:rPr>
              <w:t>action</w:t>
            </w:r>
            <w:proofErr w:type="spellEnd"/>
            <w:r w:rsidRPr="00D45966">
              <w:rPr>
                <w:rFonts w:ascii="Aptos" w:hAnsi="Aptos" w:cstheme="minorHAnsi"/>
              </w:rPr>
              <w:t xml:space="preserve"> (poziom dofinansowania 50%, dla MŚP 75%)</w:t>
            </w:r>
          </w:p>
        </w:tc>
        <w:tc>
          <w:tcPr>
            <w:tcW w:w="1701" w:type="dxa"/>
          </w:tcPr>
          <w:p w14:paraId="3DFFE47F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15 mln euro</w:t>
            </w:r>
          </w:p>
        </w:tc>
        <w:tc>
          <w:tcPr>
            <w:tcW w:w="1418" w:type="dxa"/>
          </w:tcPr>
          <w:p w14:paraId="1CEDBAA0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2027</w:t>
            </w:r>
          </w:p>
        </w:tc>
        <w:tc>
          <w:tcPr>
            <w:tcW w:w="1275" w:type="dxa"/>
          </w:tcPr>
          <w:p w14:paraId="671D4179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6865A562" w14:textId="77777777" w:rsidR="00B45F20" w:rsidRPr="00D45966" w:rsidRDefault="00B45F20" w:rsidP="00280682">
            <w:pPr>
              <w:rPr>
                <w:rFonts w:ascii="Aptos" w:hAnsi="Aptos"/>
              </w:rPr>
            </w:pPr>
            <w:r w:rsidRPr="00D45966">
              <w:rPr>
                <w:rFonts w:ascii="Aptos" w:eastAsia="Calibri" w:hAnsi="Aptos" w:cstheme="minorHAnsi"/>
              </w:rPr>
              <w:t>MŚP, podmioty publiczne i prywatne wdrażające dyrektywę NIS 2 oraz akt o odporności cybernetycznej, środowisko naukowe i badawcze itp.</w:t>
            </w:r>
          </w:p>
        </w:tc>
      </w:tr>
      <w:tr w:rsidR="00B45F20" w:rsidRPr="00D45966" w14:paraId="38613260" w14:textId="77777777" w:rsidTr="00EF06E0">
        <w:trPr>
          <w:trHeight w:val="1124"/>
        </w:trPr>
        <w:tc>
          <w:tcPr>
            <w:tcW w:w="1689" w:type="dxa"/>
          </w:tcPr>
          <w:p w14:paraId="4ABE3211" w14:textId="77777777" w:rsidR="00B45F20" w:rsidRPr="00D45966" w:rsidRDefault="00B45F20" w:rsidP="00280682">
            <w:pPr>
              <w:pStyle w:val="Default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Cross-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Border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Cyber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>Hubs</w:t>
            </w:r>
            <w:proofErr w:type="spellEnd"/>
            <w:r w:rsidRPr="00D4596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85" w:type="dxa"/>
          </w:tcPr>
          <w:p w14:paraId="7D93860C" w14:textId="77777777" w:rsidR="00B45F20" w:rsidRDefault="00B45F20" w:rsidP="00280682">
            <w:pPr>
              <w:rPr>
                <w:rFonts w:ascii="Aptos" w:hAnsi="Aptos" w:cstheme="minorHAnsi"/>
              </w:rPr>
            </w:pPr>
            <w:r w:rsidRPr="009C7E28">
              <w:rPr>
                <w:rFonts w:ascii="Aptos" w:hAnsi="Aptos" w:cstheme="minorHAnsi"/>
              </w:rPr>
              <w:t xml:space="preserve">Utworzenie lub wzmocnienie transgranicznych </w:t>
            </w:r>
            <w:proofErr w:type="spellStart"/>
            <w:r w:rsidRPr="009C7E28">
              <w:rPr>
                <w:rFonts w:ascii="Aptos" w:hAnsi="Aptos" w:cstheme="minorHAnsi"/>
              </w:rPr>
              <w:t>hubów</w:t>
            </w:r>
            <w:proofErr w:type="spellEnd"/>
            <w:r w:rsidRPr="009C7E28">
              <w:rPr>
                <w:rFonts w:ascii="Aptos" w:hAnsi="Aptos" w:cstheme="minorHAnsi"/>
              </w:rPr>
              <w:t xml:space="preserve"> </w:t>
            </w:r>
            <w:proofErr w:type="spellStart"/>
            <w:r w:rsidRPr="009C7E28">
              <w:rPr>
                <w:rFonts w:ascii="Aptos" w:hAnsi="Aptos" w:cstheme="minorHAnsi"/>
              </w:rPr>
              <w:t>cyberbezpieczeństwa</w:t>
            </w:r>
            <w:proofErr w:type="spellEnd"/>
            <w:r w:rsidRPr="009C7E28">
              <w:rPr>
                <w:rFonts w:ascii="Aptos" w:hAnsi="Aptos" w:cstheme="minorHAnsi"/>
              </w:rPr>
              <w:t xml:space="preserve"> łączących kilka państw członkowskich, które będą wspólnie analizować dane o zagrożeniach, wymieniać informacje (CTI) i wspierać reakcję na incydenty w skali europejskiej.</w:t>
            </w:r>
          </w:p>
          <w:p w14:paraId="1F8A6C54" w14:textId="77777777" w:rsidR="00B45F20" w:rsidRDefault="00B45F20" w:rsidP="00280682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Działanie składa się z dwóch komponentów (</w:t>
            </w:r>
            <w:proofErr w:type="spellStart"/>
            <w:r>
              <w:rPr>
                <w:rFonts w:ascii="Aptos" w:hAnsi="Aptos" w:cstheme="minorHAnsi"/>
              </w:rPr>
              <w:t>workstreams</w:t>
            </w:r>
            <w:proofErr w:type="spellEnd"/>
            <w:r>
              <w:rPr>
                <w:rFonts w:ascii="Aptos" w:hAnsi="Aptos" w:cstheme="minorHAnsi"/>
              </w:rPr>
              <w:t>):</w:t>
            </w:r>
          </w:p>
          <w:p w14:paraId="1C6A90A2" w14:textId="77777777" w:rsidR="00B45F20" w:rsidRDefault="00B45F20" w:rsidP="00280682">
            <w:pPr>
              <w:rPr>
                <w:rFonts w:ascii="Aptos" w:hAnsi="Aptos" w:cstheme="minorHAnsi"/>
              </w:rPr>
            </w:pPr>
          </w:p>
          <w:p w14:paraId="3F3B6095" w14:textId="77777777" w:rsidR="00B45F20" w:rsidRPr="00A0020A" w:rsidRDefault="00B45F20" w:rsidP="00B45F20">
            <w:pPr>
              <w:pStyle w:val="Akapitzlist"/>
              <w:numPr>
                <w:ilvl w:val="0"/>
                <w:numId w:val="4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t xml:space="preserve">Joint </w:t>
            </w:r>
            <w:proofErr w:type="spellStart"/>
            <w:r w:rsidRPr="00A0020A">
              <w:rPr>
                <w:rFonts w:ascii="Aptos" w:hAnsi="Aptos" w:cstheme="minorHAnsi"/>
              </w:rPr>
              <w:t>Procurement</w:t>
            </w:r>
            <w:proofErr w:type="spellEnd"/>
            <w:r>
              <w:rPr>
                <w:rFonts w:ascii="Aptos" w:hAnsi="Aptos" w:cstheme="minorHAnsi"/>
              </w:rPr>
              <w:t xml:space="preserve"> - </w:t>
            </w:r>
            <w:r w:rsidRPr="00A0020A">
              <w:rPr>
                <w:rFonts w:ascii="Aptos" w:hAnsi="Aptos" w:cstheme="minorHAnsi"/>
              </w:rPr>
              <w:t xml:space="preserve">wspólne zamówienie publiczne z państwami członkowskimi na zakup infrastruktury, narzędzi i usług potrzebnych do działania </w:t>
            </w:r>
            <w:proofErr w:type="spellStart"/>
            <w:r w:rsidRPr="00A0020A">
              <w:rPr>
                <w:rFonts w:ascii="Aptos" w:hAnsi="Aptos" w:cstheme="minorHAnsi"/>
              </w:rPr>
              <w:t>hubu</w:t>
            </w:r>
            <w:proofErr w:type="spellEnd"/>
            <w:r w:rsidRPr="00A0020A">
              <w:rPr>
                <w:rFonts w:ascii="Aptos" w:hAnsi="Aptos" w:cstheme="minorHAnsi"/>
              </w:rPr>
              <w:t>; finansowanie 100% ze środków UE</w:t>
            </w:r>
            <w:r>
              <w:rPr>
                <w:rFonts w:ascii="Aptos" w:hAnsi="Aptos" w:cstheme="minorHAnsi"/>
              </w:rPr>
              <w:t>,</w:t>
            </w:r>
          </w:p>
          <w:p w14:paraId="63F503C7" w14:textId="77777777" w:rsidR="00B45F20" w:rsidRPr="00A0020A" w:rsidRDefault="00B45F20" w:rsidP="00280682">
            <w:pPr>
              <w:rPr>
                <w:rFonts w:ascii="Aptos" w:hAnsi="Aptos" w:cstheme="minorHAnsi"/>
              </w:rPr>
            </w:pPr>
          </w:p>
          <w:p w14:paraId="499EC65B" w14:textId="77777777" w:rsidR="00B45F20" w:rsidRPr="00A0020A" w:rsidRDefault="00B45F20" w:rsidP="00B45F20">
            <w:pPr>
              <w:pStyle w:val="Akapitzlist"/>
              <w:numPr>
                <w:ilvl w:val="0"/>
                <w:numId w:val="4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lastRenderedPageBreak/>
              <w:t>Simple Grant</w:t>
            </w:r>
            <w:r>
              <w:rPr>
                <w:rFonts w:ascii="Aptos" w:hAnsi="Aptos" w:cstheme="minorHAnsi"/>
              </w:rPr>
              <w:t xml:space="preserve"> - </w:t>
            </w:r>
            <w:r w:rsidRPr="00A0020A">
              <w:rPr>
                <w:rFonts w:ascii="Aptos" w:hAnsi="Aptos" w:cstheme="minorHAnsi"/>
              </w:rPr>
              <w:t xml:space="preserve">grant operacyjny dla tych samych podmiotów na uruchomienie i funkcjonowanie </w:t>
            </w:r>
            <w:proofErr w:type="spellStart"/>
            <w:r w:rsidRPr="00A0020A">
              <w:rPr>
                <w:rFonts w:ascii="Aptos" w:hAnsi="Aptos" w:cstheme="minorHAnsi"/>
              </w:rPr>
              <w:t>hubu</w:t>
            </w:r>
            <w:proofErr w:type="spellEnd"/>
            <w:r w:rsidRPr="00A0020A">
              <w:rPr>
                <w:rFonts w:ascii="Aptos" w:hAnsi="Aptos" w:cstheme="minorHAnsi"/>
              </w:rPr>
              <w:t>, pokrywający koszty personelu, analiz, utrzymania i współpracy międzynarodowej</w:t>
            </w:r>
            <w:r>
              <w:rPr>
                <w:rFonts w:ascii="Aptos" w:hAnsi="Aptos" w:cstheme="minorHAnsi"/>
              </w:rPr>
              <w:t xml:space="preserve">. </w:t>
            </w:r>
          </w:p>
          <w:p w14:paraId="6B2C5B76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</w:p>
        </w:tc>
        <w:tc>
          <w:tcPr>
            <w:tcW w:w="2268" w:type="dxa"/>
          </w:tcPr>
          <w:p w14:paraId="22DF5E46" w14:textId="77777777" w:rsidR="00EF06E0" w:rsidRDefault="00B45F20" w:rsidP="00280682">
            <w:pPr>
              <w:pStyle w:val="Akapitzlist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A0020A">
              <w:rPr>
                <w:rFonts w:ascii="Aptos" w:hAnsi="Aptos" w:cstheme="minorHAnsi"/>
              </w:rPr>
              <w:lastRenderedPageBreak/>
              <w:t xml:space="preserve">Call for </w:t>
            </w:r>
            <w:proofErr w:type="spellStart"/>
            <w:r w:rsidRPr="00A0020A">
              <w:rPr>
                <w:rFonts w:ascii="Aptos" w:hAnsi="Aptos" w:cstheme="minorHAnsi"/>
              </w:rPr>
              <w:t>Expression</w:t>
            </w:r>
            <w:proofErr w:type="spellEnd"/>
            <w:r w:rsidRPr="00A0020A">
              <w:rPr>
                <w:rFonts w:ascii="Aptos" w:hAnsi="Aptos" w:cstheme="minorHAnsi"/>
              </w:rPr>
              <w:t xml:space="preserve"> of </w:t>
            </w:r>
            <w:proofErr w:type="spellStart"/>
            <w:r w:rsidRPr="00A0020A">
              <w:rPr>
                <w:rFonts w:ascii="Aptos" w:hAnsi="Aptos" w:cstheme="minorHAnsi"/>
              </w:rPr>
              <w:t>Interest</w:t>
            </w:r>
            <w:proofErr w:type="spellEnd"/>
            <w:r w:rsidRPr="00A0020A">
              <w:rPr>
                <w:rFonts w:ascii="Aptos" w:hAnsi="Aptos" w:cstheme="minorHAnsi"/>
              </w:rPr>
              <w:t xml:space="preserve"> – </w:t>
            </w:r>
            <w:proofErr w:type="spellStart"/>
            <w:r w:rsidRPr="00A0020A">
              <w:rPr>
                <w:rFonts w:ascii="Aptos" w:hAnsi="Aptos" w:cstheme="minorHAnsi"/>
              </w:rPr>
              <w:t>workstream</w:t>
            </w:r>
            <w:proofErr w:type="spellEnd"/>
            <w:r w:rsidRPr="00A0020A">
              <w:rPr>
                <w:rFonts w:ascii="Aptos" w:hAnsi="Aptos" w:cstheme="minorHAnsi"/>
              </w:rPr>
              <w:t xml:space="preserve"> on Joint </w:t>
            </w:r>
            <w:proofErr w:type="spellStart"/>
            <w:r w:rsidRPr="00A0020A">
              <w:rPr>
                <w:rFonts w:ascii="Aptos" w:hAnsi="Aptos" w:cstheme="minorHAnsi"/>
              </w:rPr>
              <w:t>procurement</w:t>
            </w:r>
            <w:proofErr w:type="spellEnd"/>
            <w:r w:rsidRPr="00A0020A">
              <w:rPr>
                <w:rFonts w:ascii="Aptos" w:hAnsi="Aptos" w:cstheme="minorHAnsi"/>
              </w:rPr>
              <w:t xml:space="preserve"> with </w:t>
            </w:r>
            <w:proofErr w:type="spellStart"/>
            <w:r w:rsidRPr="00A0020A">
              <w:rPr>
                <w:rFonts w:ascii="Aptos" w:hAnsi="Aptos" w:cstheme="minorHAnsi"/>
              </w:rPr>
              <w:t>Member</w:t>
            </w:r>
            <w:proofErr w:type="spellEnd"/>
            <w:r w:rsidRPr="00A0020A">
              <w:rPr>
                <w:rFonts w:ascii="Aptos" w:hAnsi="Aptos" w:cstheme="minorHAnsi"/>
              </w:rPr>
              <w:t xml:space="preserve"> </w:t>
            </w:r>
            <w:proofErr w:type="spellStart"/>
            <w:r w:rsidRPr="00A0020A">
              <w:rPr>
                <w:rFonts w:ascii="Aptos" w:hAnsi="Aptos" w:cstheme="minorHAnsi"/>
              </w:rPr>
              <w:t>States</w:t>
            </w:r>
            <w:proofErr w:type="spellEnd"/>
          </w:p>
          <w:p w14:paraId="4FB9717F" w14:textId="77777777" w:rsidR="00EF06E0" w:rsidRDefault="00EF06E0" w:rsidP="00EF06E0">
            <w:pPr>
              <w:pStyle w:val="Akapitzlist"/>
              <w:rPr>
                <w:rFonts w:ascii="Aptos" w:hAnsi="Aptos" w:cstheme="minorHAnsi"/>
              </w:rPr>
            </w:pPr>
          </w:p>
          <w:p w14:paraId="5DB87852" w14:textId="6E305854" w:rsidR="00B45F20" w:rsidRPr="00EF06E0" w:rsidRDefault="00B45F20" w:rsidP="00280682">
            <w:pPr>
              <w:pStyle w:val="Akapitzlist"/>
              <w:numPr>
                <w:ilvl w:val="0"/>
                <w:numId w:val="5"/>
              </w:numPr>
              <w:rPr>
                <w:rFonts w:ascii="Aptos" w:hAnsi="Aptos" w:cstheme="minorHAnsi"/>
              </w:rPr>
            </w:pPr>
            <w:r w:rsidRPr="00EF06E0">
              <w:rPr>
                <w:rFonts w:ascii="Aptos" w:hAnsi="Aptos" w:cstheme="minorHAnsi"/>
              </w:rPr>
              <w:t xml:space="preserve">Call for </w:t>
            </w:r>
            <w:proofErr w:type="spellStart"/>
            <w:r w:rsidRPr="00EF06E0">
              <w:rPr>
                <w:rFonts w:ascii="Aptos" w:hAnsi="Aptos" w:cstheme="minorHAnsi"/>
              </w:rPr>
              <w:t>Proposals</w:t>
            </w:r>
            <w:proofErr w:type="spellEnd"/>
            <w:r w:rsidRPr="00EF06E0">
              <w:rPr>
                <w:rFonts w:ascii="Aptos" w:hAnsi="Aptos" w:cstheme="minorHAnsi"/>
              </w:rPr>
              <w:t xml:space="preserve"> – </w:t>
            </w:r>
            <w:proofErr w:type="spellStart"/>
            <w:r w:rsidRPr="00EF06E0">
              <w:rPr>
                <w:rFonts w:ascii="Aptos" w:hAnsi="Aptos" w:cstheme="minorHAnsi"/>
              </w:rPr>
              <w:t>workstream</w:t>
            </w:r>
            <w:proofErr w:type="spellEnd"/>
            <w:r w:rsidRPr="00EF06E0">
              <w:rPr>
                <w:rFonts w:ascii="Aptos" w:hAnsi="Aptos" w:cstheme="minorHAnsi"/>
              </w:rPr>
              <w:t xml:space="preserve"> on Simple </w:t>
            </w:r>
            <w:proofErr w:type="spellStart"/>
            <w:r w:rsidRPr="00EF06E0">
              <w:rPr>
                <w:rFonts w:ascii="Aptos" w:hAnsi="Aptos" w:cstheme="minorHAnsi"/>
              </w:rPr>
              <w:t>Grants</w:t>
            </w:r>
            <w:proofErr w:type="spellEnd"/>
          </w:p>
        </w:tc>
        <w:tc>
          <w:tcPr>
            <w:tcW w:w="1701" w:type="dxa"/>
          </w:tcPr>
          <w:p w14:paraId="08ECD076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15 mln euro</w:t>
            </w:r>
          </w:p>
        </w:tc>
        <w:tc>
          <w:tcPr>
            <w:tcW w:w="1418" w:type="dxa"/>
          </w:tcPr>
          <w:p w14:paraId="0005FD36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2027</w:t>
            </w:r>
          </w:p>
        </w:tc>
        <w:tc>
          <w:tcPr>
            <w:tcW w:w="1275" w:type="dxa"/>
          </w:tcPr>
          <w:p w14:paraId="00CFB8E4" w14:textId="77777777" w:rsidR="00B45F20" w:rsidRPr="00D45966" w:rsidRDefault="00B45F20" w:rsidP="00280682">
            <w:pPr>
              <w:rPr>
                <w:rFonts w:ascii="Aptos" w:hAnsi="Aptos" w:cstheme="minorHAnsi"/>
              </w:rPr>
            </w:pPr>
            <w:r w:rsidRPr="00D45966">
              <w:rPr>
                <w:rFonts w:ascii="Aptos" w:hAnsi="Aptos" w:cstheme="minorHAnsi"/>
              </w:rPr>
              <w:t>3 lata</w:t>
            </w:r>
          </w:p>
        </w:tc>
        <w:tc>
          <w:tcPr>
            <w:tcW w:w="2977" w:type="dxa"/>
          </w:tcPr>
          <w:p w14:paraId="3BF4C61E" w14:textId="77777777" w:rsidR="00B45F20" w:rsidRPr="00D45966" w:rsidRDefault="00B45F20" w:rsidP="00280682">
            <w:pPr>
              <w:rPr>
                <w:rFonts w:ascii="Aptos" w:eastAsia="Calibri" w:hAnsi="Aptos" w:cstheme="minorHAnsi"/>
              </w:rPr>
            </w:pPr>
            <w:r w:rsidRPr="00D45966">
              <w:rPr>
                <w:rFonts w:ascii="Aptos" w:eastAsia="Calibri" w:hAnsi="Aptos" w:cstheme="minorHAnsi"/>
              </w:rPr>
              <w:t xml:space="preserve">Organy publiczne wyznaczone jako </w:t>
            </w:r>
            <w:proofErr w:type="spellStart"/>
            <w:r w:rsidRPr="00D45966">
              <w:rPr>
                <w:rFonts w:ascii="Aptos" w:eastAsia="Calibri" w:hAnsi="Aptos" w:cstheme="minorHAnsi"/>
              </w:rPr>
              <w:t>National</w:t>
            </w:r>
            <w:proofErr w:type="spellEnd"/>
            <w:r w:rsidRPr="00D45966">
              <w:rPr>
                <w:rFonts w:ascii="Aptos" w:eastAsia="Calibri" w:hAnsi="Aptos" w:cstheme="minorHAnsi"/>
              </w:rPr>
              <w:t xml:space="preserve"> </w:t>
            </w:r>
            <w:proofErr w:type="spellStart"/>
            <w:r w:rsidRPr="00D45966">
              <w:rPr>
                <w:rFonts w:ascii="Aptos" w:eastAsia="Calibri" w:hAnsi="Aptos" w:cstheme="minorHAnsi"/>
              </w:rPr>
              <w:t>Cyber</w:t>
            </w:r>
            <w:proofErr w:type="spellEnd"/>
            <w:r w:rsidRPr="00D45966">
              <w:rPr>
                <w:rFonts w:ascii="Aptos" w:eastAsia="Calibri" w:hAnsi="Aptos" w:cstheme="minorHAnsi"/>
              </w:rPr>
              <w:t xml:space="preserve"> Hub w państwach członkowskich</w:t>
            </w:r>
          </w:p>
        </w:tc>
      </w:tr>
    </w:tbl>
    <w:p w14:paraId="25C33055" w14:textId="77777777" w:rsidR="005216BC" w:rsidRDefault="005216BC"/>
    <w:sectPr w:rsidR="005216BC" w:rsidSect="003A49ED">
      <w:pgSz w:w="16838" w:h="11906" w:orient="landscape"/>
      <w:pgMar w:top="1417" w:right="39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E5CA6"/>
    <w:multiLevelType w:val="hybridMultilevel"/>
    <w:tmpl w:val="959E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1B48"/>
    <w:multiLevelType w:val="hybridMultilevel"/>
    <w:tmpl w:val="CF9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C112F"/>
    <w:multiLevelType w:val="hybridMultilevel"/>
    <w:tmpl w:val="17706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F1DF9"/>
    <w:multiLevelType w:val="hybridMultilevel"/>
    <w:tmpl w:val="7F066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A6D6F"/>
    <w:multiLevelType w:val="multilevel"/>
    <w:tmpl w:val="62AE3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3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56292214">
    <w:abstractNumId w:val="4"/>
  </w:num>
  <w:num w:numId="2" w16cid:durableId="731781382">
    <w:abstractNumId w:val="3"/>
  </w:num>
  <w:num w:numId="3" w16cid:durableId="2030718672">
    <w:abstractNumId w:val="0"/>
  </w:num>
  <w:num w:numId="4" w16cid:durableId="268704012">
    <w:abstractNumId w:val="2"/>
  </w:num>
  <w:num w:numId="5" w16cid:durableId="80108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ED"/>
    <w:rsid w:val="000126DB"/>
    <w:rsid w:val="00072626"/>
    <w:rsid w:val="00076FD1"/>
    <w:rsid w:val="0008022C"/>
    <w:rsid w:val="000B28A4"/>
    <w:rsid w:val="000C59BD"/>
    <w:rsid w:val="000F0933"/>
    <w:rsid w:val="00142BC1"/>
    <w:rsid w:val="00222F96"/>
    <w:rsid w:val="00236429"/>
    <w:rsid w:val="00264679"/>
    <w:rsid w:val="002A57AC"/>
    <w:rsid w:val="002A58B8"/>
    <w:rsid w:val="00320F26"/>
    <w:rsid w:val="00351BC4"/>
    <w:rsid w:val="003A49ED"/>
    <w:rsid w:val="003A5839"/>
    <w:rsid w:val="003D42BF"/>
    <w:rsid w:val="003F277F"/>
    <w:rsid w:val="004542CD"/>
    <w:rsid w:val="00492B72"/>
    <w:rsid w:val="004A2AA0"/>
    <w:rsid w:val="004F1CC5"/>
    <w:rsid w:val="005216BC"/>
    <w:rsid w:val="00522DED"/>
    <w:rsid w:val="00553573"/>
    <w:rsid w:val="005A32DD"/>
    <w:rsid w:val="005B5364"/>
    <w:rsid w:val="0063532E"/>
    <w:rsid w:val="00687464"/>
    <w:rsid w:val="006D5680"/>
    <w:rsid w:val="00703762"/>
    <w:rsid w:val="007843A9"/>
    <w:rsid w:val="007A2548"/>
    <w:rsid w:val="007A4413"/>
    <w:rsid w:val="007C1AA2"/>
    <w:rsid w:val="007D2F45"/>
    <w:rsid w:val="00800677"/>
    <w:rsid w:val="00852ACA"/>
    <w:rsid w:val="00870FB1"/>
    <w:rsid w:val="0087690F"/>
    <w:rsid w:val="008C412D"/>
    <w:rsid w:val="008F7120"/>
    <w:rsid w:val="00903909"/>
    <w:rsid w:val="0095673C"/>
    <w:rsid w:val="009B56F2"/>
    <w:rsid w:val="009C7E28"/>
    <w:rsid w:val="009E3F2B"/>
    <w:rsid w:val="00A0020A"/>
    <w:rsid w:val="00A77D15"/>
    <w:rsid w:val="00A80F74"/>
    <w:rsid w:val="00AF0603"/>
    <w:rsid w:val="00B325C6"/>
    <w:rsid w:val="00B45F20"/>
    <w:rsid w:val="00B55A21"/>
    <w:rsid w:val="00B86860"/>
    <w:rsid w:val="00C126C7"/>
    <w:rsid w:val="00C940CB"/>
    <w:rsid w:val="00D45966"/>
    <w:rsid w:val="00D62C4F"/>
    <w:rsid w:val="00D67451"/>
    <w:rsid w:val="00D72543"/>
    <w:rsid w:val="00D97F4E"/>
    <w:rsid w:val="00DD0DE0"/>
    <w:rsid w:val="00DE107B"/>
    <w:rsid w:val="00E00D77"/>
    <w:rsid w:val="00E06713"/>
    <w:rsid w:val="00E83B96"/>
    <w:rsid w:val="00E90A99"/>
    <w:rsid w:val="00EC7602"/>
    <w:rsid w:val="00EF06E0"/>
    <w:rsid w:val="00F11FE0"/>
    <w:rsid w:val="00F25B1E"/>
    <w:rsid w:val="00FA5E60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8B9E"/>
  <w15:chartTrackingRefBased/>
  <w15:docId w15:val="{9B8FBC24-AD3E-4F27-AB55-976517C5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F20"/>
  </w:style>
  <w:style w:type="paragraph" w:styleId="Nagwek1">
    <w:name w:val="heading 1"/>
    <w:basedOn w:val="Normalny"/>
    <w:next w:val="Normalny"/>
    <w:link w:val="Nagwek1Znak"/>
    <w:uiPriority w:val="9"/>
    <w:qFormat/>
    <w:rsid w:val="003A4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4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A4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9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9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9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9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9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9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9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9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9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9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9E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A4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ext">
    <w:name w:val="Normal_text"/>
    <w:basedOn w:val="Normalny"/>
    <w:link w:val="NormaltextChar"/>
    <w:qFormat/>
    <w:rsid w:val="003A49ED"/>
    <w:pPr>
      <w:spacing w:before="120" w:after="0" w:line="240" w:lineRule="auto"/>
      <w:jc w:val="both"/>
    </w:pPr>
    <w:rPr>
      <w:rFonts w:ascii="Calibri" w:eastAsia="Calibri" w:hAnsi="Calibri" w:cs="Times New Roman"/>
      <w:kern w:val="0"/>
      <w:lang w:val="en-IE"/>
      <w14:ligatures w14:val="none"/>
    </w:rPr>
  </w:style>
  <w:style w:type="character" w:customStyle="1" w:styleId="NormaltextChar">
    <w:name w:val="Normal_text Char"/>
    <w:link w:val="Normaltext"/>
    <w:rsid w:val="003A49ED"/>
    <w:rPr>
      <w:rFonts w:ascii="Calibri" w:eastAsia="Calibri" w:hAnsi="Calibri" w:cs="Times New Roman"/>
      <w:kern w:val="0"/>
      <w:lang w:val="en-IE"/>
      <w14:ligatures w14:val="none"/>
    </w:rPr>
  </w:style>
  <w:style w:type="paragraph" w:customStyle="1" w:styleId="Default">
    <w:name w:val="Default"/>
    <w:rsid w:val="00876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ABBF7-FF8E-4BA6-98DE-3E336DC1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1478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Dzikliński</dc:creator>
  <cp:keywords/>
  <dc:description/>
  <cp:lastModifiedBy>Adrian Gazarkiewicz</cp:lastModifiedBy>
  <cp:revision>13</cp:revision>
  <dcterms:created xsi:type="dcterms:W3CDTF">2025-08-05T11:23:00Z</dcterms:created>
  <dcterms:modified xsi:type="dcterms:W3CDTF">2026-06-15T12:24:00Z</dcterms:modified>
</cp:coreProperties>
</file>