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3E5" w:rsidRPr="002C0102" w:rsidRDefault="00A053E5" w:rsidP="00A053E5">
      <w:pPr>
        <w:pStyle w:val="Akapitzlist"/>
        <w:suppressAutoHyphens/>
        <w:autoSpaceDE w:val="0"/>
        <w:autoSpaceDN w:val="0"/>
        <w:adjustRightInd w:val="0"/>
        <w:spacing w:after="0" w:line="240" w:lineRule="auto"/>
        <w:ind w:left="284"/>
        <w:jc w:val="center"/>
        <w:rPr>
          <w:rFonts w:eastAsia="Times New Roman" w:cs="Arial"/>
          <w:b/>
          <w:bCs/>
          <w:sz w:val="20"/>
          <w:u w:val="single"/>
        </w:rPr>
      </w:pPr>
      <w:bookmarkStart w:id="0" w:name="_GoBack"/>
      <w:r>
        <w:rPr>
          <w:b/>
          <w:bCs/>
          <w:sz w:val="20"/>
          <w:u w:val="single"/>
        </w:rPr>
        <w:t>Detailed information regarding the legal grounds, purpose and period of personal data processing in relation to particular activities performed by the consul of the Republic of Poland</w:t>
      </w:r>
      <w:bookmarkEnd w:id="0"/>
    </w:p>
    <w:p w:rsidR="00A053E5" w:rsidRPr="008A3E01" w:rsidRDefault="00A053E5" w:rsidP="00A053E5">
      <w:pPr>
        <w:pStyle w:val="Akapitzlist"/>
        <w:suppressAutoHyphens/>
        <w:autoSpaceDE w:val="0"/>
        <w:autoSpaceDN w:val="0"/>
        <w:adjustRightInd w:val="0"/>
        <w:spacing w:after="0" w:line="240" w:lineRule="auto"/>
        <w:ind w:left="284"/>
        <w:jc w:val="both"/>
        <w:rPr>
          <w:rFonts w:eastAsia="Times New Roman" w:cs="Arial"/>
          <w:bCs/>
          <w:i/>
          <w:sz w:val="20"/>
          <w:lang w:eastAsia="pl-PL"/>
        </w:rPr>
      </w:pPr>
    </w:p>
    <w:tbl>
      <w:tblPr>
        <w:tblStyle w:val="Tabela-Siatka"/>
        <w:tblW w:w="16381" w:type="dxa"/>
        <w:tblLook w:val="04A0" w:firstRow="1" w:lastRow="0" w:firstColumn="1" w:lastColumn="0" w:noHBand="0" w:noVBand="1"/>
      </w:tblPr>
      <w:tblGrid>
        <w:gridCol w:w="2235"/>
        <w:gridCol w:w="4365"/>
        <w:gridCol w:w="6521"/>
        <w:gridCol w:w="3260"/>
      </w:tblGrid>
      <w:tr w:rsidR="00A053E5" w:rsidTr="00CA4AA1">
        <w:trPr>
          <w:trHeight w:val="391"/>
        </w:trPr>
        <w:tc>
          <w:tcPr>
            <w:tcW w:w="2235" w:type="dxa"/>
          </w:tcPr>
          <w:p w:rsidR="00A053E5" w:rsidRPr="00857CEF" w:rsidRDefault="00A053E5" w:rsidP="00CA4AA1">
            <w:pPr>
              <w:pStyle w:val="Akapitzlist"/>
              <w:suppressAutoHyphens/>
              <w:autoSpaceDE w:val="0"/>
              <w:autoSpaceDN w:val="0"/>
              <w:adjustRightInd w:val="0"/>
              <w:ind w:left="284"/>
              <w:jc w:val="both"/>
              <w:rPr>
                <w:rFonts w:eastAsia="Times New Roman" w:cs="Arial"/>
                <w:b/>
                <w:bCs/>
                <w:sz w:val="18"/>
                <w:szCs w:val="18"/>
                <w:lang w:eastAsia="pl-PL"/>
              </w:rPr>
            </w:pPr>
          </w:p>
        </w:tc>
        <w:tc>
          <w:tcPr>
            <w:tcW w:w="436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GROUNDS</w:t>
            </w:r>
          </w:p>
        </w:tc>
        <w:tc>
          <w:tcPr>
            <w:tcW w:w="6521"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PURPOSE</w:t>
            </w:r>
          </w:p>
        </w:tc>
        <w:tc>
          <w:tcPr>
            <w:tcW w:w="3260"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PERIOD</w:t>
            </w:r>
          </w:p>
        </w:tc>
      </w:tr>
      <w:tr w:rsidR="00A053E5" w:rsidTr="00CA4AA1">
        <w:trPr>
          <w:trHeight w:val="1120"/>
        </w:trPr>
        <w:tc>
          <w:tcPr>
            <w:tcW w:w="2235" w:type="dxa"/>
            <w:vAlign w:val="center"/>
          </w:tcPr>
          <w:p w:rsidR="00A053E5" w:rsidRPr="00857CEF" w:rsidRDefault="00A053E5" w:rsidP="00CA4AA1">
            <w:pPr>
              <w:suppressAutoHyphens/>
              <w:autoSpaceDE w:val="0"/>
              <w:autoSpaceDN w:val="0"/>
              <w:adjustRightInd w:val="0"/>
              <w:jc w:val="center"/>
              <w:rPr>
                <w:rFonts w:eastAsia="Times New Roman" w:cs="Arial"/>
                <w:b/>
                <w:bCs/>
                <w:sz w:val="18"/>
                <w:szCs w:val="18"/>
              </w:rPr>
            </w:pPr>
            <w:r>
              <w:rPr>
                <w:b/>
                <w:bCs/>
                <w:sz w:val="18"/>
                <w:szCs w:val="18"/>
              </w:rPr>
              <w:t>Cases relating to lost documents and transferring found documents</w:t>
            </w:r>
          </w:p>
        </w:tc>
        <w:tc>
          <w:tcPr>
            <w:tcW w:w="4365" w:type="dxa"/>
            <w:vAlign w:val="center"/>
          </w:tcPr>
          <w:p w:rsidR="00A053E5" w:rsidRPr="00857CEF" w:rsidRDefault="00A053E5" w:rsidP="00CA4AA1">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 Act of 6 August 2010 on identity cards</w:t>
            </w:r>
          </w:p>
        </w:tc>
        <w:tc>
          <w:tcPr>
            <w:tcW w:w="6521" w:type="dxa"/>
            <w:vAlign w:val="center"/>
          </w:tcPr>
          <w:p w:rsidR="00A053E5" w:rsidRPr="00857CEF" w:rsidRDefault="00A053E5" w:rsidP="00CA4AA1">
            <w:pPr>
              <w:suppressAutoHyphens/>
              <w:autoSpaceDE w:val="0"/>
              <w:autoSpaceDN w:val="0"/>
              <w:adjustRightInd w:val="0"/>
              <w:jc w:val="both"/>
              <w:rPr>
                <w:rFonts w:eastAsia="Times New Roman" w:cs="Arial"/>
                <w:bCs/>
                <w:sz w:val="18"/>
                <w:szCs w:val="18"/>
              </w:rPr>
            </w:pPr>
            <w:r>
              <w:rPr>
                <w:bCs/>
                <w:sz w:val="18"/>
                <w:szCs w:val="18"/>
              </w:rPr>
              <w:t>Completing the report of loss or damage of the ID card and issuing a certificate of loss or damage of the ID card. Transferring vehicle registration cards and driving licenses to Poland.</w:t>
            </w:r>
          </w:p>
        </w:tc>
        <w:tc>
          <w:tcPr>
            <w:tcW w:w="3260" w:type="dxa"/>
            <w:vAlign w:val="center"/>
          </w:tcPr>
          <w:p w:rsidR="00A053E5" w:rsidRDefault="00A053E5" w:rsidP="00CA4AA1">
            <w:pPr>
              <w:suppressAutoHyphens/>
              <w:autoSpaceDE w:val="0"/>
              <w:autoSpaceDN w:val="0"/>
              <w:adjustRightInd w:val="0"/>
              <w:rPr>
                <w:sz w:val="18"/>
                <w:szCs w:val="18"/>
              </w:rPr>
            </w:pPr>
            <w:r>
              <w:rPr>
                <w:bCs/>
                <w:sz w:val="18"/>
                <w:szCs w:val="18"/>
              </w:rPr>
              <w:t>5 years</w:t>
            </w:r>
          </w:p>
          <w:p w:rsidR="00A053E5" w:rsidRPr="00494496" w:rsidRDefault="00A053E5" w:rsidP="00CA4AA1">
            <w:pPr>
              <w:suppressAutoHyphens/>
              <w:autoSpaceDE w:val="0"/>
              <w:autoSpaceDN w:val="0"/>
              <w:adjustRightInd w:val="0"/>
              <w:rPr>
                <w:rFonts w:eastAsia="Times New Roman" w:cs="Arial"/>
                <w:bCs/>
                <w:sz w:val="18"/>
                <w:szCs w:val="18"/>
                <w:lang w:eastAsia="pl-PL"/>
              </w:rPr>
            </w:pP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Visa cases</w:t>
            </w:r>
          </w:p>
        </w:tc>
        <w:tc>
          <w:tcPr>
            <w:tcW w:w="4365" w:type="dxa"/>
            <w:vAlign w:val="center"/>
          </w:tcPr>
          <w:p w:rsidR="00A053E5" w:rsidRPr="00E2455D" w:rsidRDefault="00A053E5" w:rsidP="00CA4AA1">
            <w:pPr>
              <w:jc w:val="both"/>
              <w:rPr>
                <w:rFonts w:cs="Arial"/>
                <w:sz w:val="18"/>
                <w:szCs w:val="18"/>
              </w:rPr>
            </w:pPr>
            <w:r>
              <w:rPr>
                <w:sz w:val="18"/>
                <w:szCs w:val="18"/>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rsidR="00A053E5" w:rsidRPr="00857CEF" w:rsidRDefault="00A053E5" w:rsidP="00CA4AA1">
            <w:pPr>
              <w:pStyle w:val="Akapitzlist"/>
              <w:suppressAutoHyphens/>
              <w:autoSpaceDE w:val="0"/>
              <w:autoSpaceDN w:val="0"/>
              <w:adjustRightInd w:val="0"/>
              <w:spacing w:after="120"/>
              <w:ind w:left="0"/>
              <w:contextualSpacing w:val="0"/>
              <w:jc w:val="both"/>
              <w:rPr>
                <w:rFonts w:eastAsia="Times New Roman" w:cs="Arial"/>
                <w:bCs/>
                <w:sz w:val="18"/>
                <w:szCs w:val="18"/>
              </w:rPr>
            </w:pPr>
            <w:r>
              <w:rPr>
                <w:bCs/>
                <w:sz w:val="18"/>
                <w:szCs w:val="18"/>
              </w:rPr>
              <w:t>Issuing or refusing to issue a Schengen visa or a national visa, withdrawing or cancelling visas, and settling the application for a re-examination of the visa application.</w:t>
            </w:r>
          </w:p>
        </w:tc>
        <w:tc>
          <w:tcPr>
            <w:tcW w:w="3260" w:type="dxa"/>
            <w:vAlign w:val="center"/>
          </w:tcPr>
          <w:p w:rsidR="00A053E5" w:rsidRPr="00857CEF" w:rsidRDefault="00A053E5" w:rsidP="00CA4AA1">
            <w:pPr>
              <w:pStyle w:val="Akapitzlist"/>
              <w:suppressAutoHyphens/>
              <w:autoSpaceDE w:val="0"/>
              <w:autoSpaceDN w:val="0"/>
              <w:adjustRightInd w:val="0"/>
              <w:ind w:left="0"/>
              <w:rPr>
                <w:rFonts w:eastAsia="Times New Roman" w:cs="Arial"/>
                <w:bCs/>
                <w:sz w:val="18"/>
                <w:szCs w:val="18"/>
              </w:rPr>
            </w:pPr>
            <w:r>
              <w:rPr>
                <w:bCs/>
                <w:sz w:val="18"/>
                <w:szCs w:val="18"/>
              </w:rPr>
              <w:t>2 years (from the date of the decision)</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Translation cases</w:t>
            </w:r>
          </w:p>
        </w:tc>
        <w:tc>
          <w:tcPr>
            <w:tcW w:w="4365" w:type="dxa"/>
            <w:vAlign w:val="center"/>
          </w:tcPr>
          <w:p w:rsidR="00A053E5" w:rsidRPr="00857CEF" w:rsidRDefault="00A053E5" w:rsidP="00CA4AA1">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Act of 25 June 2015 — Consular law                               </w:t>
            </w:r>
          </w:p>
        </w:tc>
        <w:tc>
          <w:tcPr>
            <w:tcW w:w="6521" w:type="dxa"/>
            <w:vAlign w:val="center"/>
          </w:tcPr>
          <w:p w:rsidR="00A053E5" w:rsidRPr="00857CEF" w:rsidRDefault="00A053E5" w:rsidP="00CA4AA1">
            <w:pPr>
              <w:pStyle w:val="Akapitzlist"/>
              <w:suppressAutoHyphens/>
              <w:autoSpaceDE w:val="0"/>
              <w:autoSpaceDN w:val="0"/>
              <w:adjustRightInd w:val="0"/>
              <w:ind w:left="0"/>
              <w:contextualSpacing w:val="0"/>
              <w:jc w:val="both"/>
              <w:rPr>
                <w:rFonts w:cs="Arial"/>
                <w:sz w:val="18"/>
                <w:szCs w:val="18"/>
              </w:rPr>
            </w:pPr>
            <w:r>
              <w:rPr>
                <w:sz w:val="18"/>
                <w:szCs w:val="18"/>
              </w:rPr>
              <w:t>Preparing translations of documents, certifying translations</w:t>
            </w:r>
          </w:p>
          <w:p w:rsidR="00A053E5" w:rsidRPr="00857CEF" w:rsidRDefault="00A053E5" w:rsidP="00CA4AA1">
            <w:pPr>
              <w:pStyle w:val="Akapitzlist"/>
              <w:suppressAutoHyphens/>
              <w:autoSpaceDE w:val="0"/>
              <w:autoSpaceDN w:val="0"/>
              <w:adjustRightInd w:val="0"/>
              <w:ind w:left="0"/>
              <w:contextualSpacing w:val="0"/>
              <w:jc w:val="both"/>
              <w:rPr>
                <w:rFonts w:eastAsia="Times New Roman" w:cs="Arial"/>
                <w:b/>
                <w:bCs/>
                <w:sz w:val="18"/>
                <w:szCs w:val="18"/>
                <w:lang w:eastAsia="pl-PL"/>
              </w:rPr>
            </w:pPr>
          </w:p>
        </w:tc>
        <w:tc>
          <w:tcPr>
            <w:tcW w:w="3260" w:type="dxa"/>
            <w:vAlign w:val="center"/>
          </w:tcPr>
          <w:p w:rsidR="00A053E5" w:rsidRPr="00857CEF"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Consular assistance cases</w:t>
            </w:r>
          </w:p>
        </w:tc>
        <w:tc>
          <w:tcPr>
            <w:tcW w:w="4365" w:type="dxa"/>
            <w:vAlign w:val="center"/>
          </w:tcPr>
          <w:p w:rsidR="00A053E5" w:rsidRPr="0044628B" w:rsidRDefault="00A053E5" w:rsidP="00CA4AA1">
            <w:pPr>
              <w:pStyle w:val="Akapitzlist"/>
              <w:suppressAutoHyphens/>
              <w:autoSpaceDE w:val="0"/>
              <w:autoSpaceDN w:val="0"/>
              <w:adjustRightInd w:val="0"/>
              <w:ind w:left="0"/>
              <w:jc w:val="both"/>
              <w:rPr>
                <w:rFonts w:eastAsia="Times New Roman" w:cs="Arial"/>
                <w:b/>
                <w:bCs/>
                <w:sz w:val="18"/>
                <w:szCs w:val="18"/>
                <w:highlight w:val="yellow"/>
              </w:rPr>
            </w:pPr>
            <w:r w:rsidRPr="00A053E5">
              <w:rPr>
                <w:sz w:val="18"/>
                <w:szCs w:val="18"/>
              </w:rPr>
              <w:t>Act of 25 June 2015 — Consular law and in conjunction with Articles 6(1)(c) and (d), Article 9(2)(c) and  Article 10 of the GDPR</w:t>
            </w:r>
          </w:p>
        </w:tc>
        <w:tc>
          <w:tcPr>
            <w:tcW w:w="6521" w:type="dxa"/>
            <w:vAlign w:val="center"/>
          </w:tcPr>
          <w:p w:rsidR="00A053E5" w:rsidRPr="00857CEF"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consular assistance </w:t>
            </w:r>
          </w:p>
        </w:tc>
        <w:tc>
          <w:tcPr>
            <w:tcW w:w="3260" w:type="dxa"/>
            <w:vAlign w:val="center"/>
          </w:tcPr>
          <w:p w:rsidR="00A053E5" w:rsidRPr="00857CEF" w:rsidRDefault="00A053E5" w:rsidP="00CA4AA1">
            <w:pPr>
              <w:pStyle w:val="Akapitzlist"/>
              <w:suppressAutoHyphens/>
              <w:autoSpaceDE w:val="0"/>
              <w:autoSpaceDN w:val="0"/>
              <w:adjustRightInd w:val="0"/>
              <w:ind w:left="0"/>
              <w:rPr>
                <w:rFonts w:eastAsia="Times New Roman" w:cs="Arial"/>
                <w:bCs/>
                <w:sz w:val="18"/>
                <w:szCs w:val="18"/>
              </w:rPr>
            </w:pPr>
            <w:r>
              <w:rPr>
                <w:sz w:val="18"/>
                <w:szCs w:val="18"/>
              </w:rPr>
              <w:t>5 years (with the exception of personal data relating to the return of accepted deposits or return of items found that are processed with no time limit)</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assistance cases</w:t>
            </w:r>
          </w:p>
        </w:tc>
        <w:tc>
          <w:tcPr>
            <w:tcW w:w="4365" w:type="dxa"/>
            <w:vAlign w:val="center"/>
          </w:tcPr>
          <w:p w:rsidR="00A053E5" w:rsidRPr="00A80E82" w:rsidRDefault="00A053E5" w:rsidP="00CA4AA1">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 xml:space="preserve">Act of 25 June 2015 — Consular law </w:t>
            </w:r>
          </w:p>
        </w:tc>
        <w:tc>
          <w:tcPr>
            <w:tcW w:w="6521" w:type="dxa"/>
            <w:vAlign w:val="center"/>
          </w:tcPr>
          <w:p w:rsidR="00A053E5" w:rsidRPr="00857CEF"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Delivering letters, hearings, submitting information to the competent authority, court or prosecutor pursuant to a legal assistance application</w:t>
            </w:r>
          </w:p>
        </w:tc>
        <w:tc>
          <w:tcPr>
            <w:tcW w:w="3260" w:type="dxa"/>
            <w:vAlign w:val="center"/>
          </w:tcPr>
          <w:p w:rsidR="00A053E5" w:rsidRPr="00857CEF" w:rsidRDefault="00A053E5" w:rsidP="00CA4AA1">
            <w:pPr>
              <w:pStyle w:val="Akapitzlist"/>
              <w:suppressAutoHyphens/>
              <w:autoSpaceDE w:val="0"/>
              <w:autoSpaceDN w:val="0"/>
              <w:adjustRightInd w:val="0"/>
              <w:spacing w:after="60"/>
              <w:ind w:left="0"/>
              <w:contextualSpacing w:val="0"/>
              <w:rPr>
                <w:rFonts w:eastAsia="Times New Roman" w:cs="Arial"/>
                <w:bCs/>
                <w:sz w:val="18"/>
                <w:szCs w:val="18"/>
              </w:rPr>
            </w:pPr>
            <w:r>
              <w:rPr>
                <w:bCs/>
                <w:sz w:val="18"/>
                <w:szCs w:val="18"/>
              </w:rPr>
              <w:t xml:space="preserve">5 years </w:t>
            </w:r>
          </w:p>
          <w:p w:rsidR="00A053E5" w:rsidRPr="00857CEF" w:rsidRDefault="00A053E5" w:rsidP="00CA4AA1">
            <w:pPr>
              <w:pStyle w:val="Akapitzlist"/>
              <w:suppressAutoHyphens/>
              <w:autoSpaceDE w:val="0"/>
              <w:autoSpaceDN w:val="0"/>
              <w:adjustRightInd w:val="0"/>
              <w:ind w:left="0"/>
              <w:rPr>
                <w:rFonts w:eastAsia="Times New Roman" w:cs="Arial"/>
                <w:bCs/>
                <w:sz w:val="18"/>
                <w:szCs w:val="18"/>
                <w:lang w:eastAsia="pl-PL"/>
              </w:rPr>
            </w:pP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marital status and the act on changing first names and last names</w:t>
            </w:r>
          </w:p>
        </w:tc>
        <w:tc>
          <w:tcPr>
            <w:tcW w:w="4365" w:type="dxa"/>
            <w:vAlign w:val="center"/>
          </w:tcPr>
          <w:p w:rsidR="00A053E5" w:rsidRPr="00A80E82" w:rsidRDefault="00A053E5" w:rsidP="00CA4AA1">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Act of 28 November 2014 — Martial Status Records Law, Act of 17 October 2008 on changing first names and last names, and Act of 25 June 2015 — Consular law</w:t>
            </w:r>
          </w:p>
        </w:tc>
        <w:tc>
          <w:tcPr>
            <w:tcW w:w="6521" w:type="dxa"/>
            <w:vAlign w:val="center"/>
          </w:tcPr>
          <w:p w:rsidR="00A053E5" w:rsidRPr="00857CEF" w:rsidRDefault="00A053E5" w:rsidP="00CA4AA1">
            <w:pPr>
              <w:spacing w:after="160" w:line="259" w:lineRule="auto"/>
              <w:jc w:val="both"/>
              <w:rPr>
                <w:rFonts w:eastAsia="Times New Roman" w:cs="Arial"/>
                <w:bCs/>
                <w:sz w:val="18"/>
                <w:szCs w:val="18"/>
              </w:rPr>
            </w:pPr>
            <w:r>
              <w:rPr>
                <w:bCs/>
                <w:sz w:val="18"/>
                <w:szCs w:val="18"/>
              </w:rPr>
              <w:t>Completing the application for taking actions provided for in the relevant law provisions</w:t>
            </w:r>
          </w:p>
        </w:tc>
        <w:tc>
          <w:tcPr>
            <w:tcW w:w="3260" w:type="dxa"/>
            <w:vAlign w:val="center"/>
          </w:tcPr>
          <w:p w:rsidR="00A053E5" w:rsidRPr="00857CEF" w:rsidRDefault="00A053E5" w:rsidP="00CA4AA1">
            <w:pPr>
              <w:pStyle w:val="Akapitzlist"/>
              <w:suppressAutoHyphens/>
              <w:autoSpaceDE w:val="0"/>
              <w:autoSpaceDN w:val="0"/>
              <w:adjustRightInd w:val="0"/>
              <w:ind w:left="0"/>
              <w:contextualSpacing w:val="0"/>
              <w:rPr>
                <w:rFonts w:eastAsia="Times New Roman" w:cs="Arial"/>
                <w:bCs/>
                <w:sz w:val="18"/>
                <w:szCs w:val="18"/>
              </w:rPr>
            </w:pPr>
            <w:r>
              <w:rPr>
                <w:bCs/>
                <w:sz w:val="18"/>
                <w:szCs w:val="18"/>
              </w:rPr>
              <w:t>50 years (marriage before the Consul of the Republic of Poland)</w:t>
            </w:r>
          </w:p>
          <w:p w:rsidR="00A053E5" w:rsidRPr="00857CEF" w:rsidRDefault="00A053E5" w:rsidP="00CA4AA1">
            <w:pPr>
              <w:pStyle w:val="Akapitzlist"/>
              <w:suppressAutoHyphens/>
              <w:autoSpaceDE w:val="0"/>
              <w:autoSpaceDN w:val="0"/>
              <w:adjustRightInd w:val="0"/>
              <w:ind w:left="0"/>
              <w:rPr>
                <w:rFonts w:eastAsia="Times New Roman" w:cs="Arial"/>
                <w:bCs/>
                <w:sz w:val="18"/>
                <w:szCs w:val="18"/>
              </w:rPr>
            </w:pPr>
            <w:r>
              <w:rPr>
                <w:bCs/>
                <w:sz w:val="18"/>
                <w:szCs w:val="18"/>
              </w:rPr>
              <w:t>10 years (change of first name and last name, recognition of paternity, births, deaths, marriages abroad, transcription of marital status records in the Republic of Poland, other cases regarding the marital status)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Notary public cases</w:t>
            </w:r>
          </w:p>
        </w:tc>
        <w:tc>
          <w:tcPr>
            <w:tcW w:w="4365" w:type="dxa"/>
            <w:vAlign w:val="center"/>
          </w:tcPr>
          <w:p w:rsidR="00A053E5" w:rsidRPr="00857CEF" w:rsidRDefault="00A053E5" w:rsidP="00CA4AA1">
            <w:pPr>
              <w:pStyle w:val="Akapitzlist"/>
              <w:suppressAutoHyphens/>
              <w:autoSpaceDE w:val="0"/>
              <w:autoSpaceDN w:val="0"/>
              <w:adjustRightInd w:val="0"/>
              <w:ind w:left="0"/>
              <w:rPr>
                <w:rFonts w:eastAsia="Times New Roman" w:cs="Arial"/>
                <w:b/>
                <w:bCs/>
                <w:sz w:val="18"/>
                <w:szCs w:val="18"/>
              </w:rPr>
            </w:pPr>
            <w:r>
              <w:rPr>
                <w:sz w:val="18"/>
                <w:szCs w:val="18"/>
              </w:rPr>
              <w:t>Act of 14 February 1991 — Notary Public Act, Act of 25 June 2015 — Consular law</w:t>
            </w:r>
          </w:p>
        </w:tc>
        <w:tc>
          <w:tcPr>
            <w:tcW w:w="6521" w:type="dxa"/>
            <w:vAlign w:val="center"/>
          </w:tcPr>
          <w:p w:rsidR="00A053E5"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Completing the application for performing notary public actions provided for in the relevant law provisions.</w:t>
            </w:r>
          </w:p>
          <w:p w:rsidR="00A053E5" w:rsidRPr="00857CEF" w:rsidRDefault="00A053E5" w:rsidP="00CA4AA1">
            <w:pPr>
              <w:pStyle w:val="Akapitzlist"/>
              <w:suppressAutoHyphens/>
              <w:autoSpaceDE w:val="0"/>
              <w:autoSpaceDN w:val="0"/>
              <w:adjustRightInd w:val="0"/>
              <w:ind w:left="0"/>
              <w:jc w:val="both"/>
              <w:rPr>
                <w:rFonts w:eastAsia="Times New Roman" w:cs="Arial"/>
                <w:bCs/>
                <w:sz w:val="18"/>
                <w:szCs w:val="18"/>
                <w:lang w:eastAsia="pl-PL"/>
              </w:rPr>
            </w:pPr>
          </w:p>
        </w:tc>
        <w:tc>
          <w:tcPr>
            <w:tcW w:w="3260" w:type="dxa"/>
            <w:vAlign w:val="center"/>
          </w:tcPr>
          <w:p w:rsidR="00A053E5" w:rsidRDefault="00A053E5" w:rsidP="00CA4AA1">
            <w:pPr>
              <w:pStyle w:val="Akapitzlist"/>
              <w:suppressAutoHyphens/>
              <w:autoSpaceDE w:val="0"/>
              <w:autoSpaceDN w:val="0"/>
              <w:adjustRightInd w:val="0"/>
              <w:ind w:left="0"/>
              <w:contextualSpacing w:val="0"/>
              <w:rPr>
                <w:rFonts w:eastAsia="Times New Roman" w:cs="Arial"/>
                <w:bCs/>
                <w:sz w:val="18"/>
                <w:szCs w:val="18"/>
              </w:rPr>
            </w:pPr>
            <w:r>
              <w:rPr>
                <w:bCs/>
                <w:sz w:val="18"/>
                <w:szCs w:val="18"/>
              </w:rPr>
              <w:t>10 years (data relating to the issue of a notarial deed)</w:t>
            </w:r>
          </w:p>
          <w:p w:rsidR="00A053E5" w:rsidRPr="00857CEF" w:rsidRDefault="00A053E5" w:rsidP="00CA4AA1">
            <w:pPr>
              <w:pStyle w:val="Akapitzlist"/>
              <w:suppressAutoHyphens/>
              <w:autoSpaceDE w:val="0"/>
              <w:autoSpaceDN w:val="0"/>
              <w:adjustRightInd w:val="0"/>
              <w:ind w:left="0"/>
              <w:rPr>
                <w:rFonts w:eastAsia="Times New Roman" w:cs="Arial"/>
                <w:bCs/>
                <w:sz w:val="18"/>
                <w:szCs w:val="18"/>
              </w:rPr>
            </w:pPr>
            <w:r>
              <w:rPr>
                <w:bCs/>
                <w:sz w:val="18"/>
                <w:szCs w:val="18"/>
              </w:rPr>
              <w:t>2 years (other notary public activities)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lastRenderedPageBreak/>
              <w:t>Cases regarding the issue of an emergency travel document</w:t>
            </w:r>
          </w:p>
        </w:tc>
        <w:tc>
          <w:tcPr>
            <w:tcW w:w="4365" w:type="dxa"/>
            <w:vAlign w:val="center"/>
          </w:tcPr>
          <w:p w:rsidR="00A053E5" w:rsidRPr="009266FB" w:rsidRDefault="00A053E5" w:rsidP="00CA4AA1">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Decision of the Representatives of the Governments of the Member States, meeting within the Council of 25 June 1996 on the establishment of an emergency travel document, Act of 12 December 2013 on foreigners, and Act of 25 June 2015 — Consular law </w:t>
            </w:r>
          </w:p>
        </w:tc>
        <w:tc>
          <w:tcPr>
            <w:tcW w:w="6521" w:type="dxa"/>
            <w:vAlign w:val="center"/>
          </w:tcPr>
          <w:p w:rsidR="00A053E5" w:rsidRPr="009266FB"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Issuing of an emergency travel document or a Polish emergency travel document for a foreigner.</w:t>
            </w:r>
          </w:p>
        </w:tc>
        <w:tc>
          <w:tcPr>
            <w:tcW w:w="3260" w:type="dxa"/>
            <w:vAlign w:val="center"/>
          </w:tcPr>
          <w:p w:rsidR="00A053E5" w:rsidRPr="007974F0"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the Polish Card cases</w:t>
            </w:r>
          </w:p>
        </w:tc>
        <w:tc>
          <w:tcPr>
            <w:tcW w:w="4365" w:type="dxa"/>
            <w:vAlign w:val="center"/>
          </w:tcPr>
          <w:p w:rsidR="00A053E5" w:rsidRPr="005A0647" w:rsidRDefault="00A053E5" w:rsidP="00CA4AA1">
            <w:pPr>
              <w:pStyle w:val="Akapitzlist"/>
              <w:suppressAutoHyphens/>
              <w:autoSpaceDE w:val="0"/>
              <w:autoSpaceDN w:val="0"/>
              <w:adjustRightInd w:val="0"/>
              <w:ind w:left="0"/>
              <w:jc w:val="both"/>
              <w:rPr>
                <w:rFonts w:eastAsia="Times New Roman" w:cs="Arial"/>
                <w:bCs/>
                <w:sz w:val="18"/>
                <w:szCs w:val="18"/>
              </w:rPr>
            </w:pPr>
            <w:r>
              <w:rPr>
                <w:sz w:val="18"/>
                <w:szCs w:val="18"/>
              </w:rPr>
              <w:t>Act of 7 September 2007 on the Polish Card, and Act of 25 June 2015 — Consular law</w:t>
            </w:r>
          </w:p>
        </w:tc>
        <w:tc>
          <w:tcPr>
            <w:tcW w:w="6521" w:type="dxa"/>
            <w:vAlign w:val="center"/>
          </w:tcPr>
          <w:p w:rsidR="00A053E5" w:rsidRPr="00343297"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Granting, refusing to grant, cancelling or extending the validity of the Polish Card</w:t>
            </w:r>
          </w:p>
        </w:tc>
        <w:tc>
          <w:tcPr>
            <w:tcW w:w="3260" w:type="dxa"/>
            <w:vAlign w:val="center"/>
          </w:tcPr>
          <w:p w:rsidR="00A053E5" w:rsidRPr="00343297" w:rsidRDefault="00A053E5" w:rsidP="00CA4AA1">
            <w:pPr>
              <w:pStyle w:val="Akapitzlist"/>
              <w:suppressAutoHyphens/>
              <w:autoSpaceDE w:val="0"/>
              <w:autoSpaceDN w:val="0"/>
              <w:adjustRightInd w:val="0"/>
              <w:ind w:left="0"/>
              <w:contextualSpacing w:val="0"/>
              <w:rPr>
                <w:rFonts w:eastAsia="Times New Roman" w:cs="Arial"/>
                <w:bCs/>
                <w:sz w:val="18"/>
                <w:szCs w:val="18"/>
              </w:rPr>
            </w:pPr>
            <w:r>
              <w:rPr>
                <w:bCs/>
                <w:sz w:val="18"/>
                <w:szCs w:val="18"/>
              </w:rPr>
              <w:t xml:space="preserve">10 years </w:t>
            </w:r>
          </w:p>
          <w:p w:rsidR="00A053E5" w:rsidRPr="00857CEF" w:rsidRDefault="00A053E5" w:rsidP="00CA4AA1">
            <w:pPr>
              <w:pStyle w:val="Akapitzlist"/>
              <w:suppressAutoHyphens/>
              <w:autoSpaceDE w:val="0"/>
              <w:autoSpaceDN w:val="0"/>
              <w:adjustRightInd w:val="0"/>
              <w:ind w:left="0"/>
              <w:rPr>
                <w:rFonts w:eastAsia="Times New Roman" w:cs="Arial"/>
                <w:b/>
                <w:bCs/>
                <w:sz w:val="18"/>
                <w:szCs w:val="18"/>
              </w:rPr>
            </w:pPr>
            <w:r>
              <w:rPr>
                <w:sz w:val="18"/>
                <w:szCs w:val="18"/>
              </w:rPr>
              <w:t>2 years if loss, destruction or finding the Polish Card was reported</w:t>
            </w:r>
          </w:p>
        </w:tc>
      </w:tr>
      <w:tr w:rsidR="00A053E5" w:rsidTr="00CA4AA1">
        <w:tc>
          <w:tcPr>
            <w:tcW w:w="2235" w:type="dxa"/>
            <w:vAlign w:val="center"/>
          </w:tcPr>
          <w:p w:rsidR="00A053E5"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School IDs</w:t>
            </w:r>
          </w:p>
        </w:tc>
        <w:tc>
          <w:tcPr>
            <w:tcW w:w="4365" w:type="dxa"/>
            <w:vAlign w:val="center"/>
          </w:tcPr>
          <w:p w:rsidR="00A053E5" w:rsidRDefault="00A053E5" w:rsidP="00CA4AA1">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w:t>
            </w:r>
          </w:p>
        </w:tc>
        <w:tc>
          <w:tcPr>
            <w:tcW w:w="6521" w:type="dxa"/>
            <w:vAlign w:val="center"/>
          </w:tcPr>
          <w:p w:rsidR="00A053E5" w:rsidRPr="00343297"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Issuing a school ID</w:t>
            </w:r>
          </w:p>
        </w:tc>
        <w:tc>
          <w:tcPr>
            <w:tcW w:w="3260" w:type="dxa"/>
            <w:vAlign w:val="center"/>
          </w:tcPr>
          <w:p w:rsidR="00A053E5" w:rsidRPr="00343297" w:rsidRDefault="00A053E5" w:rsidP="00CA4AA1">
            <w:pPr>
              <w:pStyle w:val="Akapitzlist"/>
              <w:suppressAutoHyphens/>
              <w:autoSpaceDE w:val="0"/>
              <w:autoSpaceDN w:val="0"/>
              <w:adjustRightInd w:val="0"/>
              <w:spacing w:after="120"/>
              <w:ind w:left="0"/>
              <w:contextualSpacing w:val="0"/>
              <w:rPr>
                <w:rFonts w:eastAsia="Times New Roman" w:cs="Arial"/>
                <w:bCs/>
                <w:sz w:val="18"/>
                <w:szCs w:val="18"/>
              </w:rPr>
            </w:pPr>
            <w:r>
              <w:rPr>
                <w:bCs/>
                <w:sz w:val="18"/>
                <w:szCs w:val="18"/>
              </w:rPr>
              <w:t>5 years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documents legalisation and obtaining documents from abroad</w:t>
            </w:r>
          </w:p>
        </w:tc>
        <w:tc>
          <w:tcPr>
            <w:tcW w:w="4365" w:type="dxa"/>
            <w:vAlign w:val="center"/>
          </w:tcPr>
          <w:p w:rsidR="00A053E5" w:rsidRPr="00CA49E1" w:rsidRDefault="00A053E5" w:rsidP="00CA4AA1">
            <w:pPr>
              <w:pStyle w:val="Akapitzlist"/>
              <w:suppressAutoHyphens/>
              <w:autoSpaceDE w:val="0"/>
              <w:autoSpaceDN w:val="0"/>
              <w:adjustRightInd w:val="0"/>
              <w:ind w:left="0"/>
              <w:jc w:val="both"/>
              <w:rPr>
                <w:rFonts w:eastAsia="Times New Roman" w:cs="Arial"/>
                <w:bCs/>
                <w:sz w:val="18"/>
                <w:szCs w:val="18"/>
              </w:rPr>
            </w:pPr>
            <w:r>
              <w:rPr>
                <w:sz w:val="18"/>
                <w:szCs w:val="18"/>
              </w:rPr>
              <w:t xml:space="preserve">Act of 25 June 2015 — Consular law </w:t>
            </w:r>
          </w:p>
        </w:tc>
        <w:tc>
          <w:tcPr>
            <w:tcW w:w="6521" w:type="dxa"/>
            <w:vAlign w:val="center"/>
          </w:tcPr>
          <w:p w:rsidR="00A053E5" w:rsidRPr="00CA49E1"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Legalising an official document prepared or authenticated in the host country</w:t>
            </w:r>
          </w:p>
        </w:tc>
        <w:tc>
          <w:tcPr>
            <w:tcW w:w="3260" w:type="dxa"/>
            <w:vAlign w:val="center"/>
          </w:tcPr>
          <w:p w:rsidR="00A053E5" w:rsidRPr="00CA49E1"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Local border traffic cases</w:t>
            </w:r>
          </w:p>
        </w:tc>
        <w:tc>
          <w:tcPr>
            <w:tcW w:w="4365" w:type="dxa"/>
            <w:vAlign w:val="center"/>
          </w:tcPr>
          <w:p w:rsidR="00A053E5" w:rsidRPr="00D0254D" w:rsidRDefault="00A053E5" w:rsidP="00CA4AA1">
            <w:pPr>
              <w:jc w:val="both"/>
              <w:rPr>
                <w:rFonts w:eastAsia="Times New Roman" w:cs="Arial"/>
                <w:bCs/>
                <w:sz w:val="18"/>
                <w:szCs w:val="18"/>
              </w:rPr>
            </w:pPr>
            <w:r>
              <w:rPr>
                <w:sz w:val="18"/>
                <w:szCs w:val="18"/>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rsidR="00A053E5" w:rsidRPr="00D0254D"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Issuing, refusing to issue, cancelling a local border traffic permit </w:t>
            </w:r>
          </w:p>
        </w:tc>
        <w:tc>
          <w:tcPr>
            <w:tcW w:w="3260" w:type="dxa"/>
            <w:vAlign w:val="center"/>
          </w:tcPr>
          <w:p w:rsidR="00A053E5" w:rsidRPr="00D0254D"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Passport cases</w:t>
            </w:r>
          </w:p>
        </w:tc>
        <w:tc>
          <w:tcPr>
            <w:tcW w:w="4365" w:type="dxa"/>
            <w:vAlign w:val="center"/>
          </w:tcPr>
          <w:p w:rsidR="00A053E5" w:rsidRPr="00A053E5" w:rsidRDefault="00A053E5" w:rsidP="00CA4AA1">
            <w:pPr>
              <w:suppressAutoHyphens/>
              <w:autoSpaceDE w:val="0"/>
              <w:autoSpaceDN w:val="0"/>
              <w:adjustRightInd w:val="0"/>
              <w:jc w:val="both"/>
              <w:rPr>
                <w:sz w:val="18"/>
                <w:szCs w:val="18"/>
              </w:rPr>
            </w:pPr>
            <w:r w:rsidRPr="00A053E5">
              <w:rPr>
                <w:sz w:val="18"/>
                <w:szCs w:val="18"/>
              </w:rPr>
              <w:t>Act of 27</w:t>
            </w:r>
            <w:r w:rsidRPr="00A053E5">
              <w:rPr>
                <w:sz w:val="18"/>
                <w:szCs w:val="18"/>
                <w:vertAlign w:val="superscript"/>
              </w:rPr>
              <w:t>th</w:t>
            </w:r>
            <w:r w:rsidRPr="00A053E5">
              <w:rPr>
                <w:sz w:val="18"/>
                <w:szCs w:val="18"/>
              </w:rPr>
              <w:t xml:space="preserve"> January 2022 on passports, and Act of 25</w:t>
            </w:r>
            <w:r w:rsidRPr="00A053E5">
              <w:rPr>
                <w:sz w:val="18"/>
                <w:szCs w:val="18"/>
                <w:vertAlign w:val="superscript"/>
              </w:rPr>
              <w:t>th</w:t>
            </w:r>
            <w:r w:rsidRPr="00A053E5">
              <w:rPr>
                <w:sz w:val="18"/>
                <w:szCs w:val="18"/>
              </w:rPr>
              <w:t xml:space="preserve"> June 2015 — Consular law</w:t>
            </w:r>
          </w:p>
          <w:p w:rsidR="00A053E5" w:rsidRPr="00C513F0" w:rsidRDefault="00A053E5" w:rsidP="00CA4AA1">
            <w:pPr>
              <w:suppressAutoHyphens/>
              <w:autoSpaceDE w:val="0"/>
              <w:autoSpaceDN w:val="0"/>
              <w:adjustRightInd w:val="0"/>
              <w:jc w:val="both"/>
              <w:rPr>
                <w:rFonts w:eastAsia="Times New Roman" w:cs="Arial"/>
                <w:bCs/>
                <w:sz w:val="18"/>
                <w:szCs w:val="18"/>
              </w:rPr>
            </w:pPr>
            <w:r w:rsidRPr="00A053E5">
              <w:rPr>
                <w:sz w:val="18"/>
                <w:szCs w:val="18"/>
              </w:rPr>
              <w:t>Articles 6(1)(c) and (d), and Article 9(2)(g) and Art. 10 of the GDPR</w:t>
            </w:r>
          </w:p>
        </w:tc>
        <w:tc>
          <w:tcPr>
            <w:tcW w:w="6521" w:type="dxa"/>
            <w:vAlign w:val="center"/>
          </w:tcPr>
          <w:p w:rsidR="00A053E5" w:rsidRPr="00C513F0" w:rsidRDefault="00A053E5" w:rsidP="00CA4AA1">
            <w:pPr>
              <w:rPr>
                <w:sz w:val="18"/>
                <w:szCs w:val="18"/>
                <w:lang w:val="en-US"/>
              </w:rPr>
            </w:pPr>
            <w:r w:rsidRPr="00C513F0">
              <w:rPr>
                <w:sz w:val="18"/>
                <w:szCs w:val="18"/>
                <w:lang w:val="en-US"/>
              </w:rPr>
              <w:t>Issuing a passport document, declining to issue, annulling or canceling a passport document or declaration of invalidity of the passport documents, accepting a report of loss or damage, providing data from RDP and written documentation related to passport documents, and issuing a certificate of own data collected in RDP</w:t>
            </w:r>
          </w:p>
          <w:p w:rsidR="00A053E5" w:rsidRPr="00C513F0" w:rsidRDefault="00A053E5" w:rsidP="00CA4AA1">
            <w:pPr>
              <w:jc w:val="both"/>
              <w:rPr>
                <w:rFonts w:eastAsia="Times New Roman" w:cs="Arial"/>
                <w:b/>
                <w:bCs/>
                <w:sz w:val="18"/>
                <w:szCs w:val="18"/>
                <w:lang w:val="en-US" w:eastAsia="pl-PL"/>
              </w:rPr>
            </w:pPr>
          </w:p>
        </w:tc>
        <w:tc>
          <w:tcPr>
            <w:tcW w:w="3260" w:type="dxa"/>
            <w:vAlign w:val="center"/>
          </w:tcPr>
          <w:p w:rsidR="00A053E5" w:rsidRPr="006A6AFE" w:rsidRDefault="00A053E5" w:rsidP="00CA4AA1">
            <w:pPr>
              <w:pStyle w:val="Akapitzlist"/>
              <w:suppressAutoHyphens/>
              <w:autoSpaceDE w:val="0"/>
              <w:autoSpaceDN w:val="0"/>
              <w:adjustRightInd w:val="0"/>
              <w:ind w:left="0"/>
              <w:rPr>
                <w:rFonts w:eastAsia="Times New Roman" w:cs="Arial"/>
                <w:bCs/>
                <w:sz w:val="18"/>
                <w:szCs w:val="18"/>
              </w:rPr>
            </w:pPr>
            <w:r>
              <w:rPr>
                <w:bCs/>
                <w:sz w:val="18"/>
                <w:szCs w:val="18"/>
              </w:rPr>
              <w:t>60 years in case of issuing a passport, in other cases: 10 years</w:t>
            </w:r>
          </w:p>
        </w:tc>
      </w:tr>
      <w:tr w:rsidR="00A053E5" w:rsidTr="00CA4AA1">
        <w:tc>
          <w:tcPr>
            <w:tcW w:w="2235" w:type="dxa"/>
            <w:vAlign w:val="center"/>
          </w:tcPr>
          <w:p w:rsidR="00A053E5" w:rsidRPr="00D46650"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Repatriation cases</w:t>
            </w:r>
          </w:p>
        </w:tc>
        <w:tc>
          <w:tcPr>
            <w:tcW w:w="4365" w:type="dxa"/>
            <w:vAlign w:val="center"/>
          </w:tcPr>
          <w:p w:rsidR="00A053E5" w:rsidRPr="00D46650" w:rsidRDefault="00A053E5" w:rsidP="00CA4AA1">
            <w:pPr>
              <w:suppressAutoHyphens/>
              <w:autoSpaceDE w:val="0"/>
              <w:autoSpaceDN w:val="0"/>
              <w:adjustRightInd w:val="0"/>
              <w:jc w:val="both"/>
              <w:rPr>
                <w:rFonts w:eastAsia="Times New Roman" w:cs="Arial"/>
                <w:bCs/>
                <w:sz w:val="18"/>
                <w:szCs w:val="18"/>
              </w:rPr>
            </w:pPr>
            <w:r>
              <w:rPr>
                <w:bCs/>
                <w:sz w:val="18"/>
                <w:szCs w:val="18"/>
              </w:rPr>
              <w:t>Act of 7 September 2007 on repatriation, and Act of 25 June 2015 — Consular law</w:t>
            </w:r>
          </w:p>
        </w:tc>
        <w:tc>
          <w:tcPr>
            <w:tcW w:w="6521" w:type="dxa"/>
            <w:vAlign w:val="center"/>
          </w:tcPr>
          <w:p w:rsidR="00A053E5" w:rsidRPr="00D46650" w:rsidRDefault="00A053E5" w:rsidP="00CA4AA1">
            <w:pPr>
              <w:suppressAutoHyphens/>
              <w:autoSpaceDE w:val="0"/>
              <w:autoSpaceDN w:val="0"/>
              <w:adjustRightInd w:val="0"/>
              <w:jc w:val="both"/>
              <w:rPr>
                <w:rFonts w:eastAsia="Times New Roman" w:cs="Arial"/>
                <w:bCs/>
                <w:sz w:val="18"/>
                <w:szCs w:val="18"/>
              </w:rPr>
            </w:pPr>
            <w:r>
              <w:rPr>
                <w:bCs/>
                <w:sz w:val="18"/>
                <w:szCs w:val="18"/>
              </w:rPr>
              <w:t>Recognising as a person of Polish origin, granting a repatriation visa, providing repatriation grant from the state budget</w:t>
            </w:r>
          </w:p>
        </w:tc>
        <w:tc>
          <w:tcPr>
            <w:tcW w:w="3260" w:type="dxa"/>
            <w:vAlign w:val="center"/>
          </w:tcPr>
          <w:p w:rsidR="00A053E5" w:rsidRPr="006A6AFE"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25 years</w:t>
            </w:r>
          </w:p>
        </w:tc>
      </w:tr>
      <w:tr w:rsidR="00A053E5" w:rsidTr="00CA4AA1">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Inheritance cases</w:t>
            </w:r>
          </w:p>
        </w:tc>
        <w:tc>
          <w:tcPr>
            <w:tcW w:w="4365" w:type="dxa"/>
            <w:vAlign w:val="center"/>
          </w:tcPr>
          <w:p w:rsidR="00A053E5" w:rsidRPr="006A6AFE"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Act of 25 June 2015 — Consular law</w:t>
            </w:r>
          </w:p>
        </w:tc>
        <w:tc>
          <w:tcPr>
            <w:tcW w:w="6521" w:type="dxa"/>
            <w:vAlign w:val="center"/>
          </w:tcPr>
          <w:p w:rsidR="00A053E5" w:rsidRPr="006A6AFE" w:rsidRDefault="00A053E5" w:rsidP="00CA4AA1">
            <w:pPr>
              <w:suppressAutoHyphens/>
              <w:autoSpaceDE w:val="0"/>
              <w:autoSpaceDN w:val="0"/>
              <w:adjustRightInd w:val="0"/>
              <w:jc w:val="both"/>
              <w:rPr>
                <w:rFonts w:eastAsia="Times New Roman" w:cs="Arial"/>
                <w:bCs/>
                <w:sz w:val="18"/>
                <w:szCs w:val="18"/>
              </w:rPr>
            </w:pPr>
            <w:r>
              <w:rPr>
                <w:bCs/>
                <w:sz w:val="18"/>
                <w:szCs w:val="18"/>
              </w:rPr>
              <w:t>Exercising rights to inheritance vested in the State Treasury; settling inheritances opened before 10 May 2002.</w:t>
            </w:r>
          </w:p>
        </w:tc>
        <w:tc>
          <w:tcPr>
            <w:tcW w:w="3260" w:type="dxa"/>
            <w:vAlign w:val="center"/>
          </w:tcPr>
          <w:p w:rsidR="00A053E5" w:rsidRPr="006A6AFE"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No time limit</w:t>
            </w:r>
          </w:p>
        </w:tc>
      </w:tr>
      <w:tr w:rsidR="00A053E5" w:rsidTr="00CA4AA1">
        <w:trPr>
          <w:trHeight w:val="1595"/>
        </w:trPr>
        <w:tc>
          <w:tcPr>
            <w:tcW w:w="2235" w:type="dxa"/>
            <w:vAlign w:val="center"/>
          </w:tcPr>
          <w:p w:rsidR="00A053E5" w:rsidRPr="00857CEF"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Polish citizenship cases </w:t>
            </w:r>
          </w:p>
        </w:tc>
        <w:tc>
          <w:tcPr>
            <w:tcW w:w="4365" w:type="dxa"/>
            <w:vAlign w:val="center"/>
          </w:tcPr>
          <w:p w:rsidR="00A053E5" w:rsidRPr="00FD64E4" w:rsidRDefault="00A053E5" w:rsidP="00CA4AA1">
            <w:pPr>
              <w:suppressAutoHyphens/>
              <w:autoSpaceDE w:val="0"/>
              <w:autoSpaceDN w:val="0"/>
              <w:adjustRightInd w:val="0"/>
              <w:jc w:val="both"/>
              <w:rPr>
                <w:rFonts w:eastAsia="Times New Roman" w:cs="Arial"/>
                <w:bCs/>
                <w:sz w:val="18"/>
                <w:szCs w:val="18"/>
              </w:rPr>
            </w:pPr>
            <w:r>
              <w:rPr>
                <w:bCs/>
                <w:sz w:val="18"/>
                <w:szCs w:val="18"/>
              </w:rPr>
              <w:t>Act of 2 April 2009 on Polish citizenship, and Act of 25 June 2015 — Consular law</w:t>
            </w:r>
          </w:p>
        </w:tc>
        <w:tc>
          <w:tcPr>
            <w:tcW w:w="6521" w:type="dxa"/>
            <w:vAlign w:val="center"/>
          </w:tcPr>
          <w:p w:rsidR="00A053E5" w:rsidRPr="006A6AFE" w:rsidRDefault="00A053E5" w:rsidP="00CA4AA1">
            <w:pPr>
              <w:suppressAutoHyphens/>
              <w:autoSpaceDE w:val="0"/>
              <w:autoSpaceDN w:val="0"/>
              <w:adjustRightInd w:val="0"/>
              <w:jc w:val="both"/>
              <w:rPr>
                <w:rFonts w:eastAsia="Times New Roman" w:cs="Arial"/>
                <w:b/>
                <w:bCs/>
                <w:sz w:val="18"/>
                <w:szCs w:val="18"/>
              </w:rPr>
            </w:pPr>
            <w:r>
              <w:rPr>
                <w:bCs/>
                <w:sz w:val="18"/>
                <w:szCs w:val="18"/>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rsidR="00A053E5" w:rsidRPr="006A6AFE" w:rsidRDefault="00A053E5" w:rsidP="00CA4AA1">
            <w:pPr>
              <w:pStyle w:val="Akapitzlist"/>
              <w:suppressAutoHyphens/>
              <w:autoSpaceDE w:val="0"/>
              <w:autoSpaceDN w:val="0"/>
              <w:adjustRightInd w:val="0"/>
              <w:ind w:left="0"/>
              <w:contextualSpacing w:val="0"/>
              <w:rPr>
                <w:rFonts w:eastAsia="Times New Roman" w:cs="Arial"/>
                <w:bCs/>
                <w:sz w:val="18"/>
                <w:szCs w:val="18"/>
              </w:rPr>
            </w:pPr>
            <w:r>
              <w:rPr>
                <w:bCs/>
                <w:sz w:val="18"/>
                <w:szCs w:val="18"/>
              </w:rPr>
              <w:t>25 years (regarding confirmation of the citizenship, acquisition, assignment, restoration of citizenship and loss of citizenship)</w:t>
            </w:r>
          </w:p>
          <w:p w:rsidR="00A053E5" w:rsidRPr="00FD64E4" w:rsidRDefault="00A053E5" w:rsidP="00CA4AA1">
            <w:pPr>
              <w:rPr>
                <w:rFonts w:eastAsia="Times New Roman" w:cs="Arial"/>
                <w:iCs/>
                <w:sz w:val="18"/>
                <w:szCs w:val="18"/>
              </w:rPr>
            </w:pPr>
            <w:r>
              <w:rPr>
                <w:color w:val="000000"/>
                <w:sz w:val="18"/>
                <w:szCs w:val="18"/>
              </w:rPr>
              <w:t>5 years (regarding other correspondence in civic matters)</w:t>
            </w:r>
          </w:p>
        </w:tc>
      </w:tr>
      <w:tr w:rsidR="00A053E5" w:rsidTr="00CA4AA1">
        <w:tc>
          <w:tcPr>
            <w:tcW w:w="2235" w:type="dxa"/>
            <w:vAlign w:val="center"/>
          </w:tcPr>
          <w:p w:rsidR="00A053E5" w:rsidRPr="004F6D31"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obtaining information</w:t>
            </w:r>
          </w:p>
        </w:tc>
        <w:tc>
          <w:tcPr>
            <w:tcW w:w="4365" w:type="dxa"/>
            <w:vAlign w:val="center"/>
          </w:tcPr>
          <w:p w:rsidR="00A053E5" w:rsidRPr="00E0388A" w:rsidRDefault="00A053E5" w:rsidP="00CA4AA1">
            <w:pPr>
              <w:pStyle w:val="Akapitzlist"/>
              <w:suppressAutoHyphens/>
              <w:autoSpaceDE w:val="0"/>
              <w:autoSpaceDN w:val="0"/>
              <w:adjustRightInd w:val="0"/>
              <w:ind w:left="0"/>
              <w:jc w:val="both"/>
              <w:rPr>
                <w:rFonts w:eastAsia="Times New Roman" w:cs="Arial"/>
                <w:bCs/>
                <w:sz w:val="18"/>
                <w:szCs w:val="18"/>
              </w:rPr>
            </w:pPr>
            <w:r>
              <w:rPr>
                <w:sz w:val="18"/>
              </w:rPr>
              <w:t>Act of 25 June 2015 — Consular law</w:t>
            </w:r>
          </w:p>
        </w:tc>
        <w:tc>
          <w:tcPr>
            <w:tcW w:w="6521" w:type="dxa"/>
            <w:vAlign w:val="center"/>
          </w:tcPr>
          <w:p w:rsidR="00A053E5" w:rsidRPr="00E0388A"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information </w:t>
            </w:r>
          </w:p>
        </w:tc>
        <w:tc>
          <w:tcPr>
            <w:tcW w:w="3260" w:type="dxa"/>
            <w:vAlign w:val="center"/>
          </w:tcPr>
          <w:p w:rsidR="00A053E5" w:rsidRPr="00EF35D1"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A053E5" w:rsidTr="00CA4AA1">
        <w:tc>
          <w:tcPr>
            <w:tcW w:w="2235" w:type="dxa"/>
            <w:vAlign w:val="center"/>
          </w:tcPr>
          <w:p w:rsidR="00A053E5" w:rsidRPr="004F6D31"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lastRenderedPageBreak/>
              <w:t>Cases regarding the issuing of certificates</w:t>
            </w:r>
          </w:p>
        </w:tc>
        <w:tc>
          <w:tcPr>
            <w:tcW w:w="4365" w:type="dxa"/>
            <w:vAlign w:val="center"/>
          </w:tcPr>
          <w:p w:rsidR="00A053E5" w:rsidRPr="00485727" w:rsidRDefault="00A053E5" w:rsidP="00CA4AA1">
            <w:pPr>
              <w:jc w:val="both"/>
              <w:rPr>
                <w:rFonts w:eastAsia="Times New Roman" w:cs="Arial"/>
                <w:bCs/>
                <w:sz w:val="18"/>
                <w:szCs w:val="18"/>
              </w:rPr>
            </w:pPr>
            <w:r>
              <w:rPr>
                <w:bCs/>
                <w:sz w:val="18"/>
                <w:szCs w:val="18"/>
              </w:rPr>
              <w:t>Act of 25 June 2015 — Consular law</w:t>
            </w:r>
          </w:p>
        </w:tc>
        <w:tc>
          <w:tcPr>
            <w:tcW w:w="6521" w:type="dxa"/>
            <w:vAlign w:val="center"/>
          </w:tcPr>
          <w:p w:rsidR="00A053E5" w:rsidRPr="00485727" w:rsidRDefault="00A053E5" w:rsidP="00CA4AA1">
            <w:pPr>
              <w:pStyle w:val="Akapitzlist"/>
              <w:suppressAutoHyphens/>
              <w:autoSpaceDE w:val="0"/>
              <w:autoSpaceDN w:val="0"/>
              <w:adjustRightInd w:val="0"/>
              <w:ind w:left="0"/>
              <w:jc w:val="both"/>
              <w:rPr>
                <w:rFonts w:eastAsia="Times New Roman" w:cs="Arial"/>
                <w:bCs/>
                <w:sz w:val="18"/>
                <w:szCs w:val="18"/>
              </w:rPr>
            </w:pPr>
            <w:r>
              <w:rPr>
                <w:sz w:val="18"/>
                <w:szCs w:val="18"/>
              </w:rPr>
              <w:t>Issuing a certificate to implement a legal interest of a party or an obligation resulting from a legal provision.</w:t>
            </w:r>
          </w:p>
        </w:tc>
        <w:tc>
          <w:tcPr>
            <w:tcW w:w="3260" w:type="dxa"/>
            <w:vAlign w:val="center"/>
          </w:tcPr>
          <w:p w:rsidR="00A053E5" w:rsidRPr="00485727" w:rsidRDefault="00A053E5" w:rsidP="00CA4AA1">
            <w:pPr>
              <w:jc w:val="both"/>
              <w:rPr>
                <w:rFonts w:eastAsia="Times New Roman" w:cs="Arial"/>
                <w:bCs/>
                <w:sz w:val="18"/>
                <w:szCs w:val="18"/>
              </w:rPr>
            </w:pPr>
            <w:r>
              <w:rPr>
                <w:sz w:val="18"/>
                <w:szCs w:val="18"/>
              </w:rPr>
              <w:t>10 years, and in case of issuing a certificate in the matter of import or carriage of weapons and ammunition through the territory of the Republic of Poland, transport of corpses — exhumation 5 years.</w:t>
            </w:r>
          </w:p>
        </w:tc>
      </w:tr>
      <w:tr w:rsidR="00A053E5" w:rsidTr="00CA4AA1">
        <w:tc>
          <w:tcPr>
            <w:tcW w:w="2235" w:type="dxa"/>
            <w:vAlign w:val="center"/>
          </w:tcPr>
          <w:p w:rsidR="00A053E5" w:rsidRPr="004F6D31"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concerning providing support to Poles abroad</w:t>
            </w:r>
          </w:p>
        </w:tc>
        <w:tc>
          <w:tcPr>
            <w:tcW w:w="4365" w:type="dxa"/>
            <w:vAlign w:val="center"/>
          </w:tcPr>
          <w:p w:rsidR="00A053E5" w:rsidRPr="00E0388A" w:rsidRDefault="00A053E5" w:rsidP="00CA4AA1">
            <w:pPr>
              <w:jc w:val="both"/>
              <w:rPr>
                <w:rFonts w:eastAsia="Times New Roman" w:cs="Arial"/>
                <w:bCs/>
                <w:sz w:val="18"/>
                <w:szCs w:val="18"/>
              </w:rPr>
            </w:pPr>
            <w:r>
              <w:rPr>
                <w:bCs/>
                <w:sz w:val="18"/>
                <w:szCs w:val="18"/>
              </w:rPr>
              <w:t>Act of 25 June 2015 — Consular law, and pursuant to premises of Article 6(1)(d), and Article 9(2)(c) of the GDPR</w:t>
            </w:r>
          </w:p>
        </w:tc>
        <w:tc>
          <w:tcPr>
            <w:tcW w:w="6521" w:type="dxa"/>
            <w:vAlign w:val="center"/>
          </w:tcPr>
          <w:p w:rsidR="00A053E5" w:rsidRPr="00E0388A"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Protecting the interests of Polish citizens and Polish legal persons temporarily staying abroad, including information on emergency and crisis situations</w:t>
            </w:r>
          </w:p>
        </w:tc>
        <w:tc>
          <w:tcPr>
            <w:tcW w:w="3260" w:type="dxa"/>
            <w:vAlign w:val="center"/>
          </w:tcPr>
          <w:p w:rsidR="00A053E5" w:rsidRPr="00EF35D1"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A053E5" w:rsidTr="00CA4AA1">
        <w:tc>
          <w:tcPr>
            <w:tcW w:w="2235" w:type="dxa"/>
            <w:vAlign w:val="center"/>
          </w:tcPr>
          <w:p w:rsidR="00A053E5"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Nationwide elections and referendums</w:t>
            </w:r>
          </w:p>
        </w:tc>
        <w:tc>
          <w:tcPr>
            <w:tcW w:w="4365" w:type="dxa"/>
            <w:vAlign w:val="center"/>
          </w:tcPr>
          <w:p w:rsidR="00A053E5" w:rsidRDefault="00A053E5" w:rsidP="00CA4AA1">
            <w:pPr>
              <w:jc w:val="both"/>
              <w:rPr>
                <w:rFonts w:eastAsia="Times New Roman" w:cs="Arial"/>
                <w:bCs/>
                <w:sz w:val="18"/>
                <w:szCs w:val="18"/>
              </w:rPr>
            </w:pPr>
            <w:r>
              <w:rPr>
                <w:bCs/>
                <w:sz w:val="18"/>
                <w:szCs w:val="18"/>
              </w:rPr>
              <w:t>Act of 25 June 2015 — Consular Law, and Act of 5 January 2011 — Election Law</w:t>
            </w:r>
          </w:p>
        </w:tc>
        <w:tc>
          <w:tcPr>
            <w:tcW w:w="6521" w:type="dxa"/>
            <w:vAlign w:val="center"/>
          </w:tcPr>
          <w:p w:rsidR="00A053E5"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rsidR="00A053E5"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A053E5" w:rsidTr="00CA4AA1">
        <w:tc>
          <w:tcPr>
            <w:tcW w:w="2235" w:type="dxa"/>
            <w:vAlign w:val="center"/>
          </w:tcPr>
          <w:p w:rsidR="00A053E5"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seaman’s books and other maritime affairs</w:t>
            </w:r>
          </w:p>
        </w:tc>
        <w:tc>
          <w:tcPr>
            <w:tcW w:w="4365" w:type="dxa"/>
            <w:vAlign w:val="center"/>
          </w:tcPr>
          <w:p w:rsidR="00A053E5" w:rsidRPr="00BB3B9A" w:rsidRDefault="00A053E5" w:rsidP="00CA4AA1">
            <w:pPr>
              <w:jc w:val="both"/>
              <w:rPr>
                <w:rFonts w:eastAsia="Times New Roman" w:cs="Arial"/>
                <w:bCs/>
                <w:sz w:val="18"/>
                <w:szCs w:val="18"/>
              </w:rPr>
            </w:pPr>
            <w:r>
              <w:rPr>
                <w:bCs/>
                <w:sz w:val="18"/>
                <w:szCs w:val="18"/>
              </w:rPr>
              <w:t>Act of 25 June 2015 — Consular law</w:t>
            </w:r>
          </w:p>
        </w:tc>
        <w:tc>
          <w:tcPr>
            <w:tcW w:w="6521" w:type="dxa"/>
            <w:vAlign w:val="center"/>
          </w:tcPr>
          <w:p w:rsidR="00A053E5" w:rsidRPr="00BB3B9A"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Issuing a seaman’s book, issuing a temporary certificate of Polish membership of the ship, ship security certificate</w:t>
            </w:r>
          </w:p>
        </w:tc>
        <w:tc>
          <w:tcPr>
            <w:tcW w:w="3260" w:type="dxa"/>
            <w:vAlign w:val="center"/>
          </w:tcPr>
          <w:p w:rsidR="00A053E5"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10 years in case of issuing a seaman’s book, in other cases — 5 years</w:t>
            </w:r>
          </w:p>
        </w:tc>
      </w:tr>
      <w:tr w:rsidR="00A053E5" w:rsidTr="00CA4AA1">
        <w:tc>
          <w:tcPr>
            <w:tcW w:w="2235" w:type="dxa"/>
            <w:vAlign w:val="center"/>
          </w:tcPr>
          <w:p w:rsidR="00A053E5"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EPUAP</w:t>
            </w:r>
          </w:p>
        </w:tc>
        <w:tc>
          <w:tcPr>
            <w:tcW w:w="4365" w:type="dxa"/>
            <w:vAlign w:val="center"/>
          </w:tcPr>
          <w:p w:rsidR="00A053E5" w:rsidRPr="000012D0" w:rsidRDefault="00A053E5" w:rsidP="00CA4AA1">
            <w:pPr>
              <w:jc w:val="both"/>
              <w:rPr>
                <w:rFonts w:eastAsia="Times New Roman" w:cs="Arial"/>
                <w:bCs/>
                <w:sz w:val="18"/>
                <w:szCs w:val="18"/>
              </w:rPr>
            </w:pPr>
            <w:r>
              <w:rPr>
                <w:bCs/>
                <w:sz w:val="18"/>
                <w:szCs w:val="18"/>
              </w:rPr>
              <w:t>Act of 17 February 2005 on computerisation of the activities of entities performing public tasks</w:t>
            </w:r>
          </w:p>
        </w:tc>
        <w:tc>
          <w:tcPr>
            <w:tcW w:w="6521" w:type="dxa"/>
            <w:vAlign w:val="center"/>
          </w:tcPr>
          <w:p w:rsidR="00A053E5"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Confirming a trusted profile</w:t>
            </w:r>
          </w:p>
        </w:tc>
        <w:tc>
          <w:tcPr>
            <w:tcW w:w="3260" w:type="dxa"/>
            <w:vAlign w:val="center"/>
          </w:tcPr>
          <w:p w:rsidR="00A053E5"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20 years</w:t>
            </w:r>
          </w:p>
        </w:tc>
      </w:tr>
      <w:tr w:rsidR="00A053E5" w:rsidRPr="00DA3E5E" w:rsidTr="00CA4AA1">
        <w:tc>
          <w:tcPr>
            <w:tcW w:w="2235" w:type="dxa"/>
            <w:vAlign w:val="center"/>
          </w:tcPr>
          <w:p w:rsidR="00A053E5" w:rsidRPr="00DA3E5E" w:rsidRDefault="00A053E5" w:rsidP="00CA4AA1">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applications for permission to serve in a foreign army, providing access to documents in the Institute of National Remembrance (IPN) resources </w:t>
            </w:r>
          </w:p>
        </w:tc>
        <w:tc>
          <w:tcPr>
            <w:tcW w:w="4365" w:type="dxa"/>
            <w:vAlign w:val="center"/>
          </w:tcPr>
          <w:p w:rsidR="00A053E5" w:rsidRPr="00DA3E5E" w:rsidRDefault="00A053E5" w:rsidP="00CA4AA1">
            <w:pPr>
              <w:jc w:val="both"/>
              <w:rPr>
                <w:rFonts w:eastAsia="Times New Roman" w:cs="Arial"/>
                <w:bCs/>
                <w:sz w:val="18"/>
                <w:szCs w:val="18"/>
              </w:rPr>
            </w:pPr>
            <w:r>
              <w:rPr>
                <w:bCs/>
                <w:sz w:val="18"/>
                <w:szCs w:val="18"/>
              </w:rPr>
              <w:t>Act of 25 June 2015 — Consular law</w:t>
            </w:r>
          </w:p>
        </w:tc>
        <w:tc>
          <w:tcPr>
            <w:tcW w:w="6521" w:type="dxa"/>
            <w:vAlign w:val="center"/>
          </w:tcPr>
          <w:p w:rsidR="00A053E5" w:rsidRPr="00DA3E5E" w:rsidRDefault="00A053E5" w:rsidP="00CA4AA1">
            <w:pPr>
              <w:pStyle w:val="Akapitzlist"/>
              <w:suppressAutoHyphens/>
              <w:autoSpaceDE w:val="0"/>
              <w:autoSpaceDN w:val="0"/>
              <w:adjustRightInd w:val="0"/>
              <w:ind w:left="0"/>
              <w:jc w:val="both"/>
              <w:rPr>
                <w:rFonts w:eastAsia="Times New Roman" w:cs="Arial"/>
                <w:bCs/>
                <w:sz w:val="18"/>
                <w:szCs w:val="18"/>
              </w:rPr>
            </w:pPr>
            <w:r>
              <w:rPr>
                <w:sz w:val="18"/>
                <w:szCs w:val="18"/>
              </w:rPr>
              <w:t>Submitting a request to a competent authority for consent to serve in a foreign army or foreign military organisation, submitting an application to the Institute of National Remembrance for access to documents in the resources of the Institute of National Remembrance</w:t>
            </w:r>
          </w:p>
        </w:tc>
        <w:tc>
          <w:tcPr>
            <w:tcW w:w="3260" w:type="dxa"/>
            <w:vAlign w:val="center"/>
          </w:tcPr>
          <w:p w:rsidR="00A053E5" w:rsidRPr="00DA3E5E" w:rsidRDefault="00A053E5" w:rsidP="00CA4AA1">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bl>
    <w:p w:rsidR="00A053E5" w:rsidRPr="00DA3E5E" w:rsidRDefault="00A053E5" w:rsidP="00A053E5">
      <w:pPr>
        <w:tabs>
          <w:tab w:val="left" w:pos="1260"/>
        </w:tabs>
        <w:suppressAutoHyphens/>
        <w:autoSpaceDE w:val="0"/>
        <w:autoSpaceDN w:val="0"/>
        <w:adjustRightInd w:val="0"/>
        <w:spacing w:after="0" w:line="240" w:lineRule="auto"/>
        <w:jc w:val="both"/>
        <w:rPr>
          <w:sz w:val="18"/>
          <w:szCs w:val="18"/>
        </w:rPr>
      </w:pPr>
    </w:p>
    <w:p w:rsidR="00FF471E" w:rsidRDefault="00FF471E"/>
    <w:sectPr w:rsidR="00FF471E" w:rsidSect="00F16A52">
      <w:pgSz w:w="16838" w:h="11906" w:orient="landscape"/>
      <w:pgMar w:top="426" w:right="709" w:bottom="426"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E5"/>
    <w:rsid w:val="00A053E5"/>
    <w:rsid w:val="00FF47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5C60A-7E41-4528-8644-C81B406B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53E5"/>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053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05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1122</Words>
  <Characters>6736</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Karsznicki Łukasz</dc:creator>
  <cp:keywords/>
  <dc:description/>
  <cp:lastModifiedBy>Karsznicki Łukasz</cp:lastModifiedBy>
  <cp:revision>1</cp:revision>
  <dcterms:created xsi:type="dcterms:W3CDTF">2022-12-05T08:43:00Z</dcterms:created>
  <dcterms:modified xsi:type="dcterms:W3CDTF">2022-12-05T08:44:00Z</dcterms:modified>
</cp:coreProperties>
</file>