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C1C2C" w:rsidRDefault="00CC1C2C" w:rsidP="00483C6B">
      <w:pPr>
        <w:spacing w:before="120" w:after="0" w:line="312" w:lineRule="auto"/>
        <w:jc w:val="center"/>
        <w:rPr>
          <w:rFonts w:ascii="Times New Roman" w:hAnsi="Times New Roman" w:cs="Times New Roman"/>
        </w:rPr>
      </w:pPr>
      <w:r>
        <w:rPr>
          <w:rFonts w:ascii="Times New Roman" w:hAnsi="Times New Roman" w:cs="Times New Roman"/>
        </w:rPr>
        <w:t>OPIS PRZEDMIOTU ZAMÓWIENIA</w:t>
      </w:r>
    </w:p>
    <w:p w:rsidR="00CC1C2C" w:rsidRDefault="00CC1C2C" w:rsidP="00483C6B">
      <w:pPr>
        <w:spacing w:before="120" w:after="0" w:line="312" w:lineRule="auto"/>
        <w:jc w:val="center"/>
        <w:rPr>
          <w:rFonts w:ascii="Times New Roman" w:hAnsi="Times New Roman" w:cs="Times New Roman"/>
          <w:b/>
          <w:bCs/>
        </w:rPr>
      </w:pPr>
      <w:r>
        <w:rPr>
          <w:rFonts w:ascii="Times New Roman" w:hAnsi="Times New Roman" w:cs="Times New Roman"/>
        </w:rPr>
        <w:t>do zadania</w:t>
      </w:r>
    </w:p>
    <w:p w:rsidR="00CC1C2C" w:rsidRDefault="00CC1C2C" w:rsidP="00483C6B">
      <w:pPr>
        <w:spacing w:before="120" w:after="0" w:line="312" w:lineRule="auto"/>
        <w:jc w:val="center"/>
        <w:rPr>
          <w:rFonts w:ascii="Times New Roman" w:hAnsi="Times New Roman" w:cs="Times New Roman"/>
          <w:b/>
          <w:bCs/>
        </w:rPr>
      </w:pPr>
      <w:r>
        <w:rPr>
          <w:rFonts w:ascii="Times New Roman" w:hAnsi="Times New Roman" w:cs="Times New Roman"/>
          <w:b/>
          <w:bCs/>
        </w:rPr>
        <w:t>„</w:t>
      </w:r>
      <w:r w:rsidR="00F24BBE">
        <w:rPr>
          <w:rFonts w:ascii="Times New Roman" w:hAnsi="Times New Roman" w:cs="Times New Roman"/>
          <w:b/>
          <w:bCs/>
        </w:rPr>
        <w:t xml:space="preserve">Badania fizykochemiczne wody dla siedliska 3160 Naturalne, dystroficzne zbiorniki wodne w obszarze </w:t>
      </w:r>
      <w:r>
        <w:rPr>
          <w:rFonts w:ascii="Times New Roman" w:hAnsi="Times New Roman" w:cs="Times New Roman"/>
          <w:b/>
          <w:bCs/>
        </w:rPr>
        <w:t>Natura 2000 Ostoja Brodnicka PLH040036”.</w:t>
      </w:r>
    </w:p>
    <w:p w:rsidR="00CC1C2C" w:rsidRDefault="00CC1C2C" w:rsidP="00483C6B">
      <w:pPr>
        <w:spacing w:before="120" w:after="0" w:line="312" w:lineRule="auto"/>
        <w:rPr>
          <w:rFonts w:ascii="Times New Roman" w:hAnsi="Times New Roman" w:cs="Times New Roman"/>
          <w:b/>
          <w:bCs/>
        </w:rPr>
      </w:pPr>
    </w:p>
    <w:p w:rsidR="00A51F17" w:rsidRPr="00C45FEF" w:rsidRDefault="00A51F17" w:rsidP="004A03C4">
      <w:pPr>
        <w:pStyle w:val="Akapitzlist1"/>
        <w:suppressAutoHyphens/>
        <w:spacing w:before="120" w:after="0" w:line="312" w:lineRule="auto"/>
        <w:ind w:left="0" w:firstLine="360"/>
        <w:jc w:val="both"/>
        <w:rPr>
          <w:rFonts w:ascii="Times New Roman" w:hAnsi="Times New Roman"/>
        </w:rPr>
      </w:pPr>
      <w:r w:rsidRPr="006A3D04">
        <w:rPr>
          <w:rFonts w:ascii="Times New Roman" w:hAnsi="Times New Roman"/>
        </w:rPr>
        <w:t>Przedmiotem zamówienia jest sporządzenie dokumentacji pt</w:t>
      </w:r>
      <w:r w:rsidR="005D35EB" w:rsidRPr="006A3D04">
        <w:rPr>
          <w:rFonts w:ascii="Times New Roman" w:hAnsi="Times New Roman"/>
        </w:rPr>
        <w:t>.</w:t>
      </w:r>
      <w:r w:rsidRPr="006A3D04">
        <w:rPr>
          <w:rFonts w:ascii="Times New Roman" w:hAnsi="Times New Roman"/>
        </w:rPr>
        <w:t xml:space="preserve"> „</w:t>
      </w:r>
      <w:r w:rsidR="006A3D04" w:rsidRPr="004A03C4">
        <w:rPr>
          <w:rFonts w:ascii="Times New Roman" w:hAnsi="Times New Roman"/>
        </w:rPr>
        <w:t>Badania fizykochemiczne wody dla siedliska 3160 Naturalne, dystroficzne zbiorniki wodne w obszarze Natura 2000 Ostoja Brodnicka PLH040036</w:t>
      </w:r>
      <w:r w:rsidRPr="006A3D04">
        <w:rPr>
          <w:rFonts w:ascii="Times New Roman" w:hAnsi="Times New Roman"/>
        </w:rPr>
        <w:t>”</w:t>
      </w:r>
      <w:r w:rsidR="00965230">
        <w:rPr>
          <w:rFonts w:ascii="Times New Roman" w:hAnsi="Times New Roman"/>
        </w:rPr>
        <w:t xml:space="preserve"> </w:t>
      </w:r>
      <w:r w:rsidR="004A03C4">
        <w:rPr>
          <w:rFonts w:ascii="Times New Roman" w:hAnsi="Times New Roman"/>
        </w:rPr>
        <w:t>na podstawie badań prowadzonych w latach 2021, 2022 i</w:t>
      </w:r>
      <w:r w:rsidR="002945EA">
        <w:rPr>
          <w:rFonts w:ascii="Times New Roman" w:hAnsi="Times New Roman"/>
        </w:rPr>
        <w:t> </w:t>
      </w:r>
      <w:r w:rsidR="004A03C4">
        <w:rPr>
          <w:rFonts w:ascii="Times New Roman" w:hAnsi="Times New Roman"/>
        </w:rPr>
        <w:t>2023, przy czym badania terenowe w ramach niniejszego zamówienia będą prowadzone tylko w roku 2023, a za poprzednie lata Regionalny Dyrektor Ochrony Środowiska w Bydgoszczy dysponuje już raportami.</w:t>
      </w:r>
    </w:p>
    <w:p w:rsidR="00CC1C2C" w:rsidRDefault="009B067D" w:rsidP="00483C6B">
      <w:pPr>
        <w:pStyle w:val="Akapitzlist1"/>
        <w:suppressAutoHyphens/>
        <w:spacing w:before="120" w:after="0" w:line="312" w:lineRule="auto"/>
        <w:ind w:left="0" w:firstLine="360"/>
        <w:jc w:val="both"/>
        <w:rPr>
          <w:rFonts w:ascii="Times New Roman" w:hAnsi="Times New Roman"/>
        </w:rPr>
      </w:pPr>
      <w:r w:rsidRPr="00C45FEF">
        <w:rPr>
          <w:rFonts w:ascii="Times New Roman" w:hAnsi="Times New Roman"/>
        </w:rPr>
        <w:t xml:space="preserve">Działania planowane </w:t>
      </w:r>
      <w:r w:rsidR="00134AB2" w:rsidRPr="00C45FEF">
        <w:rPr>
          <w:rFonts w:ascii="Times New Roman" w:hAnsi="Times New Roman"/>
        </w:rPr>
        <w:t>w projekcie</w:t>
      </w:r>
      <w:r w:rsidR="00134AB2" w:rsidRPr="00134AB2">
        <w:rPr>
          <w:rFonts w:ascii="Times New Roman" w:hAnsi="Times New Roman"/>
        </w:rPr>
        <w:t xml:space="preserve"> </w:t>
      </w:r>
      <w:r w:rsidRPr="00134AB2">
        <w:rPr>
          <w:rFonts w:ascii="Times New Roman" w:hAnsi="Times New Roman"/>
        </w:rPr>
        <w:t>wynikają z</w:t>
      </w:r>
      <w:r w:rsidR="00134AB2" w:rsidRPr="00134AB2">
        <w:rPr>
          <w:rFonts w:ascii="Times New Roman" w:hAnsi="Times New Roman"/>
        </w:rPr>
        <w:t xml:space="preserve"> </w:t>
      </w:r>
      <w:r w:rsidR="00CC1C2C" w:rsidRPr="00134AB2">
        <w:rPr>
          <w:rFonts w:ascii="Times New Roman" w:hAnsi="Times New Roman"/>
        </w:rPr>
        <w:t>zarządzenia Regionalnego Dyrektora Ochrony Środowiska w Bydgoszcz</w:t>
      </w:r>
      <w:r w:rsidR="00E85AB1" w:rsidRPr="00134AB2">
        <w:rPr>
          <w:rFonts w:ascii="Times New Roman" w:hAnsi="Times New Roman"/>
        </w:rPr>
        <w:t>y i</w:t>
      </w:r>
      <w:r w:rsidR="002945EA">
        <w:rPr>
          <w:rFonts w:ascii="Times New Roman" w:hAnsi="Times New Roman"/>
        </w:rPr>
        <w:t xml:space="preserve"> </w:t>
      </w:r>
      <w:r w:rsidR="00CC1C2C" w:rsidRPr="00134AB2">
        <w:rPr>
          <w:rFonts w:ascii="Times New Roman" w:hAnsi="Times New Roman"/>
        </w:rPr>
        <w:t>Regionalnego Dyrektora Ochrony Środowiska w</w:t>
      </w:r>
      <w:r w:rsidR="00483C6B">
        <w:rPr>
          <w:rFonts w:ascii="Times New Roman" w:hAnsi="Times New Roman"/>
        </w:rPr>
        <w:t> </w:t>
      </w:r>
      <w:r w:rsidR="00CC1C2C" w:rsidRPr="00134AB2">
        <w:rPr>
          <w:rFonts w:ascii="Times New Roman" w:hAnsi="Times New Roman"/>
        </w:rPr>
        <w:t>Olsztynie z dnia 5 stycznia 2017 r. w sprawie ustanowienia planu zadań ochronnych dla obszaru Natura 2000 Ostoja Brodnicka PLH040036 (Dz. Urz. Woj. Kuj-P</w:t>
      </w:r>
      <w:r w:rsidR="00134AB2">
        <w:rPr>
          <w:rFonts w:ascii="Times New Roman" w:hAnsi="Times New Roman"/>
        </w:rPr>
        <w:t>om. poz. 261).</w:t>
      </w:r>
    </w:p>
    <w:p w:rsidR="00221303" w:rsidRPr="00134AB2" w:rsidRDefault="00221303" w:rsidP="00483C6B">
      <w:pPr>
        <w:pStyle w:val="Akapitzlist1"/>
        <w:suppressAutoHyphens/>
        <w:spacing w:before="120" w:after="0" w:line="312" w:lineRule="auto"/>
        <w:ind w:left="0" w:firstLine="360"/>
        <w:jc w:val="both"/>
        <w:rPr>
          <w:rFonts w:ascii="Times New Roman" w:hAnsi="Times New Roman"/>
        </w:rPr>
      </w:pPr>
      <w:r>
        <w:rPr>
          <w:rFonts w:ascii="Times New Roman" w:hAnsi="Times New Roman"/>
        </w:rPr>
        <w:t>Nie jest wymagana akredytacja laboratorium badającego próby.</w:t>
      </w:r>
    </w:p>
    <w:p w:rsidR="00CC1C2C"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Zakres prac w ramach przedmiotu zamówienia:</w:t>
      </w:r>
    </w:p>
    <w:p w:rsidR="00CC1C2C" w:rsidRPr="00522159" w:rsidRDefault="00CC1C2C" w:rsidP="00483C6B">
      <w:pPr>
        <w:pStyle w:val="Akapitzlist1"/>
        <w:widowControl/>
        <w:numPr>
          <w:ilvl w:val="1"/>
          <w:numId w:val="24"/>
        </w:numPr>
        <w:suppressAutoHyphens/>
        <w:spacing w:before="120" w:after="0" w:line="312" w:lineRule="auto"/>
        <w:ind w:left="714" w:hanging="357"/>
        <w:jc w:val="both"/>
        <w:rPr>
          <w:rFonts w:ascii="Times New Roman" w:hAnsi="Times New Roman"/>
        </w:rPr>
      </w:pPr>
      <w:r w:rsidRPr="00522159">
        <w:rPr>
          <w:rFonts w:ascii="Times New Roman" w:hAnsi="Times New Roman"/>
        </w:rPr>
        <w:t xml:space="preserve">Przeprowadzenie prac terenowych zgodnie z metodyką Głównego Inspektoratu Ochrony Środowiska </w:t>
      </w:r>
      <w:r w:rsidR="00965230">
        <w:rPr>
          <w:rFonts w:ascii="Times New Roman" w:hAnsi="Times New Roman"/>
        </w:rPr>
        <w:t xml:space="preserve">dla siedliska </w:t>
      </w:r>
      <w:r w:rsidR="00522159" w:rsidRPr="00522159">
        <w:rPr>
          <w:rFonts w:ascii="Times New Roman" w:hAnsi="Times New Roman"/>
        </w:rPr>
        <w:t xml:space="preserve">przyrodniczego o kodzie </w:t>
      </w:r>
      <w:r w:rsidRPr="00522159">
        <w:rPr>
          <w:rFonts w:ascii="Times New Roman" w:hAnsi="Times New Roman"/>
        </w:rPr>
        <w:t xml:space="preserve">3160 </w:t>
      </w:r>
      <w:r w:rsidR="005114B8" w:rsidRPr="00522159">
        <w:rPr>
          <w:rFonts w:ascii="Times New Roman" w:hAnsi="Times New Roman"/>
        </w:rPr>
        <w:t xml:space="preserve">Naturalne, dystroficzne zbiorniki wodne </w:t>
      </w:r>
      <w:r w:rsidR="00F55A4C">
        <w:rPr>
          <w:rFonts w:ascii="Times New Roman" w:hAnsi="Times New Roman"/>
        </w:rPr>
        <w:t>w zakresie</w:t>
      </w:r>
      <w:r w:rsidRPr="00522159">
        <w:rPr>
          <w:rFonts w:ascii="Times New Roman" w:hAnsi="Times New Roman"/>
        </w:rPr>
        <w:t xml:space="preserve"> </w:t>
      </w:r>
      <w:r w:rsidR="00522159" w:rsidRPr="00522159">
        <w:rPr>
          <w:rFonts w:ascii="Times New Roman" w:hAnsi="Times New Roman"/>
        </w:rPr>
        <w:t>m</w:t>
      </w:r>
      <w:r w:rsidRPr="00522159">
        <w:rPr>
          <w:rFonts w:ascii="Times New Roman" w:hAnsi="Times New Roman"/>
        </w:rPr>
        <w:t>onitoring</w:t>
      </w:r>
      <w:r w:rsidR="00F55A4C">
        <w:rPr>
          <w:rFonts w:ascii="Times New Roman" w:hAnsi="Times New Roman"/>
        </w:rPr>
        <w:t>u</w:t>
      </w:r>
      <w:r w:rsidRPr="00522159">
        <w:rPr>
          <w:rFonts w:ascii="Times New Roman" w:hAnsi="Times New Roman"/>
        </w:rPr>
        <w:t xml:space="preserve"> parametrów fizykochemicznych wody (</w:t>
      </w:r>
      <w:r w:rsidR="00965230">
        <w:rPr>
          <w:rFonts w:ascii="Times New Roman" w:hAnsi="Times New Roman"/>
        </w:rPr>
        <w:t xml:space="preserve">pomiary </w:t>
      </w:r>
      <w:proofErr w:type="spellStart"/>
      <w:r w:rsidR="00965230">
        <w:rPr>
          <w:rFonts w:ascii="Times New Roman" w:hAnsi="Times New Roman"/>
        </w:rPr>
        <w:t>pH</w:t>
      </w:r>
      <w:proofErr w:type="spellEnd"/>
      <w:r w:rsidR="00965230">
        <w:rPr>
          <w:rFonts w:ascii="Times New Roman" w:hAnsi="Times New Roman"/>
        </w:rPr>
        <w:t>, HDI, konduktywności oraz</w:t>
      </w:r>
      <w:r w:rsidRPr="00522159">
        <w:rPr>
          <w:rFonts w:ascii="Times New Roman" w:hAnsi="Times New Roman"/>
        </w:rPr>
        <w:t xml:space="preserve"> barwy wody)</w:t>
      </w:r>
      <w:r w:rsidR="00965230">
        <w:rPr>
          <w:rFonts w:ascii="Times New Roman" w:hAnsi="Times New Roman"/>
        </w:rPr>
        <w:t>. Miejsce badań:</w:t>
      </w:r>
      <w:r w:rsidRPr="00522159">
        <w:rPr>
          <w:rFonts w:ascii="Times New Roman" w:hAnsi="Times New Roman"/>
        </w:rPr>
        <w:t xml:space="preserve"> jezior</w:t>
      </w:r>
      <w:r w:rsidR="00965230">
        <w:rPr>
          <w:rFonts w:ascii="Times New Roman" w:hAnsi="Times New Roman"/>
        </w:rPr>
        <w:t>o</w:t>
      </w:r>
      <w:r w:rsidRPr="00522159">
        <w:rPr>
          <w:rFonts w:ascii="Times New Roman" w:hAnsi="Times New Roman"/>
        </w:rPr>
        <w:t xml:space="preserve"> Kochanka, działka ew. nr 7158/12, </w:t>
      </w:r>
      <w:r w:rsidR="00965230">
        <w:rPr>
          <w:rFonts w:ascii="Times New Roman" w:hAnsi="Times New Roman"/>
        </w:rPr>
        <w:t>obręb ew. Zbiczno, gm. Zbiczno;</w:t>
      </w:r>
    </w:p>
    <w:p w:rsidR="006756D9" w:rsidRPr="00AF4363" w:rsidRDefault="00965230" w:rsidP="00483C6B">
      <w:pPr>
        <w:pStyle w:val="Akapitzlist1"/>
        <w:widowControl/>
        <w:numPr>
          <w:ilvl w:val="1"/>
          <w:numId w:val="24"/>
        </w:numPr>
        <w:suppressAutoHyphens/>
        <w:spacing w:before="120" w:after="0" w:line="312" w:lineRule="auto"/>
        <w:ind w:left="714" w:hanging="357"/>
        <w:jc w:val="both"/>
        <w:rPr>
          <w:rFonts w:ascii="Times New Roman" w:hAnsi="Times New Roman"/>
        </w:rPr>
      </w:pPr>
      <w:r>
        <w:rPr>
          <w:rFonts w:ascii="Times New Roman" w:hAnsi="Times New Roman"/>
        </w:rPr>
        <w:t>sporządzenie raportu z badań</w:t>
      </w:r>
      <w:r w:rsidR="002945EA">
        <w:rPr>
          <w:rFonts w:ascii="Times New Roman" w:hAnsi="Times New Roman"/>
        </w:rPr>
        <w:t>, w tym podsumowanie za lata 2021-2023</w:t>
      </w:r>
      <w:r>
        <w:rPr>
          <w:rFonts w:ascii="Times New Roman" w:hAnsi="Times New Roman"/>
        </w:rPr>
        <w:t>.</w:t>
      </w:r>
    </w:p>
    <w:p w:rsidR="00CC1C2C"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Zawartość raportu</w:t>
      </w:r>
      <w:r w:rsidR="0066143E">
        <w:rPr>
          <w:rFonts w:ascii="Times New Roman" w:hAnsi="Times New Roman"/>
        </w:rPr>
        <w:t xml:space="preserve"> </w:t>
      </w:r>
      <w:r>
        <w:rPr>
          <w:rFonts w:ascii="Times New Roman" w:hAnsi="Times New Roman"/>
        </w:rPr>
        <w:t>końcowego:</w:t>
      </w:r>
    </w:p>
    <w:p w:rsidR="00CC1C2C" w:rsidRDefault="00CC1C2C" w:rsidP="00483C6B">
      <w:pPr>
        <w:pStyle w:val="Akapitzlist1"/>
        <w:numPr>
          <w:ilvl w:val="1"/>
          <w:numId w:val="3"/>
        </w:numPr>
        <w:suppressAutoHyphens/>
        <w:spacing w:before="120" w:after="0" w:line="312" w:lineRule="auto"/>
        <w:jc w:val="both"/>
        <w:rPr>
          <w:rFonts w:ascii="Times New Roman" w:eastAsia="OpenSymbol" w:hAnsi="Times New Roman" w:cs="OpenSymbol"/>
        </w:rPr>
      </w:pPr>
      <w:r>
        <w:rPr>
          <w:rFonts w:ascii="Times New Roman" w:hAnsi="Times New Roman"/>
        </w:rPr>
        <w:t>W dokumentacji zostaną przedstawione:</w:t>
      </w:r>
    </w:p>
    <w:p w:rsidR="00522159" w:rsidRPr="00522159" w:rsidRDefault="00522159" w:rsidP="00483C6B">
      <w:pPr>
        <w:pStyle w:val="Akapitzlist1"/>
        <w:numPr>
          <w:ilvl w:val="2"/>
          <w:numId w:val="3"/>
        </w:numPr>
        <w:spacing w:before="120" w:after="0" w:line="312" w:lineRule="auto"/>
        <w:jc w:val="both"/>
        <w:rPr>
          <w:rFonts w:ascii="Times New Roman" w:eastAsia="OpenSymbol" w:hAnsi="Times New Roman" w:cs="OpenSymbol"/>
        </w:rPr>
      </w:pPr>
      <w:r w:rsidRPr="00522159">
        <w:rPr>
          <w:rFonts w:ascii="Times New Roman" w:eastAsia="OpenSymbol" w:hAnsi="Times New Roman" w:cs="OpenSymbol"/>
        </w:rPr>
        <w:t>dokładn</w:t>
      </w:r>
      <w:r>
        <w:rPr>
          <w:rFonts w:ascii="Times New Roman" w:eastAsia="OpenSymbol" w:hAnsi="Times New Roman" w:cs="OpenSymbol"/>
        </w:rPr>
        <w:t>a</w:t>
      </w:r>
      <w:r w:rsidRPr="00522159">
        <w:rPr>
          <w:rFonts w:ascii="Times New Roman" w:eastAsia="OpenSymbol" w:hAnsi="Times New Roman" w:cs="OpenSymbol"/>
        </w:rPr>
        <w:t xml:space="preserve"> metodyk</w:t>
      </w:r>
      <w:r>
        <w:rPr>
          <w:rFonts w:ascii="Times New Roman" w:eastAsia="OpenSymbol" w:hAnsi="Times New Roman" w:cs="OpenSymbol"/>
        </w:rPr>
        <w:t>a</w:t>
      </w:r>
      <w:r w:rsidRPr="00522159">
        <w:rPr>
          <w:rFonts w:ascii="Times New Roman" w:eastAsia="OpenSymbol" w:hAnsi="Times New Roman" w:cs="OpenSymbol"/>
        </w:rPr>
        <w:t xml:space="preserve"> badań terenowych i kameralnych</w:t>
      </w:r>
      <w:r w:rsidR="002945EA">
        <w:rPr>
          <w:rFonts w:ascii="Times New Roman" w:eastAsia="OpenSymbol" w:hAnsi="Times New Roman" w:cs="OpenSymbol"/>
        </w:rPr>
        <w:t xml:space="preserve"> prowadzonych w 2023 r.</w:t>
      </w:r>
      <w:r w:rsidRPr="00522159">
        <w:rPr>
          <w:rFonts w:ascii="Times New Roman" w:eastAsia="OpenSymbol" w:hAnsi="Times New Roman" w:cs="OpenSymbol"/>
        </w:rPr>
        <w:t xml:space="preserve">, </w:t>
      </w:r>
      <w:r w:rsidR="00AA04C6">
        <w:rPr>
          <w:rFonts w:ascii="Times New Roman" w:eastAsia="OpenSymbol" w:hAnsi="Times New Roman" w:cs="OpenSymbol"/>
        </w:rPr>
        <w:t xml:space="preserve">miejsce (współrzędne), </w:t>
      </w:r>
      <w:r w:rsidRPr="00522159">
        <w:rPr>
          <w:rFonts w:ascii="Times New Roman" w:eastAsia="OpenSymbol" w:hAnsi="Times New Roman" w:cs="OpenSymbol"/>
        </w:rPr>
        <w:t>dat</w:t>
      </w:r>
      <w:r>
        <w:rPr>
          <w:rFonts w:ascii="Times New Roman" w:eastAsia="OpenSymbol" w:hAnsi="Times New Roman" w:cs="OpenSymbol"/>
        </w:rPr>
        <w:t>a</w:t>
      </w:r>
      <w:r w:rsidRPr="00522159">
        <w:rPr>
          <w:rFonts w:ascii="Times New Roman" w:eastAsia="OpenSymbol" w:hAnsi="Times New Roman" w:cs="OpenSymbol"/>
        </w:rPr>
        <w:t xml:space="preserve"> i godzin</w:t>
      </w:r>
      <w:r>
        <w:rPr>
          <w:rFonts w:ascii="Times New Roman" w:eastAsia="OpenSymbol" w:hAnsi="Times New Roman" w:cs="OpenSymbol"/>
        </w:rPr>
        <w:t>a</w:t>
      </w:r>
      <w:r w:rsidRPr="00522159">
        <w:rPr>
          <w:rFonts w:ascii="Times New Roman" w:eastAsia="OpenSymbol" w:hAnsi="Times New Roman" w:cs="OpenSymbol"/>
        </w:rPr>
        <w:t xml:space="preserve"> poboru prób, </w:t>
      </w:r>
    </w:p>
    <w:p w:rsidR="00EF5D60" w:rsidRDefault="002945EA" w:rsidP="00483C6B">
      <w:pPr>
        <w:pStyle w:val="Akapitzlist1"/>
        <w:numPr>
          <w:ilvl w:val="2"/>
          <w:numId w:val="3"/>
        </w:numPr>
        <w:spacing w:before="120" w:after="0" w:line="312" w:lineRule="auto"/>
        <w:jc w:val="both"/>
        <w:rPr>
          <w:rFonts w:ascii="Times New Roman" w:eastAsia="OpenSymbol" w:hAnsi="Times New Roman" w:cs="OpenSymbol"/>
        </w:rPr>
      </w:pPr>
      <w:r>
        <w:rPr>
          <w:rFonts w:ascii="Times New Roman" w:eastAsia="OpenSymbol" w:hAnsi="Times New Roman" w:cs="OpenSymbol"/>
        </w:rPr>
        <w:t xml:space="preserve">za rok 2023 </w:t>
      </w:r>
      <w:r w:rsidR="00522159" w:rsidRPr="00EF5D60">
        <w:rPr>
          <w:rFonts w:ascii="Times New Roman" w:eastAsia="OpenSymbol" w:hAnsi="Times New Roman" w:cs="OpenSymbol"/>
        </w:rPr>
        <w:t>wyniki badań i ich interpretacja, w tym kart</w:t>
      </w:r>
      <w:r w:rsidR="001325CE">
        <w:rPr>
          <w:rFonts w:ascii="Times New Roman" w:eastAsia="OpenSymbol" w:hAnsi="Times New Roman" w:cs="OpenSymbol"/>
        </w:rPr>
        <w:t>a</w:t>
      </w:r>
      <w:r w:rsidR="00522159" w:rsidRPr="00EF5D60">
        <w:rPr>
          <w:rFonts w:ascii="Times New Roman" w:eastAsia="OpenSymbol" w:hAnsi="Times New Roman" w:cs="OpenSymbol"/>
        </w:rPr>
        <w:t xml:space="preserve"> obserwacji przedmiotu ochrony na stanowisku na wzorze formularza stosowanym w ramach PMŚ</w:t>
      </w:r>
      <w:r w:rsidR="00957E45" w:rsidRPr="00EF5D60">
        <w:rPr>
          <w:rFonts w:ascii="Times New Roman" w:eastAsia="OpenSymbol" w:hAnsi="Times New Roman" w:cs="OpenSymbol"/>
        </w:rPr>
        <w:t>– tylko w zakresie badanych parametrów,</w:t>
      </w:r>
      <w:r w:rsidR="00522159" w:rsidRPr="00EF5D60">
        <w:rPr>
          <w:rFonts w:ascii="Times New Roman" w:eastAsia="OpenSymbol" w:hAnsi="Times New Roman" w:cs="OpenSymbol"/>
        </w:rPr>
        <w:t xml:space="preserve"> z wyszczególnieniem przy wskaźniku HDI również wartośc</w:t>
      </w:r>
      <w:r w:rsidR="00F55A4C" w:rsidRPr="00EF5D60">
        <w:rPr>
          <w:rFonts w:ascii="Times New Roman" w:eastAsia="OpenSymbol" w:hAnsi="Times New Roman" w:cs="OpenSymbol"/>
        </w:rPr>
        <w:t>i poszczególnych współczynników</w:t>
      </w:r>
      <w:r w:rsidR="00957E45" w:rsidRPr="00EF5D60">
        <w:rPr>
          <w:rFonts w:ascii="Times New Roman" w:eastAsia="OpenSymbol" w:hAnsi="Times New Roman" w:cs="OpenSymbol"/>
        </w:rPr>
        <w:t xml:space="preserve">. </w:t>
      </w:r>
    </w:p>
    <w:p w:rsidR="00522159" w:rsidRPr="00EF5D60" w:rsidRDefault="00522159" w:rsidP="00483C6B">
      <w:pPr>
        <w:pStyle w:val="Akapitzlist1"/>
        <w:numPr>
          <w:ilvl w:val="2"/>
          <w:numId w:val="3"/>
        </w:numPr>
        <w:spacing w:before="120" w:after="0" w:line="312" w:lineRule="auto"/>
        <w:jc w:val="both"/>
        <w:rPr>
          <w:rFonts w:ascii="Times New Roman" w:eastAsia="OpenSymbol" w:hAnsi="Times New Roman" w:cs="OpenSymbol"/>
        </w:rPr>
      </w:pPr>
      <w:r w:rsidRPr="00EF5D60">
        <w:rPr>
          <w:rFonts w:ascii="Times New Roman" w:eastAsia="OpenSymbol" w:hAnsi="Times New Roman" w:cs="OpenSymbol"/>
        </w:rPr>
        <w:t>waloryzacja wskaźników specyficznej struktury i funkcji inwentaryzowanego siedliska zgodnie z metodyką Głównego Inspektora Ochrony Środowiska – w</w:t>
      </w:r>
      <w:r w:rsidR="00483C6B" w:rsidRPr="00EF5D60">
        <w:rPr>
          <w:rFonts w:ascii="Times New Roman" w:eastAsia="OpenSymbol" w:hAnsi="Times New Roman" w:cs="OpenSymbol"/>
        </w:rPr>
        <w:t> </w:t>
      </w:r>
      <w:r w:rsidRPr="00EF5D60">
        <w:rPr>
          <w:rFonts w:ascii="Times New Roman" w:eastAsia="OpenSymbol" w:hAnsi="Times New Roman" w:cs="OpenSymbol"/>
        </w:rPr>
        <w:t>odniesieniu do badanych parametrów</w:t>
      </w:r>
      <w:r w:rsidR="002945EA">
        <w:rPr>
          <w:rFonts w:ascii="Times New Roman" w:eastAsia="OpenSymbol" w:hAnsi="Times New Roman" w:cs="OpenSymbol"/>
        </w:rPr>
        <w:t xml:space="preserve"> w roku 2023</w:t>
      </w:r>
      <w:r w:rsidRPr="00EF5D60">
        <w:rPr>
          <w:rFonts w:ascii="Times New Roman" w:eastAsia="OpenSymbol" w:hAnsi="Times New Roman" w:cs="OpenSymbol"/>
        </w:rPr>
        <w:t>,</w:t>
      </w:r>
    </w:p>
    <w:p w:rsidR="00522159" w:rsidRPr="00EF5D60" w:rsidRDefault="00522159" w:rsidP="00483C6B">
      <w:pPr>
        <w:pStyle w:val="Akapitzlist1"/>
        <w:numPr>
          <w:ilvl w:val="2"/>
          <w:numId w:val="3"/>
        </w:numPr>
        <w:suppressAutoHyphens/>
        <w:spacing w:before="120" w:after="0" w:line="312" w:lineRule="auto"/>
        <w:jc w:val="both"/>
        <w:rPr>
          <w:rFonts w:ascii="Times New Roman" w:hAnsi="Times New Roman"/>
        </w:rPr>
      </w:pPr>
      <w:r w:rsidRPr="00EF5D60">
        <w:rPr>
          <w:rFonts w:ascii="Times New Roman" w:hAnsi="Times New Roman"/>
        </w:rPr>
        <w:lastRenderedPageBreak/>
        <w:t>minimum 2 fotografie badanego jeziora</w:t>
      </w:r>
      <w:r w:rsidR="0055584A">
        <w:rPr>
          <w:rFonts w:ascii="Times New Roman" w:hAnsi="Times New Roman"/>
        </w:rPr>
        <w:t xml:space="preserve"> wykonane w roku 2023</w:t>
      </w:r>
      <w:r w:rsidR="00483C6B" w:rsidRPr="00EF5D60">
        <w:rPr>
          <w:rFonts w:ascii="Times New Roman" w:hAnsi="Times New Roman"/>
        </w:rPr>
        <w:t>,</w:t>
      </w:r>
    </w:p>
    <w:p w:rsidR="0055584A" w:rsidRPr="0055584A" w:rsidRDefault="00CC1C2C" w:rsidP="0055584A">
      <w:pPr>
        <w:pStyle w:val="Akapitzlist1"/>
        <w:numPr>
          <w:ilvl w:val="2"/>
          <w:numId w:val="3"/>
        </w:numPr>
        <w:suppressAutoHyphens/>
        <w:spacing w:before="120" w:after="0" w:line="312" w:lineRule="auto"/>
        <w:jc w:val="both"/>
        <w:rPr>
          <w:rFonts w:ascii="Times New Roman" w:hAnsi="Times New Roman"/>
        </w:rPr>
      </w:pPr>
      <w:r>
        <w:rPr>
          <w:rFonts w:ascii="Times New Roman" w:eastAsia="OpenSymbol" w:hAnsi="Times New Roman" w:cs="OpenSymbol"/>
        </w:rPr>
        <w:t>da</w:t>
      </w:r>
      <w:r>
        <w:rPr>
          <w:rFonts w:ascii="Times New Roman" w:hAnsi="Times New Roman"/>
        </w:rPr>
        <w:t>ne GIS</w:t>
      </w:r>
      <w:r w:rsidR="006A3D04">
        <w:rPr>
          <w:rFonts w:ascii="Times New Roman" w:hAnsi="Times New Roman"/>
        </w:rPr>
        <w:t xml:space="preserve"> z lokalizacją punktu poboru prób i </w:t>
      </w:r>
      <w:r w:rsidR="001325CE">
        <w:rPr>
          <w:rFonts w:ascii="Times New Roman" w:hAnsi="Times New Roman"/>
        </w:rPr>
        <w:t xml:space="preserve">ewentualnie </w:t>
      </w:r>
      <w:r w:rsidR="006A3D04">
        <w:rPr>
          <w:rFonts w:ascii="Times New Roman" w:hAnsi="Times New Roman"/>
        </w:rPr>
        <w:t xml:space="preserve">miejsc stwierdzonych czynników wpływających na badane parametry, </w:t>
      </w:r>
      <w:r w:rsidR="00E5046D">
        <w:rPr>
          <w:rFonts w:ascii="Times New Roman" w:hAnsi="Times New Roman"/>
        </w:rPr>
        <w:t>a także mapy stanowiące wizualizację tych danych</w:t>
      </w:r>
      <w:r w:rsidR="0055584A">
        <w:rPr>
          <w:rFonts w:ascii="Times New Roman" w:hAnsi="Times New Roman"/>
        </w:rPr>
        <w:t xml:space="preserve"> – za rok 2023</w:t>
      </w:r>
      <w:r w:rsidR="0055584A" w:rsidRPr="0055584A">
        <w:rPr>
          <w:rFonts w:ascii="Times New Roman" w:eastAsia="OpenSymbol" w:hAnsi="Times New Roman" w:cs="OpenSymbol"/>
        </w:rPr>
        <w:t xml:space="preserve"> </w:t>
      </w:r>
      <w:r w:rsidR="0055584A">
        <w:rPr>
          <w:rFonts w:ascii="Times New Roman" w:eastAsia="OpenSymbol" w:hAnsi="Times New Roman" w:cs="OpenSymbol"/>
        </w:rPr>
        <w:t>,</w:t>
      </w:r>
    </w:p>
    <w:p w:rsidR="00E85AB1" w:rsidRPr="0055584A" w:rsidRDefault="0055584A">
      <w:pPr>
        <w:pStyle w:val="Akapitzlist1"/>
        <w:numPr>
          <w:ilvl w:val="2"/>
          <w:numId w:val="3"/>
        </w:numPr>
        <w:suppressAutoHyphens/>
        <w:spacing w:before="120" w:after="0" w:line="312" w:lineRule="auto"/>
        <w:jc w:val="both"/>
        <w:rPr>
          <w:rFonts w:ascii="Times New Roman" w:hAnsi="Times New Roman"/>
        </w:rPr>
      </w:pPr>
      <w:r w:rsidRPr="0055584A">
        <w:rPr>
          <w:rFonts w:ascii="Times New Roman" w:eastAsia="OpenSymbol" w:hAnsi="Times New Roman" w:cs="OpenSymbol"/>
        </w:rPr>
        <w:t>analiza wyników za rok  2023, a także zbiorczo za lata 2021-2023 (podsumowanie i wspólne wnioski)</w:t>
      </w:r>
      <w:r>
        <w:rPr>
          <w:rFonts w:ascii="Times New Roman" w:eastAsia="OpenSymbol" w:hAnsi="Times New Roman" w:cs="OpenSymbol"/>
        </w:rPr>
        <w:t>.</w:t>
      </w:r>
    </w:p>
    <w:p w:rsidR="00CC1C2C"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Sposób opracowania przedmiotu umowy:</w:t>
      </w:r>
    </w:p>
    <w:p w:rsidR="00CC1C2C" w:rsidRDefault="00412932" w:rsidP="00483C6B">
      <w:pPr>
        <w:pStyle w:val="Akapitzlist1"/>
        <w:numPr>
          <w:ilvl w:val="1"/>
          <w:numId w:val="4"/>
        </w:numPr>
        <w:suppressAutoHyphens/>
        <w:spacing w:before="120" w:after="0" w:line="312" w:lineRule="auto"/>
        <w:jc w:val="both"/>
        <w:rPr>
          <w:rFonts w:ascii="Times New Roman" w:hAnsi="Times New Roman"/>
        </w:rPr>
      </w:pPr>
      <w:r>
        <w:rPr>
          <w:rFonts w:ascii="Times New Roman" w:hAnsi="Times New Roman"/>
        </w:rPr>
        <w:t>Raport końcowy</w:t>
      </w:r>
      <w:r w:rsidR="005B6303">
        <w:rPr>
          <w:rFonts w:ascii="Times New Roman" w:hAnsi="Times New Roman"/>
        </w:rPr>
        <w:t xml:space="preserve"> </w:t>
      </w:r>
      <w:r w:rsidR="00CC1C2C">
        <w:rPr>
          <w:rFonts w:ascii="Times New Roman" w:hAnsi="Times New Roman"/>
        </w:rPr>
        <w:t>w formie wydruk</w:t>
      </w:r>
      <w:r w:rsidR="005B6303">
        <w:rPr>
          <w:rFonts w:ascii="Times New Roman" w:hAnsi="Times New Roman"/>
        </w:rPr>
        <w:t>u</w:t>
      </w:r>
      <w:r w:rsidR="00CC1C2C">
        <w:rPr>
          <w:rFonts w:ascii="Times New Roman" w:hAnsi="Times New Roman"/>
        </w:rPr>
        <w:t>, powin</w:t>
      </w:r>
      <w:r>
        <w:rPr>
          <w:rFonts w:ascii="Times New Roman" w:hAnsi="Times New Roman"/>
        </w:rPr>
        <w:t>ien</w:t>
      </w:r>
      <w:r w:rsidR="00CC1C2C">
        <w:rPr>
          <w:rFonts w:ascii="Times New Roman" w:hAnsi="Times New Roman"/>
        </w:rPr>
        <w:t xml:space="preserve"> spełniać następujące wymagania: </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 xml:space="preserve">należy stosować czcionkę Times New Roman 12 pkt, marginesy 2,5 cm oraz margines na oprawę dodatkowo 0,5 cm, </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 xml:space="preserve">format dokumentacji: A4, </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wydruk dwustronny, dopuszcza się wydruk jednostronny pojedynczych stron, np. w przypadku drukowania obrazów na dużej powierzchni strony,</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dokumentację należy sporządzić w języku polskim,</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dokumentację należy oprawić w sposób umożliwiający łatwe przeglądanie treści i uniemożliwiający wydostawanie się kar</w:t>
      </w:r>
      <w:r w:rsidR="003A7C26">
        <w:rPr>
          <w:rFonts w:ascii="Times New Roman" w:hAnsi="Times New Roman"/>
        </w:rPr>
        <w:t xml:space="preserve">tek, trwale podpisany z przodu </w:t>
      </w:r>
      <w:r>
        <w:rPr>
          <w:rFonts w:ascii="Times New Roman" w:hAnsi="Times New Roman"/>
        </w:rPr>
        <w:t>„</w:t>
      </w:r>
      <w:r w:rsidR="00B31216" w:rsidRPr="00B31216">
        <w:rPr>
          <w:rFonts w:ascii="Times New Roman" w:hAnsi="Times New Roman"/>
        </w:rPr>
        <w:t>Badania fizykochemiczne wody dla siedliska 3160 Naturalne, dystroficzne zbiorniki wodne w obszarze Natura 2000 Ostoja Brodnicka PLH040036</w:t>
      </w:r>
      <w:r w:rsidR="00160F53">
        <w:rPr>
          <w:rFonts w:ascii="Times New Roman" w:hAnsi="Times New Roman"/>
        </w:rPr>
        <w:t>.</w:t>
      </w:r>
      <w:r w:rsidR="00514335">
        <w:rPr>
          <w:rFonts w:ascii="Times New Roman" w:hAnsi="Times New Roman"/>
        </w:rPr>
        <w:t xml:space="preserve"> Rok 2022</w:t>
      </w:r>
      <w:r>
        <w:rPr>
          <w:rFonts w:ascii="Times New Roman" w:hAnsi="Times New Roman"/>
        </w:rPr>
        <w:t>”</w:t>
      </w:r>
      <w:r w:rsidR="00160F53">
        <w:rPr>
          <w:rFonts w:ascii="Times New Roman" w:hAnsi="Times New Roman"/>
        </w:rPr>
        <w:t xml:space="preserve"> </w:t>
      </w:r>
      <w:r>
        <w:rPr>
          <w:rFonts w:ascii="Times New Roman" w:hAnsi="Times New Roman"/>
        </w:rPr>
        <w:t>,</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wydruki map tematycznych w formacie A4 lub A3 z zachowaniem odpowiedniej skali (</w:t>
      </w:r>
      <w:r w:rsidR="00CD4C7F">
        <w:rPr>
          <w:rFonts w:ascii="Times New Roman" w:hAnsi="Times New Roman"/>
        </w:rPr>
        <w:t>1:10 000 lub 1:</w:t>
      </w:r>
      <w:r w:rsidR="00B375D8">
        <w:rPr>
          <w:rFonts w:ascii="Times New Roman" w:hAnsi="Times New Roman"/>
        </w:rPr>
        <w:t>5 000</w:t>
      </w:r>
      <w:r w:rsidR="00160F53">
        <w:rPr>
          <w:rFonts w:ascii="Times New Roman" w:hAnsi="Times New Roman"/>
        </w:rPr>
        <w:t xml:space="preserve"> lub inne</w:t>
      </w:r>
      <w:r w:rsidR="00007E4E">
        <w:rPr>
          <w:rFonts w:ascii="Times New Roman" w:hAnsi="Times New Roman"/>
        </w:rPr>
        <w:t>j</w:t>
      </w:r>
      <w:r w:rsidR="00160F53">
        <w:rPr>
          <w:rFonts w:ascii="Times New Roman" w:hAnsi="Times New Roman"/>
        </w:rPr>
        <w:t xml:space="preserve"> zbliżonej</w:t>
      </w:r>
      <w:r>
        <w:rPr>
          <w:rFonts w:ascii="Times New Roman" w:hAnsi="Times New Roman"/>
        </w:rPr>
        <w:t>)</w:t>
      </w:r>
      <w:r w:rsidR="00483C6B">
        <w:rPr>
          <w:rFonts w:ascii="Times New Roman" w:hAnsi="Times New Roman"/>
        </w:rPr>
        <w:t>;</w:t>
      </w:r>
    </w:p>
    <w:p w:rsidR="00CC1C2C" w:rsidRDefault="00CC1C2C" w:rsidP="00483C6B">
      <w:pPr>
        <w:pStyle w:val="Akapitzlist1"/>
        <w:numPr>
          <w:ilvl w:val="1"/>
          <w:numId w:val="4"/>
        </w:numPr>
        <w:suppressAutoHyphens/>
        <w:spacing w:before="120" w:after="0" w:line="312" w:lineRule="auto"/>
        <w:jc w:val="both"/>
        <w:rPr>
          <w:rFonts w:ascii="Times New Roman" w:hAnsi="Times New Roman"/>
        </w:rPr>
      </w:pPr>
      <w:r>
        <w:rPr>
          <w:rFonts w:ascii="Times New Roman" w:hAnsi="Times New Roman"/>
        </w:rPr>
        <w:t xml:space="preserve">Opracowanie </w:t>
      </w:r>
      <w:r w:rsidR="005B6303">
        <w:rPr>
          <w:rFonts w:ascii="Times New Roman" w:hAnsi="Times New Roman"/>
        </w:rPr>
        <w:t xml:space="preserve">końcowe </w:t>
      </w:r>
      <w:r>
        <w:rPr>
          <w:rFonts w:ascii="Times New Roman" w:hAnsi="Times New Roman"/>
        </w:rPr>
        <w:t xml:space="preserve">w wersji elektronicznej, powinno zawierać: </w:t>
      </w:r>
    </w:p>
    <w:p w:rsidR="00EE048A" w:rsidRDefault="00655081" w:rsidP="00483C6B">
      <w:pPr>
        <w:pStyle w:val="Akapitzlist1"/>
        <w:numPr>
          <w:ilvl w:val="2"/>
          <w:numId w:val="4"/>
        </w:numPr>
        <w:suppressAutoHyphens/>
        <w:spacing w:before="120" w:after="0" w:line="312" w:lineRule="auto"/>
        <w:jc w:val="both"/>
        <w:rPr>
          <w:rFonts w:ascii="Times New Roman" w:hAnsi="Times New Roman"/>
        </w:rPr>
      </w:pPr>
      <w:r w:rsidRPr="00655081">
        <w:rPr>
          <w:rFonts w:ascii="Times New Roman" w:hAnsi="Times New Roman"/>
        </w:rPr>
        <w:t>wszelkie dane, które zostaną przedstawione w wersji drukowanej</w:t>
      </w:r>
      <w:r w:rsidR="00EE048A">
        <w:rPr>
          <w:rFonts w:ascii="Times New Roman" w:hAnsi="Times New Roman"/>
        </w:rPr>
        <w:t>,</w:t>
      </w:r>
    </w:p>
    <w:p w:rsidR="00CC1C2C" w:rsidRPr="00655081" w:rsidRDefault="00CC1C2C" w:rsidP="00483C6B">
      <w:pPr>
        <w:pStyle w:val="Akapitzlist1"/>
        <w:numPr>
          <w:ilvl w:val="2"/>
          <w:numId w:val="4"/>
        </w:numPr>
        <w:suppressAutoHyphens/>
        <w:spacing w:before="120" w:after="0" w:line="312" w:lineRule="auto"/>
        <w:jc w:val="both"/>
        <w:rPr>
          <w:rFonts w:ascii="Times New Roman" w:hAnsi="Times New Roman"/>
        </w:rPr>
      </w:pPr>
      <w:r w:rsidRPr="00655081">
        <w:rPr>
          <w:rFonts w:ascii="Times New Roman" w:hAnsi="Times New Roman"/>
        </w:rPr>
        <w:t>map</w:t>
      </w:r>
      <w:r w:rsidR="00EE048A">
        <w:rPr>
          <w:rFonts w:ascii="Times New Roman" w:hAnsi="Times New Roman"/>
        </w:rPr>
        <w:t>y</w:t>
      </w:r>
      <w:r w:rsidRPr="00655081">
        <w:rPr>
          <w:rFonts w:ascii="Times New Roman" w:hAnsi="Times New Roman"/>
        </w:rPr>
        <w:t xml:space="preserve"> tematyczn</w:t>
      </w:r>
      <w:r w:rsidR="00EE048A">
        <w:rPr>
          <w:rFonts w:ascii="Times New Roman" w:hAnsi="Times New Roman"/>
        </w:rPr>
        <w:t>e</w:t>
      </w:r>
      <w:r w:rsidRPr="00655081">
        <w:rPr>
          <w:rFonts w:ascii="Times New Roman" w:hAnsi="Times New Roman"/>
        </w:rPr>
        <w:t xml:space="preserve"> w formacie PDF wraz z informacją o </w:t>
      </w:r>
      <w:proofErr w:type="spellStart"/>
      <w:r w:rsidRPr="00655081">
        <w:rPr>
          <w:rFonts w:ascii="Times New Roman" w:hAnsi="Times New Roman"/>
        </w:rPr>
        <w:t>georeferencji</w:t>
      </w:r>
      <w:proofErr w:type="spellEnd"/>
      <w:r w:rsidRPr="00655081">
        <w:rPr>
          <w:rFonts w:ascii="Times New Roman" w:hAnsi="Times New Roman"/>
        </w:rPr>
        <w:t xml:space="preserve"> i legendą,</w:t>
      </w:r>
    </w:p>
    <w:p w:rsidR="00655081" w:rsidRDefault="00655081"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dane GIS,</w:t>
      </w:r>
    </w:p>
    <w:p w:rsidR="00CC1C2C" w:rsidRDefault="005B6303"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opracowanie tekstowe</w:t>
      </w:r>
      <w:r w:rsidR="00CC1C2C">
        <w:rPr>
          <w:rFonts w:ascii="Times New Roman" w:hAnsi="Times New Roman"/>
        </w:rPr>
        <w:t xml:space="preserve"> </w:t>
      </w:r>
      <w:r>
        <w:rPr>
          <w:rFonts w:ascii="Times New Roman" w:hAnsi="Times New Roman"/>
        </w:rPr>
        <w:t xml:space="preserve">w formacie </w:t>
      </w:r>
      <w:r w:rsidR="00CC1C2C">
        <w:rPr>
          <w:rFonts w:ascii="Times New Roman" w:hAnsi="Times New Roman"/>
        </w:rPr>
        <w:t>DOC lub DOCX i PDF</w:t>
      </w:r>
      <w:r w:rsidR="00B31216">
        <w:rPr>
          <w:rFonts w:ascii="Times New Roman" w:hAnsi="Times New Roman"/>
        </w:rPr>
        <w:t xml:space="preserve"> – w wersji </w:t>
      </w:r>
      <w:r w:rsidR="00B31216" w:rsidRPr="00B31216">
        <w:rPr>
          <w:rFonts w:ascii="Times New Roman" w:hAnsi="Times New Roman"/>
        </w:rPr>
        <w:t>z</w:t>
      </w:r>
      <w:r w:rsidR="00483C6B">
        <w:rPr>
          <w:rFonts w:ascii="Times New Roman" w:hAnsi="Times New Roman"/>
        </w:rPr>
        <w:t> </w:t>
      </w:r>
      <w:r w:rsidR="00B31216" w:rsidRPr="00B31216">
        <w:rPr>
          <w:rFonts w:ascii="Times New Roman" w:hAnsi="Times New Roman"/>
        </w:rPr>
        <w:t>możliwością przeszukiwania tekstu</w:t>
      </w:r>
      <w:r w:rsidR="00CC1C2C">
        <w:rPr>
          <w:rFonts w:ascii="Times New Roman" w:hAnsi="Times New Roman"/>
        </w:rPr>
        <w:t xml:space="preserve">, </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dokumentację fotograficzną</w:t>
      </w:r>
      <w:r w:rsidR="00720C24">
        <w:rPr>
          <w:rFonts w:ascii="Times New Roman" w:hAnsi="Times New Roman"/>
        </w:rPr>
        <w:t xml:space="preserve"> - </w:t>
      </w:r>
      <w:r w:rsidR="00720C24" w:rsidRPr="00A804EC">
        <w:rPr>
          <w:rFonts w:ascii="Times New Roman" w:hAnsi="Times New Roman"/>
        </w:rPr>
        <w:t>minimum 2 fotografie badanego jeziora</w:t>
      </w:r>
      <w:r w:rsidR="00483C6B">
        <w:rPr>
          <w:rFonts w:ascii="Times New Roman" w:hAnsi="Times New Roman"/>
        </w:rPr>
        <w:t>;</w:t>
      </w:r>
    </w:p>
    <w:p w:rsidR="00A84D58" w:rsidRDefault="00A84D58" w:rsidP="00007E4E">
      <w:pPr>
        <w:pStyle w:val="Akapitzlist1"/>
        <w:numPr>
          <w:ilvl w:val="1"/>
          <w:numId w:val="4"/>
        </w:numPr>
        <w:suppressAutoHyphens/>
        <w:spacing w:before="120" w:after="0" w:line="312" w:lineRule="auto"/>
        <w:jc w:val="both"/>
        <w:rPr>
          <w:rFonts w:ascii="Times New Roman" w:hAnsi="Times New Roman"/>
        </w:rPr>
      </w:pPr>
      <w:r>
        <w:rPr>
          <w:rFonts w:ascii="Times New Roman" w:hAnsi="Times New Roman"/>
        </w:rPr>
        <w:t>Cyfrowe warstwy wektorowe powinny spełniać następujące wymagania (dane GIS):</w:t>
      </w:r>
    </w:p>
    <w:p w:rsidR="00A84D58" w:rsidRDefault="00A84D58" w:rsidP="00483C6B">
      <w:pPr>
        <w:pStyle w:val="Akapitzlist1"/>
        <w:numPr>
          <w:ilvl w:val="2"/>
          <w:numId w:val="5"/>
        </w:numPr>
        <w:suppressAutoHyphens/>
        <w:spacing w:before="120" w:after="0" w:line="312" w:lineRule="auto"/>
        <w:jc w:val="both"/>
        <w:rPr>
          <w:rFonts w:ascii="Times New Roman" w:hAnsi="Times New Roman"/>
        </w:rPr>
      </w:pPr>
      <w:r>
        <w:rPr>
          <w:rFonts w:ascii="Times New Roman" w:hAnsi="Times New Roman"/>
        </w:rPr>
        <w:t>układ współrzędnych PL-1992 (EPSG: 2180),</w:t>
      </w:r>
    </w:p>
    <w:p w:rsidR="00A84D58" w:rsidRDefault="00A84D58" w:rsidP="00483C6B">
      <w:pPr>
        <w:pStyle w:val="Akapitzlist1"/>
        <w:numPr>
          <w:ilvl w:val="2"/>
          <w:numId w:val="5"/>
        </w:numPr>
        <w:suppressAutoHyphens/>
        <w:spacing w:before="120" w:after="0" w:line="312" w:lineRule="auto"/>
        <w:jc w:val="both"/>
        <w:rPr>
          <w:rFonts w:ascii="Times New Roman" w:hAnsi="Times New Roman"/>
        </w:rPr>
      </w:pPr>
      <w:r>
        <w:rPr>
          <w:rFonts w:ascii="Times New Roman" w:hAnsi="Times New Roman"/>
        </w:rPr>
        <w:t xml:space="preserve">format zapisu warstw wektorowych to </w:t>
      </w:r>
      <w:proofErr w:type="spellStart"/>
      <w:r>
        <w:rPr>
          <w:rFonts w:ascii="Times New Roman" w:hAnsi="Times New Roman"/>
        </w:rPr>
        <w:t>shapefile</w:t>
      </w:r>
      <w:proofErr w:type="spellEnd"/>
      <w:r>
        <w:rPr>
          <w:rFonts w:ascii="Times New Roman" w:hAnsi="Times New Roman"/>
        </w:rPr>
        <w:t xml:space="preserve"> (*.</w:t>
      </w:r>
      <w:proofErr w:type="spellStart"/>
      <w:r>
        <w:rPr>
          <w:rFonts w:ascii="Times New Roman" w:hAnsi="Times New Roman"/>
        </w:rPr>
        <w:t>shp</w:t>
      </w:r>
      <w:proofErr w:type="spellEnd"/>
      <w:r>
        <w:rPr>
          <w:rFonts w:ascii="Times New Roman" w:hAnsi="Times New Roman"/>
        </w:rPr>
        <w:t>),</w:t>
      </w:r>
    </w:p>
    <w:p w:rsidR="00A84D58" w:rsidRDefault="00A84D58"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 xml:space="preserve">każdy zbiór danych ma posiadać tzw. metadane, czyli dane o danych. </w:t>
      </w:r>
      <w:r>
        <w:rPr>
          <w:rFonts w:ascii="Times New Roman" w:hAnsi="Times New Roman"/>
        </w:rPr>
        <w:lastRenderedPageBreak/>
        <w:t>Do metadanych należą m.in. informacje o źródle danych, aktualności, itp.</w:t>
      </w:r>
      <w:r w:rsidR="005251DF">
        <w:rPr>
          <w:rFonts w:ascii="Times New Roman" w:hAnsi="Times New Roman"/>
        </w:rPr>
        <w:br/>
      </w:r>
      <w:r w:rsidRPr="00F8316E">
        <w:rPr>
          <w:rFonts w:ascii="Times New Roman" w:hAnsi="Times New Roman"/>
        </w:rPr>
        <w:t>(np. Kowalski J., Nowak A.,</w:t>
      </w:r>
      <w:r w:rsidR="00483C6B">
        <w:rPr>
          <w:rFonts w:ascii="Times New Roman" w:hAnsi="Times New Roman"/>
        </w:rPr>
        <w:t xml:space="preserve"> </w:t>
      </w:r>
      <w:r w:rsidRPr="00F8316E">
        <w:rPr>
          <w:rFonts w:ascii="Times New Roman" w:hAnsi="Times New Roman"/>
        </w:rPr>
        <w:t>„</w:t>
      </w:r>
      <w:r w:rsidRPr="00957E45">
        <w:rPr>
          <w:rFonts w:ascii="Times New Roman" w:hAnsi="Times New Roman"/>
        </w:rPr>
        <w:t>Badania fizykochemiczne wody dla siedliska 3160 Naturalne, dystroficzne zbiorniki wodne w obszarze Natura 2000 Ostoja Brodnicka PLH040036</w:t>
      </w:r>
      <w:r w:rsidR="00942698">
        <w:rPr>
          <w:rFonts w:ascii="Times New Roman" w:hAnsi="Times New Roman"/>
        </w:rPr>
        <w:t>. Rok 202</w:t>
      </w:r>
      <w:r w:rsidR="006B3921">
        <w:rPr>
          <w:rFonts w:ascii="Times New Roman" w:hAnsi="Times New Roman"/>
        </w:rPr>
        <w:t>3</w:t>
      </w:r>
      <w:r w:rsidRPr="00F8316E">
        <w:rPr>
          <w:rFonts w:ascii="Times New Roman" w:hAnsi="Times New Roman"/>
        </w:rPr>
        <w:t>”) zawarte albo w tabeli atrybutów każdej z</w:t>
      </w:r>
      <w:r w:rsidR="00942698">
        <w:rPr>
          <w:rFonts w:ascii="Times New Roman" w:hAnsi="Times New Roman"/>
        </w:rPr>
        <w:t> </w:t>
      </w:r>
      <w:r w:rsidRPr="00F8316E">
        <w:rPr>
          <w:rFonts w:ascii="Times New Roman" w:hAnsi="Times New Roman"/>
        </w:rPr>
        <w:t>warstw numerycznych, albo w innym miejscu (odrębnie dla każdej warstwy numerycznej), przy czym ta</w:t>
      </w:r>
      <w:r w:rsidR="00483C6B">
        <w:rPr>
          <w:rFonts w:ascii="Times New Roman" w:hAnsi="Times New Roman"/>
        </w:rPr>
        <w:t xml:space="preserve"> </w:t>
      </w:r>
      <w:r w:rsidR="00483C6B" w:rsidRPr="00483C6B">
        <w:rPr>
          <w:rFonts w:ascii="Times New Roman" w:hAnsi="Times New Roman"/>
        </w:rPr>
        <w:t>lokalizacja musi być wyraźnie wskazana przez Wykonawcę</w:t>
      </w:r>
      <w:r w:rsidR="00483C6B">
        <w:rPr>
          <w:rFonts w:ascii="Times New Roman" w:hAnsi="Times New Roman"/>
        </w:rPr>
        <w:t>;</w:t>
      </w:r>
    </w:p>
    <w:p w:rsidR="00CC1C2C" w:rsidRDefault="00CC1C2C" w:rsidP="00483C6B">
      <w:pPr>
        <w:pStyle w:val="Akapitzlist1"/>
        <w:numPr>
          <w:ilvl w:val="1"/>
          <w:numId w:val="4"/>
        </w:numPr>
        <w:suppressAutoHyphens/>
        <w:spacing w:before="120" w:after="0" w:line="312" w:lineRule="auto"/>
        <w:jc w:val="both"/>
        <w:rPr>
          <w:rFonts w:ascii="Times New Roman" w:hAnsi="Times New Roman"/>
        </w:rPr>
      </w:pPr>
      <w:r>
        <w:rPr>
          <w:rFonts w:ascii="Times New Roman" w:hAnsi="Times New Roman"/>
        </w:rPr>
        <w:t xml:space="preserve">Wszelkie dokumenty należy zaopatrzyć co najmniej w uproszczone logo </w:t>
      </w:r>
      <w:proofErr w:type="spellStart"/>
      <w:r>
        <w:rPr>
          <w:rFonts w:ascii="Times New Roman" w:hAnsi="Times New Roman"/>
        </w:rPr>
        <w:t>WFOŚiGW</w:t>
      </w:r>
      <w:proofErr w:type="spellEnd"/>
      <w:r>
        <w:rPr>
          <w:rFonts w:ascii="Times New Roman" w:hAnsi="Times New Roman"/>
        </w:rPr>
        <w:t xml:space="preserve"> w Toruniu oraz, w informację o źródle finansowania w brzmieniu: „Dofinansowano ze środków Wojewódzkiego Funduszu Ochrony Środowiska i Gospodarki Wodnej w Toruniu".</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 xml:space="preserve">Miejsce umieszczenia logo z informacją: </w:t>
      </w:r>
    </w:p>
    <w:p w:rsidR="00CC1C2C" w:rsidRDefault="00CC1C2C" w:rsidP="00483C6B">
      <w:pPr>
        <w:pStyle w:val="Akapitzlist1"/>
        <w:numPr>
          <w:ilvl w:val="3"/>
          <w:numId w:val="24"/>
        </w:numPr>
        <w:suppressAutoHyphens/>
        <w:spacing w:before="120" w:after="0" w:line="312" w:lineRule="auto"/>
        <w:jc w:val="both"/>
        <w:rPr>
          <w:rFonts w:ascii="Times New Roman" w:hAnsi="Times New Roman"/>
        </w:rPr>
      </w:pPr>
      <w:r>
        <w:rPr>
          <w:rFonts w:ascii="Times New Roman" w:hAnsi="Times New Roman"/>
        </w:rPr>
        <w:t>Publikacje - na okładce lub na stronie technicznej (druga strona strony tytułowej),</w:t>
      </w:r>
    </w:p>
    <w:p w:rsidR="00CC1C2C" w:rsidRDefault="00CC1C2C" w:rsidP="00483C6B">
      <w:pPr>
        <w:pStyle w:val="Akapitzlist1"/>
        <w:numPr>
          <w:ilvl w:val="3"/>
          <w:numId w:val="24"/>
        </w:numPr>
        <w:suppressAutoHyphens/>
        <w:spacing w:before="120" w:after="0" w:line="312" w:lineRule="auto"/>
        <w:jc w:val="both"/>
        <w:rPr>
          <w:rFonts w:ascii="Times New Roman" w:hAnsi="Times New Roman"/>
        </w:rPr>
      </w:pPr>
      <w:r>
        <w:rPr>
          <w:rFonts w:ascii="Times New Roman" w:hAnsi="Times New Roman"/>
        </w:rPr>
        <w:t>Płyty CD, itp. - na opakowaniach,</w:t>
      </w:r>
    </w:p>
    <w:p w:rsidR="00CC1C2C" w:rsidRDefault="00CC1C2C" w:rsidP="00F83257">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 xml:space="preserve">Wymaganie, jakie musi spełniać logo </w:t>
      </w:r>
      <w:proofErr w:type="spellStart"/>
      <w:r>
        <w:rPr>
          <w:rFonts w:ascii="Times New Roman" w:hAnsi="Times New Roman"/>
        </w:rPr>
        <w:t>WFOŚiGW</w:t>
      </w:r>
      <w:proofErr w:type="spellEnd"/>
      <w:r>
        <w:rPr>
          <w:rFonts w:ascii="Times New Roman" w:hAnsi="Times New Roman"/>
        </w:rPr>
        <w:t xml:space="preserve"> w Toruniu: </w:t>
      </w:r>
    </w:p>
    <w:p w:rsidR="00CC1C2C" w:rsidRDefault="00CC1C2C" w:rsidP="00483C6B">
      <w:pPr>
        <w:pStyle w:val="Akapitzlist1"/>
        <w:numPr>
          <w:ilvl w:val="3"/>
          <w:numId w:val="24"/>
        </w:numPr>
        <w:suppressAutoHyphens/>
        <w:spacing w:before="120" w:after="0" w:line="312" w:lineRule="auto"/>
        <w:jc w:val="both"/>
        <w:rPr>
          <w:rFonts w:ascii="Times New Roman" w:hAnsi="Times New Roman"/>
        </w:rPr>
      </w:pPr>
      <w:r>
        <w:rPr>
          <w:rFonts w:ascii="Times New Roman" w:hAnsi="Times New Roman"/>
        </w:rPr>
        <w:t xml:space="preserve">rodzaj czcionki: Antykwa Połtawskiego TTF </w:t>
      </w:r>
      <w:proofErr w:type="spellStart"/>
      <w:r>
        <w:rPr>
          <w:rFonts w:ascii="Times New Roman" w:hAnsi="Times New Roman"/>
        </w:rPr>
        <w:t>Bold</w:t>
      </w:r>
      <w:proofErr w:type="spellEnd"/>
      <w:r>
        <w:rPr>
          <w:rFonts w:ascii="Times New Roman" w:hAnsi="Times New Roman"/>
        </w:rPr>
        <w:t>,</w:t>
      </w:r>
    </w:p>
    <w:p w:rsidR="00CC1C2C" w:rsidRDefault="00CC1C2C" w:rsidP="00483C6B">
      <w:pPr>
        <w:pStyle w:val="Akapitzlist1"/>
        <w:numPr>
          <w:ilvl w:val="3"/>
          <w:numId w:val="24"/>
        </w:numPr>
        <w:suppressAutoHyphens/>
        <w:spacing w:before="120" w:after="0" w:line="312" w:lineRule="auto"/>
        <w:jc w:val="both"/>
        <w:rPr>
          <w:rFonts w:ascii="Times New Roman" w:hAnsi="Times New Roman"/>
        </w:rPr>
      </w:pPr>
      <w:r>
        <w:rPr>
          <w:rFonts w:ascii="Times New Roman" w:hAnsi="Times New Roman"/>
        </w:rPr>
        <w:t>kolor: biały (C: 0, M:0, Y:0, K:0), kolor zielony (C:100 M: 0 Y:80 K:40).,</w:t>
      </w:r>
    </w:p>
    <w:p w:rsidR="00CC1C2C" w:rsidRDefault="00CC1C2C" w:rsidP="00483C6B">
      <w:pPr>
        <w:pStyle w:val="Akapitzlist1"/>
        <w:numPr>
          <w:ilvl w:val="3"/>
          <w:numId w:val="24"/>
        </w:numPr>
        <w:suppressAutoHyphens/>
        <w:spacing w:before="120" w:after="0" w:line="312" w:lineRule="auto"/>
        <w:jc w:val="both"/>
        <w:rPr>
          <w:rFonts w:ascii="Times New Roman" w:hAnsi="Times New Roman"/>
        </w:rPr>
      </w:pPr>
      <w:r>
        <w:rPr>
          <w:rFonts w:ascii="Times New Roman" w:hAnsi="Times New Roman"/>
        </w:rPr>
        <w:t>standardowym tłem dla logo jest kolor</w:t>
      </w:r>
      <w:r w:rsidR="00F83257">
        <w:rPr>
          <w:rFonts w:ascii="Times New Roman" w:hAnsi="Times New Roman"/>
        </w:rPr>
        <w:t xml:space="preserve"> biały, przy czym dopuszcza się </w:t>
      </w:r>
      <w:r>
        <w:rPr>
          <w:rFonts w:ascii="Times New Roman" w:hAnsi="Times New Roman"/>
        </w:rPr>
        <w:t>w</w:t>
      </w:r>
      <w:r w:rsidR="00F83257">
        <w:rPr>
          <w:rFonts w:ascii="Times New Roman" w:hAnsi="Times New Roman"/>
        </w:rPr>
        <w:t> </w:t>
      </w:r>
      <w:r>
        <w:rPr>
          <w:rFonts w:ascii="Times New Roman" w:hAnsi="Times New Roman"/>
        </w:rPr>
        <w:t xml:space="preserve">uzasadnionych przypadkach stosowanie innego koloru tła niż biały. </w:t>
      </w:r>
    </w:p>
    <w:p w:rsidR="00F83257" w:rsidRDefault="00F83257" w:rsidP="00F83257">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 xml:space="preserve">W miarę możliwości logo powinno być przedstawione w wersji kolorowej. Standardowym kolorem jest: </w:t>
      </w:r>
    </w:p>
    <w:p w:rsidR="00F83257" w:rsidRDefault="00F83257" w:rsidP="00F83257">
      <w:pPr>
        <w:pStyle w:val="Akapitzlist1"/>
        <w:numPr>
          <w:ilvl w:val="3"/>
          <w:numId w:val="24"/>
        </w:numPr>
        <w:suppressAutoHyphens/>
        <w:spacing w:before="120" w:after="0" w:line="312" w:lineRule="auto"/>
        <w:jc w:val="both"/>
        <w:rPr>
          <w:rFonts w:ascii="Times New Roman" w:hAnsi="Times New Roman"/>
        </w:rPr>
      </w:pPr>
      <w:r>
        <w:rPr>
          <w:rFonts w:ascii="Times New Roman" w:hAnsi="Times New Roman"/>
        </w:rPr>
        <w:t xml:space="preserve">Zielony: </w:t>
      </w:r>
      <w:r w:rsidR="00BE2C57">
        <w:rPr>
          <w:rFonts w:ascii="Times New Roman" w:hAnsi="Times New Roman"/>
          <w:noProof/>
        </w:rPr>
        <w:drawing>
          <wp:inline distT="0" distB="0" distL="0" distR="0">
            <wp:extent cx="828675" cy="20955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209550"/>
                    </a:xfrm>
                    <a:prstGeom prst="rect">
                      <a:avLst/>
                    </a:prstGeom>
                    <a:solidFill>
                      <a:srgbClr val="FFFFFF">
                        <a:alpha val="0"/>
                      </a:srgbClr>
                    </a:solidFill>
                    <a:ln>
                      <a:noFill/>
                    </a:ln>
                  </pic:spPr>
                </pic:pic>
              </a:graphicData>
            </a:graphic>
          </wp:inline>
        </w:drawing>
      </w:r>
    </w:p>
    <w:p w:rsidR="00F83257" w:rsidRDefault="00F83257" w:rsidP="00F83257">
      <w:pPr>
        <w:pStyle w:val="Akapitzlist1"/>
        <w:numPr>
          <w:ilvl w:val="3"/>
          <w:numId w:val="24"/>
        </w:numPr>
        <w:suppressAutoHyphens/>
        <w:spacing w:before="120" w:after="0" w:line="312" w:lineRule="auto"/>
        <w:jc w:val="both"/>
        <w:rPr>
          <w:rFonts w:ascii="Times New Roman" w:hAnsi="Times New Roman"/>
        </w:rPr>
      </w:pPr>
      <w:r>
        <w:rPr>
          <w:rFonts w:ascii="Times New Roman" w:hAnsi="Times New Roman"/>
        </w:rPr>
        <w:t>C:100, M: 0, Y:80, K:40</w:t>
      </w:r>
    </w:p>
    <w:p w:rsidR="00F83257" w:rsidRDefault="00F83257" w:rsidP="00F83257">
      <w:pPr>
        <w:pStyle w:val="Akapitzlist1"/>
        <w:numPr>
          <w:ilvl w:val="3"/>
          <w:numId w:val="24"/>
        </w:numPr>
        <w:suppressAutoHyphens/>
        <w:spacing w:before="120" w:after="0" w:line="312" w:lineRule="auto"/>
        <w:jc w:val="both"/>
        <w:rPr>
          <w:rFonts w:ascii="Times New Roman" w:hAnsi="Times New Roman"/>
        </w:rPr>
      </w:pPr>
      <w:proofErr w:type="spellStart"/>
      <w:r>
        <w:rPr>
          <w:rFonts w:ascii="Times New Roman" w:hAnsi="Times New Roman"/>
        </w:rPr>
        <w:t>Pantone</w:t>
      </w:r>
      <w:proofErr w:type="spellEnd"/>
      <w:r>
        <w:rPr>
          <w:rFonts w:ascii="Times New Roman" w:hAnsi="Times New Roman"/>
        </w:rPr>
        <w:t xml:space="preserve">: 349 C/U </w:t>
      </w:r>
    </w:p>
    <w:p w:rsidR="00CC1C2C" w:rsidRDefault="00CC1C2C" w:rsidP="00483C6B">
      <w:pPr>
        <w:pStyle w:val="Akapitzlist1"/>
        <w:numPr>
          <w:ilvl w:val="2"/>
          <w:numId w:val="4"/>
        </w:numPr>
        <w:suppressAutoHyphens/>
        <w:spacing w:before="120" w:after="0" w:line="312" w:lineRule="auto"/>
        <w:jc w:val="both"/>
        <w:rPr>
          <w:rFonts w:ascii="Times New Roman" w:hAnsi="Times New Roman"/>
        </w:rPr>
      </w:pPr>
      <w:r>
        <w:rPr>
          <w:rFonts w:ascii="Times New Roman" w:hAnsi="Times New Roman"/>
        </w:rPr>
        <w:t xml:space="preserve">Wzory logo </w:t>
      </w:r>
      <w:proofErr w:type="spellStart"/>
      <w:r>
        <w:rPr>
          <w:rFonts w:ascii="Times New Roman" w:hAnsi="Times New Roman"/>
        </w:rPr>
        <w:t>WFOŚiGW</w:t>
      </w:r>
      <w:proofErr w:type="spellEnd"/>
      <w:r>
        <w:rPr>
          <w:rFonts w:ascii="Times New Roman" w:hAnsi="Times New Roman"/>
        </w:rPr>
        <w:t xml:space="preserve"> w Toruniu w układzie poziomym i pionowym wraz z opisem proporcji znaku: </w:t>
      </w:r>
    </w:p>
    <w:p w:rsidR="00CC1C2C" w:rsidRDefault="00BE2C57" w:rsidP="00483C6B">
      <w:pPr>
        <w:pStyle w:val="Akapitzlist1"/>
        <w:suppressAutoHyphens/>
        <w:spacing w:before="120" w:after="0" w:line="312" w:lineRule="auto"/>
        <w:ind w:left="60"/>
        <w:jc w:val="both"/>
        <w:rPr>
          <w:rFonts w:ascii="Times New Roman" w:hAnsi="Times New Roman"/>
        </w:rPr>
      </w:pPr>
      <w:r>
        <w:rPr>
          <w:rFonts w:ascii="Times New Roman" w:hAnsi="Times New Roman"/>
          <w:noProof/>
        </w:rPr>
        <w:lastRenderedPageBreak/>
        <w:drawing>
          <wp:inline distT="0" distB="0" distL="0" distR="0">
            <wp:extent cx="4610100" cy="184785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1847850"/>
                    </a:xfrm>
                    <a:prstGeom prst="rect">
                      <a:avLst/>
                    </a:prstGeom>
                    <a:solidFill>
                      <a:srgbClr val="FFFFFF">
                        <a:alpha val="0"/>
                      </a:srgbClr>
                    </a:solidFill>
                    <a:ln>
                      <a:noFill/>
                    </a:ln>
                  </pic:spPr>
                </pic:pic>
              </a:graphicData>
            </a:graphic>
          </wp:inline>
        </w:drawing>
      </w:r>
    </w:p>
    <w:p w:rsidR="00CC1C2C" w:rsidRDefault="00CC1C2C" w:rsidP="00483C6B">
      <w:pPr>
        <w:spacing w:before="120" w:after="0" w:line="312" w:lineRule="auto"/>
        <w:jc w:val="both"/>
      </w:pPr>
    </w:p>
    <w:p w:rsidR="00CC1C2C" w:rsidRDefault="00BE2C57" w:rsidP="00483C6B">
      <w:pPr>
        <w:pStyle w:val="Akapitzlist1"/>
        <w:suppressAutoHyphens/>
        <w:spacing w:before="120" w:after="0" w:line="312" w:lineRule="auto"/>
        <w:ind w:left="360"/>
        <w:jc w:val="both"/>
        <w:rPr>
          <w:rFonts w:ascii="Times New Roman" w:hAnsi="Times New Roman"/>
        </w:rPr>
      </w:pPr>
      <w:r>
        <w:rPr>
          <w:rFonts w:ascii="Times New Roman" w:hAnsi="Times New Roman"/>
          <w:noProof/>
        </w:rPr>
        <w:drawing>
          <wp:inline distT="0" distB="0" distL="0" distR="0">
            <wp:extent cx="3876675" cy="36004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6675" cy="3600450"/>
                    </a:xfrm>
                    <a:prstGeom prst="rect">
                      <a:avLst/>
                    </a:prstGeom>
                    <a:solidFill>
                      <a:srgbClr val="FFFFFF">
                        <a:alpha val="0"/>
                      </a:srgbClr>
                    </a:solidFill>
                    <a:ln>
                      <a:noFill/>
                    </a:ln>
                  </pic:spPr>
                </pic:pic>
              </a:graphicData>
            </a:graphic>
          </wp:inline>
        </w:drawing>
      </w:r>
    </w:p>
    <w:p w:rsidR="00CC1C2C" w:rsidRDefault="00CC1C2C" w:rsidP="00483C6B">
      <w:pPr>
        <w:pStyle w:val="Akapitzlist1"/>
        <w:numPr>
          <w:ilvl w:val="2"/>
          <w:numId w:val="4"/>
        </w:numPr>
        <w:suppressAutoHyphens/>
        <w:spacing w:before="120" w:after="0" w:line="312" w:lineRule="auto"/>
        <w:jc w:val="both"/>
      </w:pPr>
      <w:r>
        <w:rPr>
          <w:rFonts w:ascii="Times New Roman" w:hAnsi="Times New Roman"/>
        </w:rPr>
        <w:t>reprodukcja w skali szarości powinna zachować wszystkie procentowe proporcje znaku opisane powyżej. Zastosowane barwy to: podstawa - 100 % czerni lub szarość - 70 % wysycenia czerni.</w:t>
      </w:r>
    </w:p>
    <w:p w:rsidR="00CC1C2C" w:rsidRDefault="00BE2C57" w:rsidP="00483C6B">
      <w:pPr>
        <w:spacing w:before="120" w:after="0" w:line="312" w:lineRule="auto"/>
        <w:jc w:val="both"/>
        <w:rPr>
          <w:rFonts w:ascii="Times New Roman" w:hAnsi="Times New Roman" w:cs="Times New Roman"/>
        </w:rPr>
      </w:pPr>
      <w:r>
        <w:rPr>
          <w:rFonts w:ascii="Times New Roman" w:hAnsi="Times New Roman" w:cs="Times New Roman"/>
          <w:noProof/>
        </w:rPr>
        <w:drawing>
          <wp:inline distT="0" distB="0" distL="0" distR="0">
            <wp:extent cx="5762625" cy="809625"/>
            <wp:effectExtent l="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09625"/>
                    </a:xfrm>
                    <a:prstGeom prst="rect">
                      <a:avLst/>
                    </a:prstGeom>
                    <a:solidFill>
                      <a:srgbClr val="FFFFFF">
                        <a:alpha val="0"/>
                      </a:srgbClr>
                    </a:solidFill>
                    <a:ln>
                      <a:noFill/>
                    </a:ln>
                  </pic:spPr>
                </pic:pic>
              </a:graphicData>
            </a:graphic>
          </wp:inline>
        </w:drawing>
      </w:r>
      <w:r>
        <w:rPr>
          <w:rFonts w:ascii="Times New Roman" w:hAnsi="Times New Roman" w:cs="Times New Roman"/>
          <w:noProof/>
        </w:rPr>
        <w:drawing>
          <wp:inline distT="0" distB="0" distL="0" distR="0">
            <wp:extent cx="5762625" cy="80962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809625"/>
                    </a:xfrm>
                    <a:prstGeom prst="rect">
                      <a:avLst/>
                    </a:prstGeom>
                    <a:solidFill>
                      <a:srgbClr val="FFFFFF">
                        <a:alpha val="0"/>
                      </a:srgbClr>
                    </a:solidFill>
                    <a:ln>
                      <a:noFill/>
                    </a:ln>
                  </pic:spPr>
                </pic:pic>
              </a:graphicData>
            </a:graphic>
          </wp:inline>
        </w:drawing>
      </w:r>
    </w:p>
    <w:p w:rsidR="00CC1C2C" w:rsidRDefault="00CC1C2C" w:rsidP="00483C6B">
      <w:pPr>
        <w:pStyle w:val="Akapitzlist1"/>
        <w:suppressAutoHyphens/>
        <w:spacing w:before="120" w:after="0" w:line="312" w:lineRule="auto"/>
        <w:ind w:left="60"/>
        <w:jc w:val="both"/>
        <w:rPr>
          <w:rFonts w:ascii="Times New Roman" w:hAnsi="Times New Roman"/>
        </w:rPr>
      </w:pPr>
    </w:p>
    <w:p w:rsidR="00CC1C2C" w:rsidRDefault="00CC1C2C" w:rsidP="00AC644C">
      <w:pPr>
        <w:pStyle w:val="Akapitzlist1"/>
        <w:widowControl/>
        <w:numPr>
          <w:ilvl w:val="2"/>
          <w:numId w:val="4"/>
        </w:numPr>
        <w:suppressAutoHyphens/>
        <w:spacing w:before="120" w:after="0" w:line="312" w:lineRule="auto"/>
        <w:ind w:left="1077" w:hanging="357"/>
        <w:jc w:val="both"/>
        <w:rPr>
          <w:rFonts w:ascii="Times New Roman" w:hAnsi="Times New Roman"/>
        </w:rPr>
      </w:pPr>
      <w:r>
        <w:rPr>
          <w:rFonts w:ascii="Times New Roman" w:hAnsi="Times New Roman"/>
        </w:rPr>
        <w:lastRenderedPageBreak/>
        <w:t xml:space="preserve">W uzasadnionych przypadkach, po konsultacji z pracownikiem Regionalnej Dyrekcji Ochrony Środowiska w Bydgoszczy, koordynującym realizację umowy, dopuszczalne jest zastosowanie rozwiązań innych niż wskazane powyżej, zapewniających skuteczną promocję </w:t>
      </w:r>
      <w:proofErr w:type="spellStart"/>
      <w:r>
        <w:rPr>
          <w:rFonts w:ascii="Times New Roman" w:hAnsi="Times New Roman"/>
        </w:rPr>
        <w:t>WFOŚiGW</w:t>
      </w:r>
      <w:proofErr w:type="spellEnd"/>
      <w:r>
        <w:rPr>
          <w:rFonts w:ascii="Times New Roman" w:hAnsi="Times New Roman"/>
        </w:rPr>
        <w:t xml:space="preserve"> w Toruniu</w:t>
      </w:r>
      <w:r w:rsidR="00483C6B">
        <w:rPr>
          <w:rFonts w:ascii="Times New Roman" w:hAnsi="Times New Roman"/>
        </w:rPr>
        <w:t>;</w:t>
      </w:r>
    </w:p>
    <w:p w:rsidR="00CC1C2C"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Wykonawca uzyska we własnym zakresie wszelkie wymagane zezwolenia związane</w:t>
      </w:r>
      <w:r>
        <w:rPr>
          <w:rFonts w:ascii="Times New Roman" w:hAnsi="Times New Roman"/>
        </w:rPr>
        <w:br/>
        <w:t>z realizowanymi pracami i pokryje związane z ich uzyskaniem koszty</w:t>
      </w:r>
      <w:r w:rsidR="00483C6B">
        <w:rPr>
          <w:rFonts w:ascii="Times New Roman" w:hAnsi="Times New Roman"/>
        </w:rPr>
        <w:t>;</w:t>
      </w:r>
    </w:p>
    <w:p w:rsidR="00CC1C2C"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Wszelki sprzęt niezbędny do wykonania zadania, w tym komputer i oprogramowanie do opracowania projektu do druku, ewentualny pojazd pływający, odczynniki itp. zapewnia Wykonawca. Jest on również zobowiązany do pokrycia kosztów dojazdów koniecznych do realizacji przedmiotowego zamówienia oraz kosztów materiałów niezbędnych do wykonania zadania. Zamawiający nie ponosi dodatkowych kosztów związanych z</w:t>
      </w:r>
      <w:r w:rsidR="002C688D">
        <w:rPr>
          <w:rFonts w:ascii="Times New Roman" w:hAnsi="Times New Roman"/>
        </w:rPr>
        <w:t> </w:t>
      </w:r>
      <w:r>
        <w:rPr>
          <w:rFonts w:ascii="Times New Roman" w:hAnsi="Times New Roman"/>
        </w:rPr>
        <w:t>zadaniem</w:t>
      </w:r>
      <w:r w:rsidR="00483C6B">
        <w:rPr>
          <w:rFonts w:ascii="Times New Roman" w:hAnsi="Times New Roman"/>
        </w:rPr>
        <w:t>;</w:t>
      </w:r>
    </w:p>
    <w:p w:rsidR="00CC1C2C"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Zamawiający zastrzega sobie prawo kontroli sposobu realizacji prac objętych umową, w szczególności prac terenowych oraz do przekazywania uwag i wniosków na każdym etapie w trakcie realizacji zadania</w:t>
      </w:r>
      <w:r w:rsidR="00483C6B">
        <w:rPr>
          <w:rFonts w:ascii="Times New Roman" w:hAnsi="Times New Roman"/>
        </w:rPr>
        <w:t>;</w:t>
      </w:r>
    </w:p>
    <w:p w:rsidR="00CC1C2C"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Wykonawca zobowiązany jest do udzielania bieżących informacji odnośnie zakresu zrealizowanych i planowanych do realizacji prac nie później niż w terminie 7 dni od daty otrzymania zapytania oraz</w:t>
      </w:r>
      <w:r w:rsidR="002C688D">
        <w:rPr>
          <w:rFonts w:ascii="Times New Roman" w:hAnsi="Times New Roman"/>
        </w:rPr>
        <w:t>,</w:t>
      </w:r>
      <w:r>
        <w:rPr>
          <w:rFonts w:ascii="Times New Roman" w:hAnsi="Times New Roman"/>
        </w:rPr>
        <w:t xml:space="preserve"> na wniosek Zamawiającego</w:t>
      </w:r>
      <w:r w:rsidR="002C688D">
        <w:rPr>
          <w:rFonts w:ascii="Times New Roman" w:hAnsi="Times New Roman"/>
        </w:rPr>
        <w:t>,</w:t>
      </w:r>
      <w:r>
        <w:rPr>
          <w:rFonts w:ascii="Times New Roman" w:hAnsi="Times New Roman"/>
        </w:rPr>
        <w:t xml:space="preserve"> umożliwienia bezpośredniej kontroli prowadzonych prac terenowych</w:t>
      </w:r>
      <w:r w:rsidR="00483C6B">
        <w:rPr>
          <w:rFonts w:ascii="Times New Roman" w:hAnsi="Times New Roman"/>
        </w:rPr>
        <w:t>;</w:t>
      </w:r>
    </w:p>
    <w:p w:rsidR="00254FF7" w:rsidRDefault="00CC1C2C" w:rsidP="00483C6B">
      <w:pPr>
        <w:pStyle w:val="Akapitzlist1"/>
        <w:numPr>
          <w:ilvl w:val="0"/>
          <w:numId w:val="24"/>
        </w:numPr>
        <w:suppressAutoHyphens/>
        <w:spacing w:before="120" w:after="0" w:line="312" w:lineRule="auto"/>
        <w:jc w:val="both"/>
        <w:rPr>
          <w:rFonts w:ascii="Times New Roman" w:hAnsi="Times New Roman"/>
        </w:rPr>
      </w:pPr>
      <w:r>
        <w:rPr>
          <w:rFonts w:ascii="Times New Roman" w:hAnsi="Times New Roman"/>
        </w:rPr>
        <w:t>Termin realizacji zamówienia (sporządzenia ostatecznej wersji dokumentacji):</w:t>
      </w:r>
      <w:r w:rsidR="00AC644C">
        <w:rPr>
          <w:rFonts w:ascii="Times New Roman" w:hAnsi="Times New Roman"/>
        </w:rPr>
        <w:br/>
      </w:r>
      <w:r w:rsidR="00032E3D">
        <w:rPr>
          <w:rFonts w:ascii="Times New Roman" w:hAnsi="Times New Roman"/>
        </w:rPr>
        <w:t>1</w:t>
      </w:r>
      <w:r w:rsidR="006B3921">
        <w:rPr>
          <w:rFonts w:ascii="Times New Roman" w:hAnsi="Times New Roman"/>
        </w:rPr>
        <w:t>6</w:t>
      </w:r>
      <w:r w:rsidR="00032E3D">
        <w:rPr>
          <w:rFonts w:ascii="Times New Roman" w:hAnsi="Times New Roman"/>
        </w:rPr>
        <w:t xml:space="preserve"> </w:t>
      </w:r>
      <w:r w:rsidR="00380D09">
        <w:rPr>
          <w:rFonts w:ascii="Times New Roman" w:hAnsi="Times New Roman"/>
        </w:rPr>
        <w:t>października 202</w:t>
      </w:r>
      <w:r w:rsidR="006B3921">
        <w:rPr>
          <w:rFonts w:ascii="Times New Roman" w:hAnsi="Times New Roman"/>
        </w:rPr>
        <w:t>3</w:t>
      </w:r>
      <w:r>
        <w:rPr>
          <w:rFonts w:ascii="Times New Roman" w:hAnsi="Times New Roman"/>
        </w:rPr>
        <w:t xml:space="preserve"> r.</w:t>
      </w:r>
    </w:p>
    <w:p w:rsidR="00CC1C2C" w:rsidRPr="00254FF7" w:rsidRDefault="00CC1C2C" w:rsidP="00483C6B">
      <w:pPr>
        <w:pStyle w:val="Akapitzlist1"/>
        <w:numPr>
          <w:ilvl w:val="0"/>
          <w:numId w:val="24"/>
        </w:numPr>
        <w:suppressAutoHyphens/>
        <w:spacing w:before="120" w:after="0" w:line="312" w:lineRule="auto"/>
        <w:jc w:val="both"/>
        <w:rPr>
          <w:rFonts w:ascii="Times New Roman" w:hAnsi="Times New Roman"/>
        </w:rPr>
      </w:pPr>
      <w:r w:rsidRPr="00254FF7">
        <w:rPr>
          <w:rFonts w:ascii="Times New Roman" w:hAnsi="Times New Roman"/>
        </w:rPr>
        <w:t xml:space="preserve">Harmonogram prac: </w:t>
      </w:r>
    </w:p>
    <w:p w:rsidR="00380D09" w:rsidRPr="006B3921" w:rsidRDefault="00380D09" w:rsidP="006B3921">
      <w:pPr>
        <w:pStyle w:val="Akapitzlist1"/>
        <w:numPr>
          <w:ilvl w:val="1"/>
          <w:numId w:val="30"/>
        </w:numPr>
        <w:suppressAutoHyphens/>
        <w:spacing w:before="120" w:after="0" w:line="312" w:lineRule="auto"/>
        <w:jc w:val="both"/>
        <w:rPr>
          <w:rFonts w:ascii="Times New Roman" w:hAnsi="Times New Roman"/>
        </w:rPr>
      </w:pPr>
      <w:r w:rsidRPr="00BE5224">
        <w:rPr>
          <w:rFonts w:ascii="Times New Roman" w:hAnsi="Times New Roman"/>
        </w:rPr>
        <w:t>Wykonawca przeprowadzi badania terenowe</w:t>
      </w:r>
      <w:r w:rsidR="00C41466">
        <w:rPr>
          <w:rFonts w:ascii="Times New Roman" w:hAnsi="Times New Roman"/>
        </w:rPr>
        <w:t xml:space="preserve"> (w lipcu lub sierpniu</w:t>
      </w:r>
      <w:r w:rsidR="004E251A">
        <w:rPr>
          <w:rFonts w:ascii="Times New Roman" w:hAnsi="Times New Roman"/>
        </w:rPr>
        <w:t xml:space="preserve"> 202</w:t>
      </w:r>
      <w:r w:rsidR="006B3921">
        <w:rPr>
          <w:rFonts w:ascii="Times New Roman" w:hAnsi="Times New Roman"/>
        </w:rPr>
        <w:t>3</w:t>
      </w:r>
      <w:r w:rsidR="004E251A">
        <w:rPr>
          <w:rFonts w:ascii="Times New Roman" w:hAnsi="Times New Roman"/>
        </w:rPr>
        <w:t xml:space="preserve"> r.</w:t>
      </w:r>
      <w:r w:rsidR="00C41466">
        <w:rPr>
          <w:rFonts w:ascii="Times New Roman" w:hAnsi="Times New Roman"/>
        </w:rPr>
        <w:t xml:space="preserve">) </w:t>
      </w:r>
      <w:r w:rsidRPr="00BE5224">
        <w:rPr>
          <w:rFonts w:ascii="Times New Roman" w:hAnsi="Times New Roman"/>
        </w:rPr>
        <w:t>i</w:t>
      </w:r>
      <w:r w:rsidR="004E251A">
        <w:rPr>
          <w:rFonts w:ascii="Times New Roman" w:hAnsi="Times New Roman"/>
        </w:rPr>
        <w:t> </w:t>
      </w:r>
      <w:r w:rsidRPr="00BE5224">
        <w:rPr>
          <w:rFonts w:ascii="Times New Roman" w:hAnsi="Times New Roman"/>
        </w:rPr>
        <w:t>kameralne, a następnie do dnia</w:t>
      </w:r>
      <w:r w:rsidR="00483C6B">
        <w:rPr>
          <w:rFonts w:ascii="Times New Roman" w:hAnsi="Times New Roman"/>
        </w:rPr>
        <w:t xml:space="preserve"> </w:t>
      </w:r>
      <w:r w:rsidR="00115B91" w:rsidRPr="00BE5224">
        <w:rPr>
          <w:rFonts w:ascii="Times New Roman" w:hAnsi="Times New Roman"/>
        </w:rPr>
        <w:t>2</w:t>
      </w:r>
      <w:r w:rsidR="006B3921">
        <w:rPr>
          <w:rFonts w:ascii="Times New Roman" w:hAnsi="Times New Roman"/>
        </w:rPr>
        <w:t>5</w:t>
      </w:r>
      <w:r w:rsidR="00115B91" w:rsidRPr="00BE5224">
        <w:rPr>
          <w:rFonts w:ascii="Times New Roman" w:hAnsi="Times New Roman"/>
        </w:rPr>
        <w:t xml:space="preserve"> września</w:t>
      </w:r>
      <w:r w:rsidRPr="00BE5224">
        <w:rPr>
          <w:rFonts w:ascii="Times New Roman" w:hAnsi="Times New Roman"/>
        </w:rPr>
        <w:t xml:space="preserve"> 202</w:t>
      </w:r>
      <w:r w:rsidR="006B3921">
        <w:rPr>
          <w:rFonts w:ascii="Times New Roman" w:hAnsi="Times New Roman"/>
        </w:rPr>
        <w:t>3</w:t>
      </w:r>
      <w:r w:rsidRPr="006B3921">
        <w:rPr>
          <w:rFonts w:ascii="Times New Roman" w:hAnsi="Times New Roman"/>
        </w:rPr>
        <w:t xml:space="preserve"> r. dostarczy </w:t>
      </w:r>
      <w:r w:rsidR="004E251A" w:rsidRPr="006B3921">
        <w:rPr>
          <w:rFonts w:ascii="Times New Roman" w:hAnsi="Times New Roman"/>
        </w:rPr>
        <w:t>raport końcowy</w:t>
      </w:r>
      <w:r w:rsidRPr="006B3921">
        <w:rPr>
          <w:rFonts w:ascii="Times New Roman" w:hAnsi="Times New Roman"/>
        </w:rPr>
        <w:t xml:space="preserve"> </w:t>
      </w:r>
      <w:r w:rsidR="004E251A" w:rsidRPr="006B3921">
        <w:rPr>
          <w:rFonts w:ascii="Times New Roman" w:hAnsi="Times New Roman"/>
        </w:rPr>
        <w:t>w zakresie określonym w punktach 2 i 3 przedmiotowego opisu przedmiotu zamówienia</w:t>
      </w:r>
      <w:r w:rsidR="00115B91" w:rsidRPr="006B3921">
        <w:rPr>
          <w:rFonts w:ascii="Times New Roman" w:eastAsia="OpenSymbol" w:hAnsi="Times New Roman"/>
        </w:rPr>
        <w:t xml:space="preserve">. Dane zostaną przesłane </w:t>
      </w:r>
      <w:r w:rsidR="00C24450" w:rsidRPr="006B3921">
        <w:rPr>
          <w:rFonts w:ascii="Times New Roman" w:eastAsia="OpenSymbol" w:hAnsi="Times New Roman"/>
        </w:rPr>
        <w:t xml:space="preserve">wyłącznie </w:t>
      </w:r>
      <w:r w:rsidR="00115B91" w:rsidRPr="006B3921">
        <w:rPr>
          <w:rFonts w:ascii="Times New Roman" w:eastAsia="OpenSymbol" w:hAnsi="Times New Roman"/>
        </w:rPr>
        <w:t xml:space="preserve">w wersji elektronicznej na adres: </w:t>
      </w:r>
      <w:hyperlink r:id="rId12" w:history="1">
        <w:r w:rsidR="006B3921" w:rsidRPr="00480BB6">
          <w:rPr>
            <w:rStyle w:val="Hipercze"/>
            <w:rFonts w:ascii="Times New Roman" w:hAnsi="Times New Roman"/>
          </w:rPr>
          <w:t>kancelaria@.bydgoszcz.rdos.gov.pl</w:t>
        </w:r>
      </w:hyperlink>
      <w:r w:rsidR="00115B91" w:rsidRPr="006B3921">
        <w:rPr>
          <w:rFonts w:ascii="Times New Roman" w:hAnsi="Times New Roman"/>
        </w:rPr>
        <w:t xml:space="preserve"> oraz </w:t>
      </w:r>
      <w:hyperlink r:id="rId13" w:history="1">
        <w:r w:rsidR="006B3921" w:rsidRPr="00480BB6">
          <w:rPr>
            <w:rStyle w:val="Hipercze"/>
            <w:rFonts w:ascii="Times New Roman" w:hAnsi="Times New Roman"/>
          </w:rPr>
          <w:t>magdalena.pacuk@bydgoszcz.rdos.gov.pl</w:t>
        </w:r>
      </w:hyperlink>
      <w:r w:rsidR="00483C6B" w:rsidRPr="006B3921">
        <w:rPr>
          <w:rFonts w:ascii="Times New Roman" w:hAnsi="Times New Roman"/>
        </w:rPr>
        <w:t>;</w:t>
      </w:r>
    </w:p>
    <w:p w:rsidR="00115B91" w:rsidRPr="00BE5224" w:rsidRDefault="004E251A" w:rsidP="00483C6B">
      <w:pPr>
        <w:pStyle w:val="Akapitzlist1"/>
        <w:numPr>
          <w:ilvl w:val="1"/>
          <w:numId w:val="30"/>
        </w:numPr>
        <w:suppressAutoHyphens/>
        <w:spacing w:before="120" w:after="0" w:line="312" w:lineRule="auto"/>
        <w:jc w:val="both"/>
        <w:rPr>
          <w:rFonts w:ascii="Times New Roman" w:hAnsi="Times New Roman"/>
        </w:rPr>
      </w:pPr>
      <w:r>
        <w:rPr>
          <w:rFonts w:ascii="Times New Roman" w:hAnsi="Times New Roman"/>
        </w:rPr>
        <w:t>d</w:t>
      </w:r>
      <w:r w:rsidR="00115B91" w:rsidRPr="00BE5224">
        <w:rPr>
          <w:rFonts w:ascii="Times New Roman" w:hAnsi="Times New Roman"/>
        </w:rPr>
        <w:t xml:space="preserve">o dnia </w:t>
      </w:r>
      <w:r w:rsidR="006B3921">
        <w:rPr>
          <w:rFonts w:ascii="Times New Roman" w:hAnsi="Times New Roman"/>
        </w:rPr>
        <w:t>6 października</w:t>
      </w:r>
      <w:r w:rsidR="00115B91" w:rsidRPr="00BE5224">
        <w:rPr>
          <w:rFonts w:ascii="Times New Roman" w:hAnsi="Times New Roman"/>
        </w:rPr>
        <w:t xml:space="preserve"> 202</w:t>
      </w:r>
      <w:r w:rsidR="006B3921">
        <w:rPr>
          <w:rFonts w:ascii="Times New Roman" w:hAnsi="Times New Roman"/>
        </w:rPr>
        <w:t>3</w:t>
      </w:r>
      <w:r w:rsidR="00115B91" w:rsidRPr="00BE5224">
        <w:rPr>
          <w:rFonts w:ascii="Times New Roman" w:hAnsi="Times New Roman"/>
        </w:rPr>
        <w:t xml:space="preserve"> r. zamawiający zgłosi uwagi do przesłanych danych</w:t>
      </w:r>
      <w:r w:rsidR="00483C6B">
        <w:rPr>
          <w:rFonts w:ascii="Times New Roman" w:hAnsi="Times New Roman"/>
        </w:rPr>
        <w:t>;</w:t>
      </w:r>
    </w:p>
    <w:p w:rsidR="0074146A" w:rsidRPr="00BE5224" w:rsidRDefault="00C24450" w:rsidP="00483C6B">
      <w:pPr>
        <w:pStyle w:val="Akapitzlist1"/>
        <w:numPr>
          <w:ilvl w:val="1"/>
          <w:numId w:val="30"/>
        </w:numPr>
        <w:suppressAutoHyphens/>
        <w:spacing w:before="120" w:after="0" w:line="312" w:lineRule="auto"/>
        <w:jc w:val="both"/>
        <w:rPr>
          <w:rFonts w:ascii="Times New Roman" w:hAnsi="Times New Roman"/>
        </w:rPr>
      </w:pPr>
      <w:bookmarkStart w:id="0" w:name="_Hlk14342993"/>
      <w:r>
        <w:rPr>
          <w:rFonts w:ascii="Times New Roman" w:hAnsi="Times New Roman"/>
        </w:rPr>
        <w:t>w</w:t>
      </w:r>
      <w:r w:rsidR="00885564" w:rsidRPr="00BE5224">
        <w:rPr>
          <w:rFonts w:ascii="Times New Roman" w:hAnsi="Times New Roman"/>
        </w:rPr>
        <w:t>ersja ostateczna dokumentacji (z naniesionymi poprawkami wynikającymi</w:t>
      </w:r>
      <w:r w:rsidR="00885564" w:rsidRPr="00BE5224">
        <w:rPr>
          <w:rFonts w:ascii="Times New Roman" w:hAnsi="Times New Roman"/>
        </w:rPr>
        <w:br/>
        <w:t>z uzgodnień z Zamawiającym</w:t>
      </w:r>
      <w:r w:rsidR="00FD7381" w:rsidRPr="00BE5224">
        <w:rPr>
          <w:rFonts w:ascii="Times New Roman" w:hAnsi="Times New Roman"/>
        </w:rPr>
        <w:t xml:space="preserve"> i zgłoszonych przez niego uwag</w:t>
      </w:r>
      <w:r w:rsidR="00885564" w:rsidRPr="00BE5224">
        <w:rPr>
          <w:rFonts w:ascii="Times New Roman" w:hAnsi="Times New Roman"/>
        </w:rPr>
        <w:t>), w ilości 1 egzemplarza drukowanego oraz 1 egzemplarza na płycie CD</w:t>
      </w:r>
      <w:r w:rsidR="00957E45">
        <w:rPr>
          <w:rFonts w:ascii="Times New Roman" w:hAnsi="Times New Roman"/>
        </w:rPr>
        <w:t>/DVD</w:t>
      </w:r>
      <w:r w:rsidR="004E251A">
        <w:rPr>
          <w:rFonts w:ascii="Times New Roman" w:hAnsi="Times New Roman"/>
        </w:rPr>
        <w:t xml:space="preserve">, </w:t>
      </w:r>
      <w:r w:rsidR="00885564" w:rsidRPr="00BE5224">
        <w:rPr>
          <w:rFonts w:ascii="Times New Roman" w:hAnsi="Times New Roman"/>
        </w:rPr>
        <w:t>zostanie dostarczona przez Wykonawcę na adres Regionalnej Dyrekcji Ochrony Środowiska w</w:t>
      </w:r>
      <w:r w:rsidR="00483C6B">
        <w:rPr>
          <w:rFonts w:ascii="Times New Roman" w:hAnsi="Times New Roman"/>
        </w:rPr>
        <w:t> </w:t>
      </w:r>
      <w:r w:rsidR="00885564" w:rsidRPr="00BE5224">
        <w:rPr>
          <w:rFonts w:ascii="Times New Roman" w:hAnsi="Times New Roman"/>
        </w:rPr>
        <w:t xml:space="preserve">Bydgoszczy do dnia </w:t>
      </w:r>
      <w:r>
        <w:rPr>
          <w:rFonts w:ascii="Times New Roman" w:hAnsi="Times New Roman"/>
        </w:rPr>
        <w:t>1</w:t>
      </w:r>
      <w:r w:rsidR="006B3921">
        <w:rPr>
          <w:rFonts w:ascii="Times New Roman" w:hAnsi="Times New Roman"/>
        </w:rPr>
        <w:t>6</w:t>
      </w:r>
      <w:r w:rsidR="00982F10" w:rsidRPr="00BE5224">
        <w:rPr>
          <w:rFonts w:ascii="Times New Roman" w:hAnsi="Times New Roman"/>
        </w:rPr>
        <w:t xml:space="preserve"> października</w:t>
      </w:r>
      <w:r w:rsidR="00885564" w:rsidRPr="00BE5224">
        <w:rPr>
          <w:rFonts w:ascii="Times New Roman" w:hAnsi="Times New Roman"/>
        </w:rPr>
        <w:t xml:space="preserve"> 202</w:t>
      </w:r>
      <w:r w:rsidR="006B3921">
        <w:rPr>
          <w:rFonts w:ascii="Times New Roman" w:hAnsi="Times New Roman"/>
        </w:rPr>
        <w:t>3</w:t>
      </w:r>
      <w:r w:rsidR="00885564" w:rsidRPr="00BE5224">
        <w:rPr>
          <w:rFonts w:ascii="Times New Roman" w:hAnsi="Times New Roman"/>
        </w:rPr>
        <w:t xml:space="preserve"> r</w:t>
      </w:r>
      <w:bookmarkEnd w:id="0"/>
      <w:r w:rsidR="00885564" w:rsidRPr="00BE5224">
        <w:rPr>
          <w:rFonts w:ascii="Times New Roman" w:hAnsi="Times New Roman"/>
        </w:rPr>
        <w:t>.</w:t>
      </w:r>
      <w:r w:rsidR="004E251A">
        <w:rPr>
          <w:rFonts w:ascii="Times New Roman" w:hAnsi="Times New Roman"/>
        </w:rPr>
        <w:t xml:space="preserve"> W tym terminie w</w:t>
      </w:r>
      <w:r w:rsidR="004E251A" w:rsidRPr="00BE5224">
        <w:rPr>
          <w:rFonts w:ascii="Times New Roman" w:hAnsi="Times New Roman"/>
        </w:rPr>
        <w:t xml:space="preserve">ersja ostateczna dokumentacji </w:t>
      </w:r>
      <w:r w:rsidR="004E251A">
        <w:rPr>
          <w:rFonts w:ascii="Times New Roman" w:hAnsi="Times New Roman"/>
        </w:rPr>
        <w:t>zostanie przesłana również e-mailem na ww. adresy,</w:t>
      </w:r>
    </w:p>
    <w:p w:rsidR="0074146A" w:rsidRPr="00BE5224" w:rsidRDefault="00372FF9" w:rsidP="00483C6B">
      <w:pPr>
        <w:pStyle w:val="Akapitzlist1"/>
        <w:numPr>
          <w:ilvl w:val="1"/>
          <w:numId w:val="30"/>
        </w:numPr>
        <w:suppressAutoHyphens/>
        <w:spacing w:before="120" w:after="0" w:line="312" w:lineRule="auto"/>
        <w:jc w:val="both"/>
        <w:rPr>
          <w:rFonts w:ascii="Times New Roman" w:hAnsi="Times New Roman"/>
        </w:rPr>
      </w:pPr>
      <w:bookmarkStart w:id="1" w:name="_Hlk14343003"/>
      <w:r w:rsidRPr="00BE5224">
        <w:rPr>
          <w:rFonts w:ascii="Times New Roman" w:hAnsi="Times New Roman"/>
        </w:rPr>
        <w:t>Ostateczny o</w:t>
      </w:r>
      <w:r w:rsidR="0074146A" w:rsidRPr="00BE5224">
        <w:rPr>
          <w:rFonts w:ascii="Times New Roman" w:hAnsi="Times New Roman"/>
        </w:rPr>
        <w:t>dbi</w:t>
      </w:r>
      <w:r w:rsidR="00B92613" w:rsidRPr="00BE5224">
        <w:rPr>
          <w:rFonts w:ascii="Times New Roman" w:hAnsi="Times New Roman"/>
        </w:rPr>
        <w:t xml:space="preserve">ór prac nastąpi w ciągu 10 dni </w:t>
      </w:r>
      <w:r w:rsidR="0074146A" w:rsidRPr="00BE5224">
        <w:rPr>
          <w:rFonts w:ascii="Times New Roman" w:hAnsi="Times New Roman"/>
        </w:rPr>
        <w:t xml:space="preserve">od przedłożenia przez Wykonawcę </w:t>
      </w:r>
      <w:r w:rsidR="0074146A" w:rsidRPr="00BE5224">
        <w:rPr>
          <w:rFonts w:ascii="Times New Roman" w:hAnsi="Times New Roman"/>
        </w:rPr>
        <w:lastRenderedPageBreak/>
        <w:t>kompletnej dokumentacji na podstawie protokołu zdawczo – odbiorczego podpisanego przez Zamawiającego i Wykonawcę</w:t>
      </w:r>
      <w:bookmarkEnd w:id="1"/>
      <w:r w:rsidR="0074146A" w:rsidRPr="00BE5224">
        <w:rPr>
          <w:rFonts w:ascii="Times New Roman" w:hAnsi="Times New Roman"/>
        </w:rPr>
        <w:t>.</w:t>
      </w:r>
    </w:p>
    <w:sectPr w:rsidR="0074146A" w:rsidRPr="00BE5224">
      <w:headerReference w:type="default" r:id="rId14"/>
      <w:footerReference w:type="default" r:id="rId15"/>
      <w:pgSz w:w="11906" w:h="16838"/>
      <w:pgMar w:top="1418" w:right="1418" w:bottom="1418" w:left="1418" w:header="340" w:footer="51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5438" w:rsidRDefault="00BC5438">
      <w:pPr>
        <w:spacing w:after="0" w:line="240" w:lineRule="auto"/>
      </w:pPr>
      <w:r>
        <w:separator/>
      </w:r>
    </w:p>
  </w:endnote>
  <w:endnote w:type="continuationSeparator" w:id="0">
    <w:p w:rsidR="00BC5438" w:rsidRDefault="00BC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UniversPro-Bold">
    <w:charset w:val="EE"/>
    <w:family w:val="swiss"/>
    <w:pitch w:val="default"/>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C2C" w:rsidRDefault="00CC1C2C">
    <w:pPr>
      <w:pStyle w:val="Stopka"/>
      <w:jc w:val="right"/>
    </w:pPr>
    <w:r>
      <w:fldChar w:fldCharType="begin"/>
    </w:r>
    <w:r>
      <w:instrText xml:space="preserve"> PAGE </w:instrText>
    </w:r>
    <w:r>
      <w:fldChar w:fldCharType="separate"/>
    </w:r>
    <w:r w:rsidR="00F83257">
      <w:rPr>
        <w:noProof/>
      </w:rPr>
      <w:t>5</w:t>
    </w:r>
    <w:r>
      <w:fldChar w:fldCharType="end"/>
    </w:r>
  </w:p>
  <w:p w:rsidR="00CC1C2C" w:rsidRDefault="00CC1C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5438" w:rsidRDefault="00BC5438">
      <w:pPr>
        <w:spacing w:after="0" w:line="240" w:lineRule="auto"/>
      </w:pPr>
      <w:r>
        <w:separator/>
      </w:r>
    </w:p>
  </w:footnote>
  <w:footnote w:type="continuationSeparator" w:id="0">
    <w:p w:rsidR="00BC5438" w:rsidRDefault="00BC5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1C2C" w:rsidRDefault="00CC1C2C">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8713"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27ED0D4"/>
    <w:name w:val="WW8Num2"/>
    <w:lvl w:ilvl="0">
      <w:start w:val="1"/>
      <w:numFmt w:val="decimal"/>
      <w:lvlText w:val="%1)"/>
      <w:lvlJc w:val="left"/>
      <w:pPr>
        <w:tabs>
          <w:tab w:val="num" w:pos="0"/>
        </w:tabs>
        <w:ind w:left="360" w:hanging="360"/>
      </w:pPr>
      <w:rPr>
        <w:rFonts w:ascii="Symbol" w:eastAsia="UniversPro-Bold" w:hAnsi="Symbol" w:cs="Symbol"/>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bullet"/>
      <w:lvlText w:val=""/>
      <w:lvlJc w:val="left"/>
      <w:pPr>
        <w:tabs>
          <w:tab w:val="num" w:pos="0"/>
        </w:tabs>
        <w:ind w:left="1080" w:hanging="360"/>
      </w:pPr>
      <w:rPr>
        <w:rFonts w:ascii="Symbol" w:hAnsi="Symbol" w:cs="OpenSymbol"/>
        <w:vanish w:val="0"/>
        <w:color w:val="000000"/>
      </w:rPr>
    </w:lvl>
    <w:lvl w:ilvl="3">
      <w:start w:val="1"/>
      <w:numFmt w:val="bullet"/>
      <w:lvlText w:val="-"/>
      <w:lvlJc w:val="left"/>
      <w:pPr>
        <w:tabs>
          <w:tab w:val="num" w:pos="0"/>
        </w:tabs>
        <w:ind w:left="1440" w:hanging="360"/>
      </w:pPr>
      <w:rPr>
        <w:rFonts w:ascii="Segoe UI" w:hAnsi="Segoe UI" w:cs="Segoe UI"/>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Symbol" w:hAnsi="Symbol" w:cs="Symbol"/>
      </w:rPr>
    </w:lvl>
    <w:lvl w:ilvl="1">
      <w:start w:val="1"/>
      <w:numFmt w:val="lowerLetter"/>
      <w:lvlText w:val="%2)"/>
      <w:lvlJc w:val="left"/>
      <w:pPr>
        <w:tabs>
          <w:tab w:val="num" w:pos="0"/>
        </w:tabs>
        <w:ind w:left="720" w:hanging="360"/>
      </w:pPr>
      <w:rPr>
        <w:rFonts w:ascii="Times New Roman" w:eastAsia="OpenSymbol" w:hAnsi="Times New Roman" w:cs="Times New Roman"/>
      </w:rPr>
    </w:lvl>
    <w:lvl w:ilvl="2">
      <w:start w:val="1"/>
      <w:numFmt w:val="bullet"/>
      <w:lvlText w:val=""/>
      <w:lvlJc w:val="left"/>
      <w:pPr>
        <w:tabs>
          <w:tab w:val="num" w:pos="0"/>
        </w:tabs>
        <w:ind w:left="1080" w:hanging="360"/>
      </w:pPr>
      <w:rPr>
        <w:rFonts w:ascii="Symbol" w:hAnsi="Symbol" w:cs="OpenSymbol"/>
      </w:r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rFonts w:ascii="Times New Roman" w:hAnsi="Times New Roman" w:cs="Times New Roman"/>
      </w:rPr>
    </w:lvl>
    <w:lvl w:ilvl="2">
      <w:start w:val="1"/>
      <w:numFmt w:val="bullet"/>
      <w:lvlText w:val=""/>
      <w:lvlJc w:val="left"/>
      <w:pPr>
        <w:tabs>
          <w:tab w:val="num" w:pos="0"/>
        </w:tabs>
        <w:ind w:left="1080" w:hanging="360"/>
      </w:pPr>
      <w:rPr>
        <w:rFonts w:ascii="Symbol" w:hAnsi="Symbol" w:cs="Times New Roman"/>
      </w:rPr>
    </w:lvl>
    <w:lvl w:ilvl="3">
      <w:start w:val="1"/>
      <w:numFmt w:val="decimal"/>
      <w:lvlText w:val="(%2.%3.%4)"/>
      <w:lvlJc w:val="left"/>
      <w:pPr>
        <w:tabs>
          <w:tab w:val="num" w:pos="0"/>
        </w:tabs>
        <w:ind w:left="1440" w:hanging="360"/>
      </w:pPr>
      <w:rPr>
        <w:rFonts w:ascii="Times New Roman" w:hAnsi="Times New Roman" w:cs="Times New Roman"/>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rFonts w:ascii="Times New Roman" w:hAnsi="Times New Roman" w:cs="Times New Roman"/>
      </w:rPr>
    </w:lvl>
    <w:lvl w:ilvl="2">
      <w:start w:val="1"/>
      <w:numFmt w:val="bullet"/>
      <w:lvlText w:val=""/>
      <w:lvlJc w:val="left"/>
      <w:pPr>
        <w:tabs>
          <w:tab w:val="num" w:pos="0"/>
        </w:tabs>
        <w:ind w:left="1080" w:hanging="360"/>
      </w:pPr>
      <w:rPr>
        <w:rFonts w:ascii="Symbol" w:hAnsi="Symbol" w:cs="Times New Roman"/>
      </w:r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rFonts w:ascii="Times New Roman" w:eastAsia="UniversPro-Bold" w:hAnsi="Times New Roman" w:cs="Times New Roman"/>
        <w:color w:val="000000"/>
      </w:rPr>
    </w:lvl>
    <w:lvl w:ilvl="2">
      <w:start w:val="1"/>
      <w:numFmt w:val="bullet"/>
      <w:lvlText w:val=""/>
      <w:lvlJc w:val="left"/>
      <w:pPr>
        <w:tabs>
          <w:tab w:val="num" w:pos="0"/>
        </w:tabs>
        <w:ind w:left="1080" w:hanging="360"/>
      </w:pPr>
      <w:rPr>
        <w:rFonts w:ascii="Symbol" w:hAnsi="Symbol" w:cs="Times New Roman"/>
      </w:rPr>
    </w:lvl>
    <w:lvl w:ilvl="3">
      <w:start w:val="1"/>
      <w:numFmt w:val="decimal"/>
      <w:lvlText w:val="(%2.%3.%4)"/>
      <w:lvlJc w:val="left"/>
      <w:pPr>
        <w:tabs>
          <w:tab w:val="num" w:pos="0"/>
        </w:tabs>
        <w:ind w:left="1440" w:hanging="360"/>
      </w:pPr>
      <w:rPr>
        <w:rFonts w:ascii="Times New Roman" w:eastAsia="UniversPro-Bold" w:hAnsi="Times New Roman" w:cs="Times New Roman"/>
        <w:color w:val="000000"/>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6"/>
      <w:numFmt w:val="lowerLetter"/>
      <w:lvlText w:val="%2)"/>
      <w:lvlJc w:val="left"/>
      <w:pPr>
        <w:tabs>
          <w:tab w:val="num" w:pos="0"/>
        </w:tabs>
        <w:ind w:left="720" w:hanging="360"/>
      </w:pPr>
      <w:rPr>
        <w:rFonts w:ascii="Times New Roman" w:eastAsia="UniversPro-Bold" w:hAnsi="Times New Roman" w:cs="Times New Roman"/>
      </w:rPr>
    </w:lvl>
    <w:lvl w:ilvl="2">
      <w:start w:val="1"/>
      <w:numFmt w:val="bullet"/>
      <w:lvlText w:val=""/>
      <w:lvlJc w:val="left"/>
      <w:pPr>
        <w:tabs>
          <w:tab w:val="num" w:pos="0"/>
        </w:tabs>
        <w:ind w:left="1080" w:hanging="360"/>
      </w:pPr>
      <w:rPr>
        <w:rFonts w:ascii="Symbol" w:hAnsi="Symbol"/>
      </w:rPr>
    </w:lvl>
    <w:lvl w:ilvl="3">
      <w:start w:val="1"/>
      <w:numFmt w:val="decimal"/>
      <w:lvlText w:val="(%2.%3.%4)"/>
      <w:lvlJc w:val="left"/>
      <w:pPr>
        <w:tabs>
          <w:tab w:val="num" w:pos="0"/>
        </w:tabs>
        <w:ind w:left="1440" w:hanging="360"/>
      </w:pPr>
      <w:rPr>
        <w:rFonts w:ascii="Times New Roman" w:eastAsia="UniversPro-Bold" w:hAnsi="Times New Roman" w:cs="Times New Roman"/>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D342599"/>
    <w:multiLevelType w:val="multilevel"/>
    <w:tmpl w:val="58460A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C454E0"/>
    <w:multiLevelType w:val="hybridMultilevel"/>
    <w:tmpl w:val="C47A2A90"/>
    <w:lvl w:ilvl="0" w:tplc="04150001">
      <w:start w:val="1"/>
      <w:numFmt w:val="bullet"/>
      <w:lvlText w:val=""/>
      <w:lvlJc w:val="left"/>
      <w:pPr>
        <w:ind w:left="2160" w:hanging="360"/>
      </w:pPr>
      <w:rPr>
        <w:rFonts w:ascii="Symbol" w:hAnsi="Symbol" w:hint="default"/>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1233158"/>
    <w:multiLevelType w:val="hybridMultilevel"/>
    <w:tmpl w:val="4F50245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13B94B13"/>
    <w:multiLevelType w:val="multilevel"/>
    <w:tmpl w:val="A0044892"/>
    <w:lvl w:ilvl="0">
      <w:start w:val="1"/>
      <w:numFmt w:val="lowerLetter"/>
      <w:lvlText w:val="%1)"/>
      <w:lvlJc w:val="left"/>
      <w:pPr>
        <w:ind w:left="360" w:hanging="360"/>
      </w:pPr>
      <w:rPr>
        <w:rFonts w:hint="default"/>
      </w:rPr>
    </w:lvl>
    <w:lvl w:ilvl="1">
      <w:start w:val="1"/>
      <w:numFmt w:val="upperLetter"/>
      <w:lvlText w:val="%2."/>
      <w:lvlJc w:val="left"/>
      <w:pPr>
        <w:ind w:left="1068" w:hanging="360"/>
      </w:pPr>
      <w:rPr>
        <w:rFonts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2" w15:restartNumberingAfterBreak="0">
    <w:nsid w:val="18C15EFE"/>
    <w:multiLevelType w:val="hybridMultilevel"/>
    <w:tmpl w:val="E6086542"/>
    <w:lvl w:ilvl="0" w:tplc="1EB2EED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9D36081"/>
    <w:multiLevelType w:val="hybridMultilevel"/>
    <w:tmpl w:val="075464F4"/>
    <w:lvl w:ilvl="0" w:tplc="1EB2EED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22FA1901"/>
    <w:multiLevelType w:val="hybridMultilevel"/>
    <w:tmpl w:val="A8C2CD4C"/>
    <w:lvl w:ilvl="0" w:tplc="7C66E194">
      <w:start w:val="1"/>
      <w:numFmt w:val="lowerLetter"/>
      <w:lvlText w:val="%1."/>
      <w:lvlJc w:val="left"/>
      <w:pPr>
        <w:ind w:left="2160"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24940399"/>
    <w:multiLevelType w:val="hybridMultilevel"/>
    <w:tmpl w:val="B5FE89F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2DDA48CB"/>
    <w:multiLevelType w:val="hybridMultilevel"/>
    <w:tmpl w:val="CC766ED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373940BF"/>
    <w:multiLevelType w:val="multilevel"/>
    <w:tmpl w:val="00000003"/>
    <w:lvl w:ilvl="0">
      <w:start w:val="1"/>
      <w:numFmt w:val="decimal"/>
      <w:lvlText w:val="%1)"/>
      <w:lvlJc w:val="left"/>
      <w:pPr>
        <w:tabs>
          <w:tab w:val="num" w:pos="0"/>
        </w:tabs>
        <w:ind w:left="360" w:hanging="360"/>
      </w:pPr>
      <w:rPr>
        <w:rFonts w:ascii="Symbol" w:hAnsi="Symbol" w:cs="Symbol"/>
      </w:rPr>
    </w:lvl>
    <w:lvl w:ilvl="1">
      <w:start w:val="1"/>
      <w:numFmt w:val="lowerLetter"/>
      <w:lvlText w:val="%2)"/>
      <w:lvlJc w:val="left"/>
      <w:pPr>
        <w:tabs>
          <w:tab w:val="num" w:pos="0"/>
        </w:tabs>
        <w:ind w:left="720" w:hanging="360"/>
      </w:pPr>
      <w:rPr>
        <w:rFonts w:ascii="Times New Roman" w:eastAsia="OpenSymbol" w:hAnsi="Times New Roman" w:cs="Times New Roman"/>
      </w:rPr>
    </w:lvl>
    <w:lvl w:ilvl="2">
      <w:start w:val="1"/>
      <w:numFmt w:val="bullet"/>
      <w:lvlText w:val=""/>
      <w:lvlJc w:val="left"/>
      <w:pPr>
        <w:tabs>
          <w:tab w:val="num" w:pos="0"/>
        </w:tabs>
        <w:ind w:left="1080" w:hanging="360"/>
      </w:pPr>
      <w:rPr>
        <w:rFonts w:ascii="Symbol" w:hAnsi="Symbol" w:cs="OpenSymbol"/>
      </w:r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8" w15:restartNumberingAfterBreak="0">
    <w:nsid w:val="377E1CC2"/>
    <w:multiLevelType w:val="multilevel"/>
    <w:tmpl w:val="EBB041A6"/>
    <w:lvl w:ilvl="0">
      <w:start w:val="1"/>
      <w:numFmt w:val="decimal"/>
      <w:lvlText w:val="%1)"/>
      <w:lvlJc w:val="left"/>
      <w:pPr>
        <w:tabs>
          <w:tab w:val="num" w:pos="0"/>
        </w:tabs>
        <w:ind w:left="360" w:hanging="360"/>
      </w:pPr>
      <w:rPr>
        <w:rFonts w:ascii="Symbol" w:eastAsia="UniversPro-Bold" w:hAnsi="Symbol" w:cs="Symbol"/>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bullet"/>
      <w:lvlText w:val=""/>
      <w:lvlJc w:val="left"/>
      <w:pPr>
        <w:tabs>
          <w:tab w:val="num" w:pos="0"/>
        </w:tabs>
        <w:ind w:left="1080" w:hanging="360"/>
      </w:pPr>
      <w:rPr>
        <w:rFonts w:ascii="Symbol" w:hAnsi="Symbol" w:cs="OpenSymbol"/>
        <w:vanish w:val="0"/>
        <w:color w:val="000000"/>
      </w:rPr>
    </w:lvl>
    <w:lvl w:ilvl="3">
      <w:start w:val="1"/>
      <w:numFmt w:val="bullet"/>
      <w:lvlText w:val="-"/>
      <w:lvlJc w:val="left"/>
      <w:pPr>
        <w:tabs>
          <w:tab w:val="num" w:pos="0"/>
        </w:tabs>
        <w:ind w:left="1440" w:hanging="360"/>
      </w:pPr>
      <w:rPr>
        <w:rFonts w:ascii="Segoe UI" w:hAnsi="Segoe UI" w:cs="Segoe UI"/>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9" w15:restartNumberingAfterBreak="0">
    <w:nsid w:val="38A96B84"/>
    <w:multiLevelType w:val="multilevel"/>
    <w:tmpl w:val="A98E5F04"/>
    <w:lvl w:ilvl="0">
      <w:start w:val="1"/>
      <w:numFmt w:val="decimal"/>
      <w:lvlText w:val="%1)"/>
      <w:lvlJc w:val="left"/>
      <w:pPr>
        <w:tabs>
          <w:tab w:val="num" w:pos="0"/>
        </w:tabs>
        <w:ind w:left="360" w:hanging="360"/>
      </w:pPr>
      <w:rPr>
        <w:rFonts w:ascii="Symbol" w:eastAsia="UniversPro-Bold" w:hAnsi="Symbol" w:cs="Symbol"/>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lowerLetter"/>
      <w:lvlText w:val=""/>
      <w:lvlJc w:val="left"/>
      <w:pPr>
        <w:tabs>
          <w:tab w:val="num" w:pos="0"/>
        </w:tabs>
        <w:ind w:left="1080" w:hanging="360"/>
      </w:pPr>
      <w:rPr>
        <w:rFonts w:cs="OpenSymbol"/>
        <w:vanish w:val="0"/>
        <w:color w:val="000000"/>
      </w:rPr>
    </w:lvl>
    <w:lvl w:ilvl="3">
      <w:start w:val="1"/>
      <w:numFmt w:val="bullet"/>
      <w:lvlText w:val="-"/>
      <w:lvlJc w:val="left"/>
      <w:pPr>
        <w:tabs>
          <w:tab w:val="num" w:pos="0"/>
        </w:tabs>
        <w:ind w:left="1440" w:hanging="360"/>
      </w:pPr>
      <w:rPr>
        <w:rFonts w:ascii="Segoe UI" w:hAnsi="Segoe UI" w:cs="Segoe UI"/>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0" w15:restartNumberingAfterBreak="0">
    <w:nsid w:val="3F032922"/>
    <w:multiLevelType w:val="multilevel"/>
    <w:tmpl w:val="AF6E7FFA"/>
    <w:lvl w:ilvl="0">
      <w:start w:val="1"/>
      <w:numFmt w:val="decimal"/>
      <w:lvlText w:val="%1)"/>
      <w:lvlJc w:val="left"/>
      <w:pPr>
        <w:tabs>
          <w:tab w:val="num" w:pos="0"/>
        </w:tabs>
        <w:ind w:left="360" w:hanging="360"/>
      </w:pPr>
      <w:rPr>
        <w:rFonts w:ascii="Symbol" w:eastAsia="UniversPro-Bold" w:hAnsi="Symbol" w:cs="Symbol"/>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bullet"/>
      <w:lvlText w:val=""/>
      <w:lvlJc w:val="left"/>
      <w:pPr>
        <w:tabs>
          <w:tab w:val="num" w:pos="0"/>
        </w:tabs>
        <w:ind w:left="1080" w:hanging="360"/>
      </w:pPr>
      <w:rPr>
        <w:rFonts w:ascii="Symbol" w:hAnsi="Symbol" w:cs="OpenSymbol"/>
        <w:vanish w:val="0"/>
        <w:color w:val="000000"/>
      </w:rPr>
    </w:lvl>
    <w:lvl w:ilvl="3">
      <w:start w:val="1"/>
      <w:numFmt w:val="bullet"/>
      <w:lvlText w:val="-"/>
      <w:lvlJc w:val="left"/>
      <w:pPr>
        <w:tabs>
          <w:tab w:val="num" w:pos="0"/>
        </w:tabs>
        <w:ind w:left="1440" w:hanging="360"/>
      </w:pPr>
      <w:rPr>
        <w:rFonts w:ascii="Segoe UI" w:hAnsi="Segoe UI" w:cs="Segoe UI"/>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1" w15:restartNumberingAfterBreak="0">
    <w:nsid w:val="417563CA"/>
    <w:multiLevelType w:val="multilevel"/>
    <w:tmpl w:val="F3EC4018"/>
    <w:lvl w:ilvl="0">
      <w:start w:val="1"/>
      <w:numFmt w:val="lowerLetter"/>
      <w:lvlText w:val="%1)"/>
      <w:lvlJc w:val="left"/>
      <w:pPr>
        <w:tabs>
          <w:tab w:val="num" w:pos="0"/>
        </w:tabs>
        <w:ind w:left="360" w:hanging="360"/>
      </w:pPr>
      <w:rPr>
        <w:rFonts w:eastAsia="UniversPro-Bold"/>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bullet"/>
      <w:lvlText w:val=""/>
      <w:lvlJc w:val="left"/>
      <w:pPr>
        <w:tabs>
          <w:tab w:val="num" w:pos="0"/>
        </w:tabs>
        <w:ind w:left="1080" w:hanging="360"/>
      </w:pPr>
      <w:rPr>
        <w:rFonts w:ascii="Symbol" w:hAnsi="Symbol" w:cs="OpenSymbol"/>
        <w:vanish w:val="0"/>
        <w:color w:val="000000"/>
      </w:rPr>
    </w:lvl>
    <w:lvl w:ilvl="3">
      <w:start w:val="1"/>
      <w:numFmt w:val="bullet"/>
      <w:lvlText w:val="-"/>
      <w:lvlJc w:val="left"/>
      <w:pPr>
        <w:tabs>
          <w:tab w:val="num" w:pos="0"/>
        </w:tabs>
        <w:ind w:left="1440" w:hanging="360"/>
      </w:pPr>
      <w:rPr>
        <w:rFonts w:ascii="Segoe UI" w:hAnsi="Segoe UI" w:cs="Segoe UI"/>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2" w15:restartNumberingAfterBreak="0">
    <w:nsid w:val="437928B7"/>
    <w:multiLevelType w:val="hybridMultilevel"/>
    <w:tmpl w:val="674E938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15:restartNumberingAfterBreak="0">
    <w:nsid w:val="44385B3A"/>
    <w:multiLevelType w:val="multilevel"/>
    <w:tmpl w:val="C9E26596"/>
    <w:lvl w:ilvl="0">
      <w:start w:val="1"/>
      <w:numFmt w:val="decimal"/>
      <w:lvlText w:val="%1)"/>
      <w:lvlJc w:val="left"/>
      <w:pPr>
        <w:tabs>
          <w:tab w:val="num" w:pos="0"/>
        </w:tabs>
        <w:ind w:left="360" w:hanging="360"/>
      </w:pPr>
      <w:rPr>
        <w:rFonts w:ascii="Symbol" w:eastAsia="UniversPro-Bold" w:hAnsi="Symbol" w:cs="Symbol"/>
      </w:rPr>
    </w:lvl>
    <w:lvl w:ilvl="1">
      <w:start w:val="1"/>
      <w:numFmt w:val="lowerLetter"/>
      <w:lvlText w:val="%2)"/>
      <w:lvlJc w:val="left"/>
      <w:pPr>
        <w:tabs>
          <w:tab w:val="num" w:pos="0"/>
        </w:tabs>
        <w:ind w:left="720" w:hanging="360"/>
      </w:pPr>
      <w:rPr>
        <w:rFonts w:ascii="Times New Roman" w:hAnsi="Times New Roman" w:cs="Times New Roman"/>
      </w:rPr>
    </w:lvl>
    <w:lvl w:ilvl="2">
      <w:start w:val="1"/>
      <w:numFmt w:val="bullet"/>
      <w:lvlText w:val=""/>
      <w:lvlJc w:val="left"/>
      <w:pPr>
        <w:tabs>
          <w:tab w:val="num" w:pos="0"/>
        </w:tabs>
        <w:ind w:left="1080" w:hanging="360"/>
      </w:pPr>
      <w:rPr>
        <w:rFonts w:ascii="Symbol" w:hAnsi="Symbol" w:cs="OpenSymbol"/>
        <w:vanish w:val="0"/>
        <w:color w:val="000000"/>
      </w:rPr>
    </w:lvl>
    <w:lvl w:ilvl="3">
      <w:start w:val="1"/>
      <w:numFmt w:val="bullet"/>
      <w:lvlText w:val="-"/>
      <w:lvlJc w:val="left"/>
      <w:pPr>
        <w:tabs>
          <w:tab w:val="num" w:pos="0"/>
        </w:tabs>
        <w:ind w:left="1440" w:hanging="360"/>
      </w:pPr>
      <w:rPr>
        <w:rFonts w:ascii="Segoe UI" w:hAnsi="Segoe UI" w:cs="Segoe UI"/>
      </w:r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24" w15:restartNumberingAfterBreak="0">
    <w:nsid w:val="4D2A0E8F"/>
    <w:multiLevelType w:val="hybridMultilevel"/>
    <w:tmpl w:val="6926769A"/>
    <w:name w:val="WWNum26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5555B9A"/>
    <w:multiLevelType w:val="hybridMultilevel"/>
    <w:tmpl w:val="DD0A71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EB178C2"/>
    <w:multiLevelType w:val="multilevel"/>
    <w:tmpl w:val="89F4BF00"/>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i w:val="0"/>
        <w:iCs w:val="0"/>
      </w:r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08078B"/>
    <w:multiLevelType w:val="hybridMultilevel"/>
    <w:tmpl w:val="2DA09EE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8" w15:restartNumberingAfterBreak="0">
    <w:nsid w:val="6D87125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435945"/>
    <w:multiLevelType w:val="hybridMultilevel"/>
    <w:tmpl w:val="FE2ED4E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num w:numId="1" w16cid:durableId="975526646">
    <w:abstractNumId w:val="0"/>
  </w:num>
  <w:num w:numId="2" w16cid:durableId="1487939254">
    <w:abstractNumId w:val="1"/>
  </w:num>
  <w:num w:numId="3" w16cid:durableId="1110734604">
    <w:abstractNumId w:val="2"/>
  </w:num>
  <w:num w:numId="4" w16cid:durableId="1332216709">
    <w:abstractNumId w:val="3"/>
  </w:num>
  <w:num w:numId="5" w16cid:durableId="911550908">
    <w:abstractNumId w:val="4"/>
  </w:num>
  <w:num w:numId="6" w16cid:durableId="1152912568">
    <w:abstractNumId w:val="5"/>
  </w:num>
  <w:num w:numId="7" w16cid:durableId="536896158">
    <w:abstractNumId w:val="6"/>
  </w:num>
  <w:num w:numId="8" w16cid:durableId="501818620">
    <w:abstractNumId w:val="7"/>
  </w:num>
  <w:num w:numId="9" w16cid:durableId="22483399">
    <w:abstractNumId w:val="24"/>
  </w:num>
  <w:num w:numId="10" w16cid:durableId="832068293">
    <w:abstractNumId w:val="26"/>
  </w:num>
  <w:num w:numId="11" w16cid:durableId="1998411970">
    <w:abstractNumId w:val="19"/>
  </w:num>
  <w:num w:numId="12" w16cid:durableId="1227180496">
    <w:abstractNumId w:val="25"/>
  </w:num>
  <w:num w:numId="13" w16cid:durableId="1991445084">
    <w:abstractNumId w:val="8"/>
  </w:num>
  <w:num w:numId="14" w16cid:durableId="322512254">
    <w:abstractNumId w:val="28"/>
  </w:num>
  <w:num w:numId="15" w16cid:durableId="242882245">
    <w:abstractNumId w:val="10"/>
  </w:num>
  <w:num w:numId="16" w16cid:durableId="800264089">
    <w:abstractNumId w:val="15"/>
  </w:num>
  <w:num w:numId="17" w16cid:durableId="365645707">
    <w:abstractNumId w:val="9"/>
  </w:num>
  <w:num w:numId="18" w16cid:durableId="1277172290">
    <w:abstractNumId w:val="14"/>
  </w:num>
  <w:num w:numId="19" w16cid:durableId="429470677">
    <w:abstractNumId w:val="22"/>
  </w:num>
  <w:num w:numId="20" w16cid:durableId="982543500">
    <w:abstractNumId w:val="29"/>
  </w:num>
  <w:num w:numId="21" w16cid:durableId="2030637949">
    <w:abstractNumId w:val="27"/>
  </w:num>
  <w:num w:numId="22" w16cid:durableId="1286473231">
    <w:abstractNumId w:val="16"/>
  </w:num>
  <w:num w:numId="23" w16cid:durableId="589701305">
    <w:abstractNumId w:val="13"/>
  </w:num>
  <w:num w:numId="24" w16cid:durableId="172451399">
    <w:abstractNumId w:val="23"/>
  </w:num>
  <w:num w:numId="25" w16cid:durableId="224680187">
    <w:abstractNumId w:val="18"/>
  </w:num>
  <w:num w:numId="26" w16cid:durableId="1696736827">
    <w:abstractNumId w:val="12"/>
  </w:num>
  <w:num w:numId="27" w16cid:durableId="1385984953">
    <w:abstractNumId w:val="20"/>
  </w:num>
  <w:num w:numId="28" w16cid:durableId="1052508163">
    <w:abstractNumId w:val="11"/>
  </w:num>
  <w:num w:numId="29" w16cid:durableId="619649506">
    <w:abstractNumId w:val="21"/>
  </w:num>
  <w:num w:numId="30" w16cid:durableId="9678580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94"/>
    <w:rsid w:val="000015AD"/>
    <w:rsid w:val="00001C2E"/>
    <w:rsid w:val="00007E4E"/>
    <w:rsid w:val="00015690"/>
    <w:rsid w:val="000263A6"/>
    <w:rsid w:val="00032E3D"/>
    <w:rsid w:val="00052357"/>
    <w:rsid w:val="00074009"/>
    <w:rsid w:val="00080ECB"/>
    <w:rsid w:val="000F48E0"/>
    <w:rsid w:val="00103A00"/>
    <w:rsid w:val="001150B9"/>
    <w:rsid w:val="00115B91"/>
    <w:rsid w:val="001325CE"/>
    <w:rsid w:val="00134AB2"/>
    <w:rsid w:val="00160F53"/>
    <w:rsid w:val="00221303"/>
    <w:rsid w:val="002307BC"/>
    <w:rsid w:val="002502BD"/>
    <w:rsid w:val="00254FF7"/>
    <w:rsid w:val="002736C4"/>
    <w:rsid w:val="002739CD"/>
    <w:rsid w:val="002945EA"/>
    <w:rsid w:val="002C688D"/>
    <w:rsid w:val="002D0336"/>
    <w:rsid w:val="002D0747"/>
    <w:rsid w:val="002F06C9"/>
    <w:rsid w:val="00324642"/>
    <w:rsid w:val="00324E61"/>
    <w:rsid w:val="003647CF"/>
    <w:rsid w:val="00372FF9"/>
    <w:rsid w:val="0037305E"/>
    <w:rsid w:val="00380D09"/>
    <w:rsid w:val="003A09F9"/>
    <w:rsid w:val="003A7C26"/>
    <w:rsid w:val="003C5641"/>
    <w:rsid w:val="00412932"/>
    <w:rsid w:val="00430828"/>
    <w:rsid w:val="00440E10"/>
    <w:rsid w:val="00445675"/>
    <w:rsid w:val="00452CD7"/>
    <w:rsid w:val="0045686C"/>
    <w:rsid w:val="00460548"/>
    <w:rsid w:val="00466405"/>
    <w:rsid w:val="00480988"/>
    <w:rsid w:val="00483C6B"/>
    <w:rsid w:val="004A03C4"/>
    <w:rsid w:val="004E251A"/>
    <w:rsid w:val="004E74A5"/>
    <w:rsid w:val="005114B8"/>
    <w:rsid w:val="00514335"/>
    <w:rsid w:val="00522159"/>
    <w:rsid w:val="005251DF"/>
    <w:rsid w:val="00533294"/>
    <w:rsid w:val="00540A2E"/>
    <w:rsid w:val="0055584A"/>
    <w:rsid w:val="005B6303"/>
    <w:rsid w:val="005D35EB"/>
    <w:rsid w:val="005E0D3B"/>
    <w:rsid w:val="005F2E0B"/>
    <w:rsid w:val="0060462A"/>
    <w:rsid w:val="00611C7E"/>
    <w:rsid w:val="00626277"/>
    <w:rsid w:val="00635D62"/>
    <w:rsid w:val="00655081"/>
    <w:rsid w:val="0066143E"/>
    <w:rsid w:val="00662AC9"/>
    <w:rsid w:val="006756D9"/>
    <w:rsid w:val="00690505"/>
    <w:rsid w:val="006A038F"/>
    <w:rsid w:val="006A2EA7"/>
    <w:rsid w:val="006A3D04"/>
    <w:rsid w:val="006B3921"/>
    <w:rsid w:val="006D1CFF"/>
    <w:rsid w:val="00720C24"/>
    <w:rsid w:val="0074146A"/>
    <w:rsid w:val="007930EB"/>
    <w:rsid w:val="007940B4"/>
    <w:rsid w:val="007B4CA7"/>
    <w:rsid w:val="007E02B8"/>
    <w:rsid w:val="00877E9D"/>
    <w:rsid w:val="00885564"/>
    <w:rsid w:val="008C1D27"/>
    <w:rsid w:val="008F2E79"/>
    <w:rsid w:val="0092716F"/>
    <w:rsid w:val="0093327C"/>
    <w:rsid w:val="00942698"/>
    <w:rsid w:val="00957E45"/>
    <w:rsid w:val="00965230"/>
    <w:rsid w:val="009675B2"/>
    <w:rsid w:val="00982F10"/>
    <w:rsid w:val="0099223A"/>
    <w:rsid w:val="009A2337"/>
    <w:rsid w:val="009A4CF8"/>
    <w:rsid w:val="009B067D"/>
    <w:rsid w:val="009E22F0"/>
    <w:rsid w:val="00A25321"/>
    <w:rsid w:val="00A31265"/>
    <w:rsid w:val="00A47AE2"/>
    <w:rsid w:val="00A51F17"/>
    <w:rsid w:val="00A84D58"/>
    <w:rsid w:val="00A95AC2"/>
    <w:rsid w:val="00AA04C6"/>
    <w:rsid w:val="00AA7135"/>
    <w:rsid w:val="00AC644C"/>
    <w:rsid w:val="00AD1C7B"/>
    <w:rsid w:val="00AF4363"/>
    <w:rsid w:val="00B07210"/>
    <w:rsid w:val="00B31216"/>
    <w:rsid w:val="00B375D8"/>
    <w:rsid w:val="00B56277"/>
    <w:rsid w:val="00B92613"/>
    <w:rsid w:val="00BC23C8"/>
    <w:rsid w:val="00BC5438"/>
    <w:rsid w:val="00BE2C57"/>
    <w:rsid w:val="00BE5224"/>
    <w:rsid w:val="00BE6C29"/>
    <w:rsid w:val="00BE733B"/>
    <w:rsid w:val="00C24450"/>
    <w:rsid w:val="00C2472C"/>
    <w:rsid w:val="00C27DB8"/>
    <w:rsid w:val="00C41466"/>
    <w:rsid w:val="00C45FEF"/>
    <w:rsid w:val="00C82FDD"/>
    <w:rsid w:val="00C907F7"/>
    <w:rsid w:val="00CC1C2C"/>
    <w:rsid w:val="00CD4719"/>
    <w:rsid w:val="00CD4C7F"/>
    <w:rsid w:val="00D0719A"/>
    <w:rsid w:val="00D13E35"/>
    <w:rsid w:val="00D17121"/>
    <w:rsid w:val="00D43B70"/>
    <w:rsid w:val="00D44B40"/>
    <w:rsid w:val="00DD2985"/>
    <w:rsid w:val="00DD384E"/>
    <w:rsid w:val="00E16531"/>
    <w:rsid w:val="00E31B05"/>
    <w:rsid w:val="00E5046D"/>
    <w:rsid w:val="00E60994"/>
    <w:rsid w:val="00E85AB1"/>
    <w:rsid w:val="00E9407E"/>
    <w:rsid w:val="00EB2D1A"/>
    <w:rsid w:val="00ED6BED"/>
    <w:rsid w:val="00EE048A"/>
    <w:rsid w:val="00EF5D60"/>
    <w:rsid w:val="00EF6E96"/>
    <w:rsid w:val="00F24BBE"/>
    <w:rsid w:val="00F55A4C"/>
    <w:rsid w:val="00F8316E"/>
    <w:rsid w:val="00F83257"/>
    <w:rsid w:val="00FC3442"/>
    <w:rsid w:val="00FD7381"/>
    <w:rsid w:val="00FE2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200" w:line="276" w:lineRule="auto"/>
    </w:pPr>
    <w:rPr>
      <w:rFonts w:ascii="Calibri" w:eastAsia="Calibri" w:hAnsi="Calibri" w:cs="Calibri"/>
      <w:sz w:val="24"/>
      <w:szCs w:val="24"/>
      <w:lang w:eastAsia="ar-SA"/>
    </w:rPr>
  </w:style>
  <w:style w:type="paragraph" w:styleId="Nagwek3">
    <w:name w:val="heading 3"/>
    <w:basedOn w:val="Normalny"/>
    <w:next w:val="Tekstpodstawowy"/>
    <w:qFormat/>
    <w:pPr>
      <w:keepNext/>
      <w:numPr>
        <w:ilvl w:val="2"/>
        <w:numId w:val="1"/>
      </w:numPr>
      <w:suppressAutoHyphens w:val="0"/>
      <w:spacing w:before="240" w:after="60"/>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UniversPro-Bold" w:hAnsi="Symbol" w:cs="Symbol"/>
    </w:rPr>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OpenSymbol"/>
      <w:vanish/>
      <w:color w:val="000000"/>
    </w:rPr>
  </w:style>
  <w:style w:type="character" w:customStyle="1" w:styleId="WW8Num2z3">
    <w:name w:val="WW8Num2z3"/>
    <w:rPr>
      <w:rFonts w:ascii="Segoe UI" w:hAnsi="Segoe UI" w:cs="Segoe UI"/>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Times New Roman" w:eastAsia="OpenSymbol" w:hAnsi="Times New Roman" w:cs="Times New Roman"/>
    </w:rPr>
  </w:style>
  <w:style w:type="character" w:customStyle="1" w:styleId="WW8Num3z2">
    <w:name w:val="WW8Num3z2"/>
    <w:rPr>
      <w:rFonts w:ascii="Symbol" w:eastAsia="OpenSymbol" w:hAnsi="Symbol" w:cs="OpenSymbol"/>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Times New Roman" w:hAnsi="Times New Roman" w:cs="Times New Roman"/>
    </w:rPr>
  </w:style>
  <w:style w:type="character" w:customStyle="1" w:styleId="WW8Num4z2">
    <w:name w:val="WW8Num4z2"/>
    <w:rPr>
      <w:rFonts w:ascii="Times New Roman" w:hAnsi="Times New Roman" w:cs="Times New Roman"/>
    </w:rPr>
  </w:style>
  <w:style w:type="character" w:customStyle="1" w:styleId="WW8Num4z3">
    <w:name w:val="WW8Num4z3"/>
    <w:rPr>
      <w:rFonts w:ascii="Times New Roman" w:hAnsi="Times New Roman" w:cs="Times New Roman"/>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Times New Roman" w:hAnsi="Times New Roman"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Times New Roman" w:eastAsia="UniversPro-Bold" w:hAnsi="Times New Roman" w:cs="Times New Roman"/>
      <w:color w:val="000000"/>
    </w:rPr>
  </w:style>
  <w:style w:type="character" w:customStyle="1" w:styleId="WW8Num6z2">
    <w:name w:val="WW8Num6z2"/>
    <w:rPr>
      <w:rFonts w:ascii="Times New Roman" w:eastAsia="UniversPro-Bold" w:hAnsi="Times New Roman" w:cs="Times New Roman"/>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Times New Roman" w:eastAsia="UniversPro-Bold" w:hAnsi="Times New Roman" w:cs="Times New Roman"/>
    </w:rPr>
  </w:style>
  <w:style w:type="character" w:customStyle="1" w:styleId="WW8Num8z2">
    <w:name w:val="WW8Num8z2"/>
  </w:style>
  <w:style w:type="character" w:customStyle="1" w:styleId="Domylnaczcionkaakapitu3">
    <w:name w:val="Domyślna czcionka akapitu3"/>
  </w:style>
  <w:style w:type="character" w:customStyle="1" w:styleId="Domylnaczcionkaakapitu1">
    <w:name w:val="Domyślna czcionka akapitu1"/>
  </w:style>
  <w:style w:type="character" w:customStyle="1" w:styleId="WW8Num6z3">
    <w:name w:val="WW8Num6z3"/>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val="0"/>
      <w:color w:val="00000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Times New Roman"/>
      <w:color w:val="00000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color w:val="00000A"/>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2">
    <w:name w:val="Domyślna czcionka akapitu2"/>
  </w:style>
  <w:style w:type="character" w:customStyle="1" w:styleId="Domylnaczcionkaakapitu10">
    <w:name w:val="Domyślna czcionka akapitu1"/>
  </w:style>
  <w:style w:type="character" w:customStyle="1" w:styleId="NagwekZnak">
    <w:name w:val="Nagłówek Znak"/>
    <w:basedOn w:val="Domylnaczcionkaakapitu10"/>
  </w:style>
  <w:style w:type="character" w:customStyle="1" w:styleId="StopkaZnak">
    <w:name w:val="Stopka Znak"/>
    <w:basedOn w:val="Domylnaczcionkaakapitu10"/>
  </w:style>
  <w:style w:type="character" w:customStyle="1" w:styleId="TekstdymkaZnak">
    <w:name w:val="Tekst dymka Znak"/>
    <w:rPr>
      <w:rFonts w:ascii="Tahoma" w:hAnsi="Tahoma" w:cs="Tahoma"/>
      <w:sz w:val="16"/>
      <w:szCs w:val="16"/>
    </w:rPr>
  </w:style>
  <w:style w:type="character" w:customStyle="1" w:styleId="TekstprzypisudolnegoZnak">
    <w:name w:val="Tekst przypisu dolnego Znak"/>
    <w:rPr>
      <w:rFonts w:ascii="Calibri" w:eastAsia="Calibri" w:hAnsi="Calibri" w:cs="Calibri"/>
      <w:lang w:val="pl-PL" w:eastAsia="ar-SA" w:bidi="ar-SA"/>
    </w:rPr>
  </w:style>
  <w:style w:type="character" w:customStyle="1" w:styleId="Znakiprzypiswdolnych">
    <w:name w:val="Znaki przypisów dolnych"/>
    <w:rPr>
      <w:vertAlign w:val="superscript"/>
    </w:rPr>
  </w:style>
  <w:style w:type="character" w:customStyle="1" w:styleId="Nagwek3Znak">
    <w:name w:val="Nagłówek 3 Znak"/>
    <w:rPr>
      <w:rFonts w:ascii="Cambria" w:hAnsi="Cambria" w:cs="Cambria"/>
      <w:b/>
      <w:bCs/>
      <w:sz w:val="26"/>
      <w:szCs w:val="26"/>
      <w:lang w:val="pl-PL" w:eastAsia="ar-SA" w:bidi="ar-SA"/>
    </w:rPr>
  </w:style>
  <w:style w:type="character" w:customStyle="1" w:styleId="CytatZnak">
    <w:name w:val="Cytat Znak"/>
    <w:rPr>
      <w:rFonts w:eastAsia="Arial Unicode MS"/>
      <w:kern w:val="1"/>
      <w:sz w:val="24"/>
      <w:szCs w:val="24"/>
      <w:lang w:val="pl-PL" w:eastAsia="ar-SA" w:bidi="ar-SA"/>
    </w:rPr>
  </w:style>
  <w:style w:type="character" w:styleId="Hipercze">
    <w:name w:val="Hyperlink"/>
    <w:rPr>
      <w:color w:val="0000FF"/>
      <w:u w:val="single"/>
    </w:rPr>
  </w:style>
  <w:style w:type="character" w:customStyle="1" w:styleId="UyteHipercze1">
    <w:name w:val="UżyteHiperłącze1"/>
    <w:rPr>
      <w:color w:val="800000"/>
      <w:u w:val="single"/>
    </w:rPr>
  </w:style>
  <w:style w:type="character" w:customStyle="1" w:styleId="TekstpodstawowyZnak">
    <w:name w:val="Tekst podstawowy Znak"/>
    <w:rPr>
      <w:rFonts w:ascii="Calibri" w:eastAsia="Calibri" w:hAnsi="Calibri" w:cs="Calibri"/>
      <w:sz w:val="22"/>
      <w:szCs w:val="22"/>
    </w:rPr>
  </w:style>
  <w:style w:type="character" w:customStyle="1" w:styleId="Odwoaniedokomentarza1">
    <w:name w:val="Odwołanie do komentarza1"/>
    <w:rPr>
      <w:sz w:val="16"/>
      <w:szCs w:val="16"/>
    </w:rPr>
  </w:style>
  <w:style w:type="character" w:customStyle="1" w:styleId="TekstkomentarzaZnak">
    <w:name w:val="Tekst komentarza Znak"/>
    <w:rPr>
      <w:rFonts w:ascii="Calibri" w:eastAsia="Calibri" w:hAnsi="Calibri" w:cs="Calibri"/>
    </w:rPr>
  </w:style>
  <w:style w:type="character" w:customStyle="1" w:styleId="TematkomentarzaZnak">
    <w:name w:val="Temat komentarza Znak"/>
    <w:rPr>
      <w:rFonts w:ascii="Calibri" w:eastAsia="Calibri" w:hAnsi="Calibri" w:cs="Calibri"/>
      <w:b/>
      <w:bCs/>
    </w:rPr>
  </w:style>
  <w:style w:type="character" w:customStyle="1" w:styleId="ListLabel1">
    <w:name w:val="ListLabel 1"/>
    <w:rPr>
      <w:color w:val="00000A"/>
      <w:sz w:val="24"/>
      <w:szCs w:val="24"/>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eastAsia="Times New Roman"/>
    </w:rPr>
  </w:style>
  <w:style w:type="character" w:customStyle="1" w:styleId="ListLabel6">
    <w:name w:val="ListLabel 6"/>
    <w:rPr>
      <w:b w:val="0"/>
    </w:rPr>
  </w:style>
  <w:style w:type="character" w:customStyle="1" w:styleId="ListLabel7">
    <w:name w:val="ListLabel 7"/>
    <w:rPr>
      <w:i w:val="0"/>
      <w:iCs w:val="0"/>
    </w:rPr>
  </w:style>
  <w:style w:type="character" w:customStyle="1" w:styleId="ListLabel8">
    <w:name w:val="ListLabel 8"/>
    <w:rPr>
      <w:b w:val="0"/>
      <w:bCs/>
      <w:i w:val="0"/>
      <w:iCs w:val="0"/>
    </w:rPr>
  </w:style>
  <w:style w:type="character" w:customStyle="1" w:styleId="ListLabel9">
    <w:name w:val="ListLabel 9"/>
    <w:rPr>
      <w:b w:val="0"/>
      <w:bCs/>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Odwoaniedokomentarza10">
    <w:name w:val="Odwołanie do komentarza1"/>
    <w:rPr>
      <w:sz w:val="16"/>
      <w:szCs w:val="16"/>
    </w:rPr>
  </w:style>
  <w:style w:type="character" w:customStyle="1" w:styleId="TekstkomentarzaZnak1">
    <w:name w:val="Tekst komentarza Znak1"/>
    <w:rPr>
      <w:rFonts w:ascii="Calibri" w:eastAsia="Calibri" w:hAnsi="Calibri" w:cs="Calibri"/>
    </w:rPr>
  </w:style>
  <w:style w:type="character" w:customStyle="1" w:styleId="TematkomentarzaZnak1">
    <w:name w:val="Temat komentarza Znak1"/>
    <w:rPr>
      <w:rFonts w:ascii="Calibri" w:eastAsia="Calibri" w:hAnsi="Calibri" w:cs="Calibri"/>
      <w:b/>
      <w:bCs/>
    </w:rPr>
  </w:style>
  <w:style w:type="character" w:customStyle="1" w:styleId="TekstdymkaZnak1">
    <w:name w:val="Tekst dymka Znak1"/>
    <w:rPr>
      <w:rFonts w:ascii="Segoe UI" w:eastAsia="Calibri" w:hAnsi="Segoe UI" w:cs="Segoe UI"/>
      <w:sz w:val="18"/>
      <w:szCs w:val="18"/>
    </w:rPr>
  </w:style>
  <w:style w:type="paragraph" w:customStyle="1" w:styleId="Nagwek4">
    <w:name w:val="Nagłówek4"/>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3">
    <w:name w:val="Podpis3"/>
    <w:basedOn w:val="Normalny"/>
    <w:pPr>
      <w:suppressLineNumbers/>
      <w:spacing w:before="120" w:after="120"/>
    </w:pPr>
    <w:rPr>
      <w:rFonts w:cs="Lucida Sans"/>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Arial" w:eastAsia="Microsoft YaHei" w:hAnsi="Arial" w:cs="Lucida Sans"/>
      <w:sz w:val="28"/>
      <w:szCs w:val="28"/>
    </w:rPr>
  </w:style>
  <w:style w:type="paragraph" w:customStyle="1" w:styleId="Podpis2">
    <w:name w:val="Podpis2"/>
    <w:basedOn w:val="Normalny"/>
    <w:pPr>
      <w:suppressLineNumbers/>
      <w:spacing w:before="120" w:after="120"/>
    </w:pPr>
    <w:rPr>
      <w:rFonts w:cs="Lucida Sans"/>
      <w:i/>
      <w:iCs/>
    </w:rPr>
  </w:style>
  <w:style w:type="paragraph" w:customStyle="1" w:styleId="Nagwek2">
    <w:name w:val="Nagłówek2"/>
    <w:basedOn w:val="Normaln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
    <w:name w:val="Nagłówek1"/>
    <w:basedOn w:val="Normaln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Nagwek">
    <w:name w:val="header"/>
    <w:basedOn w:val="Normalny"/>
    <w:pPr>
      <w:suppressLineNumbers/>
      <w:tabs>
        <w:tab w:val="center" w:pos="4819"/>
        <w:tab w:val="right" w:pos="9638"/>
      </w:tabs>
      <w:spacing w:after="0" w:line="100" w:lineRule="atLeast"/>
    </w:pPr>
  </w:style>
  <w:style w:type="paragraph" w:styleId="Stopka">
    <w:name w:val="footer"/>
    <w:basedOn w:val="Normalny"/>
    <w:pPr>
      <w:suppressLineNumbers/>
      <w:tabs>
        <w:tab w:val="center" w:pos="4819"/>
        <w:tab w:val="right" w:pos="9638"/>
      </w:tabs>
      <w:spacing w:after="0" w:line="100" w:lineRule="atLeast"/>
    </w:pPr>
  </w:style>
  <w:style w:type="paragraph" w:customStyle="1" w:styleId="Tekstdymka1">
    <w:name w:val="Tekst dymka1"/>
    <w:basedOn w:val="Normalny"/>
    <w:pPr>
      <w:spacing w:after="0" w:line="100" w:lineRule="atLeast"/>
    </w:pPr>
    <w:rPr>
      <w:rFonts w:ascii="Tahoma" w:hAnsi="Tahoma" w:cs="Tahoma"/>
      <w:sz w:val="16"/>
      <w:szCs w:val="16"/>
    </w:rPr>
  </w:style>
  <w:style w:type="paragraph" w:customStyle="1" w:styleId="NormalnyWeb1">
    <w:name w:val="Normalny (Web)1"/>
    <w:basedOn w:val="Normalny"/>
    <w:pPr>
      <w:suppressAutoHyphens w:val="0"/>
      <w:spacing w:before="280" w:after="119" w:line="100" w:lineRule="atLeast"/>
    </w:pPr>
    <w:rPr>
      <w:rFonts w:ascii="Times New Roman" w:eastAsia="Times New Roman" w:hAnsi="Times New Roman" w:cs="Times New Roman"/>
    </w:rPr>
  </w:style>
  <w:style w:type="paragraph" w:customStyle="1" w:styleId="Tekstprzypisudolnego1">
    <w:name w:val="Tekst przypisu dolnego1"/>
    <w:basedOn w:val="Normalny"/>
    <w:pPr>
      <w:suppressAutoHyphens w:val="0"/>
      <w:spacing w:after="0" w:line="100" w:lineRule="atLeast"/>
    </w:pPr>
    <w:rPr>
      <w:rFonts w:cs="Times New Roman"/>
      <w:sz w:val="20"/>
      <w:szCs w:val="20"/>
    </w:rPr>
  </w:style>
  <w:style w:type="paragraph" w:customStyle="1" w:styleId="Default">
    <w:name w:val="Default"/>
    <w:pPr>
      <w:suppressAutoHyphens/>
    </w:pPr>
    <w:rPr>
      <w:rFonts w:eastAsia="Calibri"/>
      <w:color w:val="000000"/>
      <w:sz w:val="24"/>
      <w:szCs w:val="24"/>
      <w:lang w:eastAsia="ar-SA"/>
    </w:rPr>
  </w:style>
  <w:style w:type="paragraph" w:customStyle="1" w:styleId="Cytat1">
    <w:name w:val="Cytat1"/>
    <w:basedOn w:val="Normalny"/>
    <w:pPr>
      <w:spacing w:after="283" w:line="100" w:lineRule="atLeast"/>
      <w:ind w:left="567" w:right="567"/>
    </w:pPr>
    <w:rPr>
      <w:rFonts w:ascii="Times New Roman" w:eastAsia="Arial Unicode MS" w:hAnsi="Times New Roman" w:cs="Times New Roman"/>
      <w:kern w:val="1"/>
    </w:rPr>
  </w:style>
  <w:style w:type="paragraph" w:customStyle="1" w:styleId="Akapitzlist1">
    <w:name w:val="Akapit z listą1"/>
    <w:basedOn w:val="Normalny"/>
    <w:pPr>
      <w:suppressAutoHyphens w:val="0"/>
      <w:ind w:left="720"/>
    </w:pPr>
    <w:rPr>
      <w:rFonts w:cs="Times New Roman"/>
    </w:rPr>
  </w:style>
  <w:style w:type="paragraph" w:customStyle="1" w:styleId="Akapitzlist10">
    <w:name w:val="Akapit z listą1"/>
    <w:basedOn w:val="Normalny"/>
    <w:pPr>
      <w:suppressAutoHyphens w:val="0"/>
      <w:ind w:left="720"/>
    </w:pPr>
    <w:rPr>
      <w:rFonts w:cs="Times New Roman"/>
    </w:rPr>
  </w:style>
  <w:style w:type="paragraph" w:customStyle="1" w:styleId="Akapitzlist2">
    <w:name w:val="Akapit z listą2"/>
    <w:basedOn w:val="Normalny"/>
    <w:pPr>
      <w:suppressAutoHyphens w:val="0"/>
      <w:spacing w:after="0" w:line="100" w:lineRule="atLeast"/>
      <w:ind w:left="720"/>
    </w:pPr>
    <w:rPr>
      <w:rFonts w:ascii="Times New Roman" w:eastAsia="Times New Roman" w:hAnsi="Times New Roman" w:cs="Times New Roman"/>
      <w:kern w:val="1"/>
    </w:rPr>
  </w:style>
  <w:style w:type="paragraph" w:customStyle="1" w:styleId="Zawartotabeli">
    <w:name w:val="Zawartość tabeli"/>
    <w:basedOn w:val="Normalny"/>
    <w:pPr>
      <w:suppressLineNumbers/>
      <w:spacing w:after="0" w:line="100" w:lineRule="atLeast"/>
    </w:pPr>
    <w:rPr>
      <w:rFonts w:ascii="Times New Roman" w:eastAsia="Andale Sans UI" w:hAnsi="Times New Roman" w:cs="Times New Roman"/>
      <w:kern w:val="1"/>
    </w:rPr>
  </w:style>
  <w:style w:type="paragraph" w:customStyle="1" w:styleId="Nagwektabeli">
    <w:name w:val="Nagłówek tabeli"/>
    <w:basedOn w:val="Zawartotabeli"/>
    <w:pPr>
      <w:jc w:val="center"/>
    </w:pPr>
    <w:rPr>
      <w:b/>
      <w:bCs/>
    </w:rPr>
  </w:style>
  <w:style w:type="paragraph" w:customStyle="1" w:styleId="Tekstkomentarza1">
    <w:name w:val="Tekst komentarza1"/>
    <w:basedOn w:val="Normalny"/>
    <w:pPr>
      <w:spacing w:line="100" w:lineRule="atLeast"/>
    </w:pPr>
    <w:rPr>
      <w:sz w:val="20"/>
      <w:szCs w:val="20"/>
    </w:rPr>
  </w:style>
  <w:style w:type="paragraph" w:customStyle="1" w:styleId="Tematkomentarza1">
    <w:name w:val="Temat komentarza1"/>
    <w:basedOn w:val="Tekstkomentarza1"/>
    <w:rPr>
      <w:b/>
      <w:bCs/>
    </w:rPr>
  </w:style>
  <w:style w:type="paragraph" w:customStyle="1" w:styleId="Poprawka1">
    <w:name w:val="Poprawka1"/>
    <w:pPr>
      <w:suppressAutoHyphens/>
    </w:pPr>
    <w:rPr>
      <w:rFonts w:ascii="Calibri" w:eastAsia="Calibri" w:hAnsi="Calibri" w:cs="Calibri"/>
      <w:sz w:val="22"/>
      <w:szCs w:val="22"/>
      <w:lang w:eastAsia="ar-SA"/>
    </w:rPr>
  </w:style>
  <w:style w:type="paragraph" w:customStyle="1" w:styleId="Tekstkomentarza10">
    <w:name w:val="Tekst komentarza1"/>
    <w:basedOn w:val="Normalny"/>
    <w:rPr>
      <w:sz w:val="20"/>
      <w:szCs w:val="20"/>
    </w:rPr>
  </w:style>
  <w:style w:type="paragraph" w:styleId="Tematkomentarza">
    <w:name w:val="annotation subject"/>
    <w:basedOn w:val="Tekstkomentarza10"/>
    <w:next w:val="Tekstkomentarza10"/>
    <w:rPr>
      <w:b/>
      <w:bCs/>
    </w:rPr>
  </w:style>
  <w:style w:type="paragraph" w:styleId="Tekstdymka">
    <w:name w:val="Balloon Text"/>
    <w:basedOn w:val="Normalny"/>
    <w:pPr>
      <w:spacing w:after="0" w:line="240" w:lineRule="auto"/>
    </w:pPr>
    <w:rPr>
      <w:rFonts w:ascii="Segoe UI" w:hAnsi="Segoe UI" w:cs="Segoe UI"/>
      <w:sz w:val="18"/>
      <w:szCs w:val="18"/>
    </w:rPr>
  </w:style>
  <w:style w:type="paragraph" w:styleId="Akapitzlist">
    <w:name w:val="List Paragraph"/>
    <w:basedOn w:val="Normalny"/>
    <w:uiPriority w:val="34"/>
    <w:qFormat/>
    <w:rsid w:val="0074146A"/>
    <w:pPr>
      <w:widowControl/>
      <w:suppressAutoHyphens w:val="0"/>
      <w:ind w:left="720"/>
      <w:contextualSpacing/>
    </w:pPr>
    <w:rPr>
      <w:rFonts w:cs="Times New Roman"/>
      <w:sz w:val="22"/>
      <w:szCs w:val="22"/>
      <w:lang w:eastAsia="zh-CN"/>
    </w:rPr>
  </w:style>
  <w:style w:type="character" w:styleId="Nierozpoznanawzmianka">
    <w:name w:val="Unresolved Mention"/>
    <w:uiPriority w:val="99"/>
    <w:semiHidden/>
    <w:unhideWhenUsed/>
    <w:rsid w:val="006B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35445">
      <w:bodyDiv w:val="1"/>
      <w:marLeft w:val="0"/>
      <w:marRight w:val="0"/>
      <w:marTop w:val="0"/>
      <w:marBottom w:val="0"/>
      <w:divBdr>
        <w:top w:val="none" w:sz="0" w:space="0" w:color="auto"/>
        <w:left w:val="none" w:sz="0" w:space="0" w:color="auto"/>
        <w:bottom w:val="none" w:sz="0" w:space="0" w:color="auto"/>
        <w:right w:val="none" w:sz="0" w:space="0" w:color="auto"/>
      </w:divBdr>
    </w:div>
    <w:div w:id="20993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magdalena.pacuk@bydgoszcz.rdos.gov.p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kancelaria@.bydgoszcz.rdos.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1172</Words>
  <Characters>7032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8188</CharactersWithSpaces>
  <SharedDoc>false</SharedDoc>
  <HLinks>
    <vt:vector size="12" baseType="variant">
      <vt:variant>
        <vt:i4>131169</vt:i4>
      </vt:variant>
      <vt:variant>
        <vt:i4>3</vt:i4>
      </vt:variant>
      <vt:variant>
        <vt:i4>0</vt:i4>
      </vt:variant>
      <vt:variant>
        <vt:i4>5</vt:i4>
      </vt:variant>
      <vt:variant>
        <vt:lpwstr>mailto:magdalena.pacuk@bydgoszcz.rdos.gov.pl</vt:lpwstr>
      </vt:variant>
      <vt:variant>
        <vt:lpwstr/>
      </vt:variant>
      <vt:variant>
        <vt:i4>3997775</vt:i4>
      </vt:variant>
      <vt:variant>
        <vt:i4>0</vt:i4>
      </vt:variant>
      <vt:variant>
        <vt:i4>0</vt:i4>
      </vt:variant>
      <vt:variant>
        <vt:i4>5</vt:i4>
      </vt:variant>
      <vt:variant>
        <vt:lpwstr>mailto:kancelaria@.bydgoszcz.rdos.gov.pl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
  <cp:keywords/>
  <cp:lastModifiedBy/>
  <cp:revision>1</cp:revision>
  <dcterms:created xsi:type="dcterms:W3CDTF">2023-05-23T11:50:00Z</dcterms:created>
  <dcterms:modified xsi:type="dcterms:W3CDTF">2023-05-23T11:51:00Z</dcterms:modified>
</cp:coreProperties>
</file>