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C2" w:rsidRPr="00AB0FB2" w:rsidRDefault="000B1EC6" w:rsidP="00AB0FB2">
      <w:pPr>
        <w:spacing w:before="120" w:after="120"/>
        <w:jc w:val="right"/>
      </w:pPr>
      <w:bookmarkStart w:id="0" w:name="_GoBack"/>
      <w:bookmarkEnd w:id="0"/>
      <w:r w:rsidRPr="00AB0FB2">
        <w:t xml:space="preserve">Warszawa, </w:t>
      </w:r>
      <w:bookmarkStart w:id="1" w:name="ezdDataPodpisu"/>
      <w:r w:rsidRPr="00AB0FB2">
        <w:t>30 kwietnia 2019</w:t>
      </w:r>
      <w:bookmarkEnd w:id="1"/>
      <w:r w:rsidRPr="00AB0FB2">
        <w:t xml:space="preserve"> r.</w:t>
      </w:r>
    </w:p>
    <w:p w:rsidR="002D6CC2" w:rsidRPr="00AB0FB2" w:rsidRDefault="000B1EC6" w:rsidP="00AB0FB2">
      <w:pPr>
        <w:pStyle w:val="menfont"/>
        <w:spacing w:before="120" w:after="120"/>
        <w:jc w:val="both"/>
      </w:pPr>
      <w:bookmarkStart w:id="2" w:name="ezdSprawaZnak"/>
      <w:r w:rsidRPr="00AB0FB2">
        <w:t>DWKI-WWR.451.3.2018</w:t>
      </w:r>
      <w:bookmarkEnd w:id="2"/>
      <w:r w:rsidRPr="00AB0FB2">
        <w:t>.</w:t>
      </w:r>
      <w:bookmarkStart w:id="3" w:name="ezdAutorInicjaly"/>
      <w:r w:rsidRPr="00AB0FB2">
        <w:t>KM</w:t>
      </w:r>
      <w:bookmarkEnd w:id="3"/>
    </w:p>
    <w:p w:rsidR="002D6CC2" w:rsidRPr="00AB0FB2" w:rsidRDefault="00846547" w:rsidP="00AB0FB2">
      <w:pPr>
        <w:pStyle w:val="menfont"/>
        <w:spacing w:before="120" w:after="120"/>
        <w:jc w:val="both"/>
      </w:pPr>
    </w:p>
    <w:p w:rsidR="00C0041E" w:rsidRPr="00AB0FB2" w:rsidRDefault="000B1EC6" w:rsidP="00621DA1">
      <w:pPr>
        <w:jc w:val="center"/>
        <w:rPr>
          <w:b/>
        </w:rPr>
      </w:pPr>
      <w:r w:rsidRPr="00AB0FB2">
        <w:rPr>
          <w:b/>
        </w:rPr>
        <w:t>Sprawozdanie za 2018 r.</w:t>
      </w:r>
    </w:p>
    <w:p w:rsidR="00CA61BB" w:rsidRPr="00AB0FB2" w:rsidRDefault="000B1EC6" w:rsidP="00621DA1">
      <w:pPr>
        <w:jc w:val="center"/>
        <w:rPr>
          <w:b/>
        </w:rPr>
      </w:pPr>
      <w:r w:rsidRPr="00AB0FB2">
        <w:rPr>
          <w:b/>
        </w:rPr>
        <w:t xml:space="preserve">z realizacji „Programu współpracy Ministra Edukacji Narodowej  </w:t>
      </w:r>
      <w:r w:rsidRPr="00AB0FB2">
        <w:rPr>
          <w:b/>
        </w:rPr>
        <w:br/>
        <w:t>z organizacjami pozarządowymi oraz podmiotami wymienionymi</w:t>
      </w:r>
      <w:r>
        <w:rPr>
          <w:b/>
        </w:rPr>
        <w:br/>
      </w:r>
      <w:r w:rsidRPr="00AB0FB2">
        <w:rPr>
          <w:b/>
        </w:rPr>
        <w:t xml:space="preserve">w art. 3 ust 3. </w:t>
      </w:r>
      <w:r>
        <w:rPr>
          <w:b/>
        </w:rPr>
        <w:t>u</w:t>
      </w:r>
      <w:r w:rsidRPr="00AB0FB2">
        <w:rPr>
          <w:b/>
        </w:rPr>
        <w:t>stawy o działalności pożytku publicznego i o wolontariacie, na lata 2018-2020”</w:t>
      </w:r>
    </w:p>
    <w:p w:rsidR="00CA61BB" w:rsidRPr="00AB0FB2" w:rsidRDefault="000B1EC6" w:rsidP="00AB0FB2">
      <w:pPr>
        <w:spacing w:before="120" w:after="120"/>
        <w:jc w:val="both"/>
        <w:rPr>
          <w:u w:val="single"/>
        </w:rPr>
      </w:pPr>
      <w:r w:rsidRPr="00AB0FB2">
        <w:rPr>
          <w:u w:val="single"/>
        </w:rPr>
        <w:t xml:space="preserve">Wprowadzenie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„Program współpracy Ministra Edukacji Narodowej z organizacjami pozarządowymi oraz podmiotami wymienionymi w art. 3 ust 3. </w:t>
      </w:r>
      <w:r>
        <w:t>u</w:t>
      </w:r>
      <w:r w:rsidRPr="00AB0FB2">
        <w:t>stawy</w:t>
      </w:r>
      <w:r>
        <w:t xml:space="preserve"> </w:t>
      </w:r>
      <w:r w:rsidRPr="00AB0FB2">
        <w:t>z dnia</w:t>
      </w:r>
      <w:r>
        <w:br/>
      </w:r>
      <w:r w:rsidRPr="00AB0FB2">
        <w:t xml:space="preserve">24 kwietnia 2003 r. </w:t>
      </w:r>
      <w:r w:rsidRPr="000C20B8">
        <w:rPr>
          <w:i/>
        </w:rPr>
        <w:t>o  działalności pożytku publicznego i o wolontariacie</w:t>
      </w:r>
      <w:r w:rsidRPr="00AB0FB2">
        <w:t xml:space="preserve"> </w:t>
      </w:r>
      <w:r>
        <w:br/>
      </w:r>
      <w:r w:rsidRPr="00AB0FB2">
        <w:t xml:space="preserve">(Dz. U. z 2018, poz. 450), na lata 2018-2020” został opracowany na podstawie art. 5b wymienionej ustawy, który stanowi, że: </w:t>
      </w:r>
      <w:r w:rsidRPr="00AB0FB2">
        <w:rPr>
          <w:i/>
        </w:rPr>
        <w:t xml:space="preserve">„Minister lub wojewoda przyjmują, </w:t>
      </w:r>
      <w:r w:rsidRPr="00AB0FB2">
        <w:rPr>
          <w:i/>
        </w:rPr>
        <w:br/>
        <w:t xml:space="preserve">w drodze zarządzenia, po konsultacjach z organizacjami pozarządowymi </w:t>
      </w:r>
      <w:r>
        <w:rPr>
          <w:i/>
        </w:rPr>
        <w:br/>
      </w:r>
      <w:r w:rsidRPr="00AB0FB2">
        <w:rPr>
          <w:i/>
        </w:rPr>
        <w:t xml:space="preserve">oraz podmiotami wymienionymi w art. 3 ust. 3 roczny lub wieloletni program współpracy z organizacjami pozarządowymi oraz podmiotami wymienionymi </w:t>
      </w:r>
      <w:r w:rsidRPr="00AB0FB2">
        <w:rPr>
          <w:i/>
        </w:rPr>
        <w:br/>
        <w:t>w art. 3 ust. 3 na okres nie dłuższy niż 5 lat”.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Decyzja o przygotowaniu </w:t>
      </w:r>
      <w:r>
        <w:t xml:space="preserve">przez ministerstwo </w:t>
      </w:r>
      <w:r w:rsidRPr="00AB0FB2">
        <w:t xml:space="preserve">wieloletniego programu </w:t>
      </w:r>
      <w:r>
        <w:t xml:space="preserve">współpracy </w:t>
      </w:r>
      <w:r w:rsidRPr="00AB0FB2">
        <w:t>podyktowana była chęcią podjęcia długofalowych działań, które tworzyłyby</w:t>
      </w:r>
      <w:r>
        <w:br/>
      </w:r>
      <w:r w:rsidRPr="00AB0FB2">
        <w:t>dla organizacji obywatelskich stabilne ramy współ</w:t>
      </w:r>
      <w:r>
        <w:t xml:space="preserve">działania w </w:t>
      </w:r>
      <w:r w:rsidRPr="00AB0FB2">
        <w:t>dłuższej perspektyw</w:t>
      </w:r>
      <w:r>
        <w:t>ie cz</w:t>
      </w:r>
      <w:r w:rsidRPr="00AB0FB2">
        <w:t>asowej, przyczyniając się</w:t>
      </w:r>
      <w:r>
        <w:t xml:space="preserve"> tym samym, </w:t>
      </w:r>
      <w:r w:rsidRPr="00AB0FB2">
        <w:t>do osiąg</w:t>
      </w:r>
      <w:r>
        <w:t xml:space="preserve">nięcia </w:t>
      </w:r>
      <w:r w:rsidRPr="00AB0FB2">
        <w:t xml:space="preserve">lepszych </w:t>
      </w:r>
      <w:r>
        <w:t xml:space="preserve">rezultatów. </w:t>
      </w:r>
      <w:r w:rsidRPr="00AB0FB2">
        <w:t xml:space="preserve">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Prace nad przygotowaniem Programu rozpoczęły się w pierwszej połowie </w:t>
      </w:r>
      <w:r w:rsidRPr="00AB0FB2">
        <w:br/>
        <w:t>2017 r. Do konsultacji projektu</w:t>
      </w:r>
      <w:r>
        <w:t xml:space="preserve"> dokumentu </w:t>
      </w:r>
      <w:r w:rsidRPr="00AB0FB2">
        <w:t xml:space="preserve">zaproszono 30 organizacji pozarządowych, które znajdują się na liście partnerów społecznych Ministerstwa Edukacji Narodowej. Ponadto, projekt zamieszczony został na stronach Biuletynu Informacji Publicznej, </w:t>
      </w:r>
      <w:r>
        <w:t xml:space="preserve">co umożliwiło </w:t>
      </w:r>
      <w:r w:rsidRPr="00AB0FB2">
        <w:t xml:space="preserve">zgłaszanie uwag </w:t>
      </w:r>
      <w:r>
        <w:t xml:space="preserve">przez </w:t>
      </w:r>
      <w:r w:rsidRPr="00AB0FB2">
        <w:t>wszystki</w:t>
      </w:r>
      <w:r>
        <w:t xml:space="preserve">e </w:t>
      </w:r>
      <w:r w:rsidRPr="00AB0FB2">
        <w:t>zainteresowan</w:t>
      </w:r>
      <w:r>
        <w:t xml:space="preserve">e </w:t>
      </w:r>
      <w:r w:rsidRPr="00AB0FB2">
        <w:t>podmiot</w:t>
      </w:r>
      <w:r>
        <w:t xml:space="preserve">y. </w:t>
      </w:r>
      <w:r w:rsidRPr="00AB0FB2">
        <w:t xml:space="preserve">  </w:t>
      </w:r>
    </w:p>
    <w:p w:rsidR="00CA61BB" w:rsidRPr="00AB0FB2" w:rsidRDefault="000B1EC6" w:rsidP="00AB0FB2">
      <w:pPr>
        <w:spacing w:before="120" w:after="120"/>
        <w:jc w:val="both"/>
        <w:rPr>
          <w:i/>
        </w:rPr>
      </w:pPr>
      <w:r>
        <w:t xml:space="preserve">Treść Programu uzgodniono do końca 2017 r., co zostało zakończone  podpisaniem </w:t>
      </w:r>
      <w:r w:rsidRPr="00AB0FB2">
        <w:rPr>
          <w:i/>
        </w:rPr>
        <w:t>Zarządzeni</w:t>
      </w:r>
      <w:r>
        <w:rPr>
          <w:i/>
        </w:rPr>
        <w:t>a</w:t>
      </w:r>
      <w:r w:rsidRPr="00AB0FB2">
        <w:rPr>
          <w:i/>
        </w:rPr>
        <w:t xml:space="preserve"> Ministra Edukacji Narodowej nr 2 z dnia 4 stycznia 2018 r. w sprawie przyjęcia programu współpracy Ministra Edukacji Narodowej </w:t>
      </w:r>
      <w:r>
        <w:rPr>
          <w:i/>
        </w:rPr>
        <w:br/>
      </w:r>
      <w:r w:rsidRPr="00AB0FB2">
        <w:rPr>
          <w:i/>
        </w:rPr>
        <w:t xml:space="preserve">z organizacjami pozarządowymi oraz podmiotami wymienionymi w art. 3 ust 3 ustawy o działalności pożytku publicznego i wolontariacie na lata 2018-2020”. </w:t>
      </w:r>
    </w:p>
    <w:p w:rsidR="00CA61BB" w:rsidRPr="00AB0FB2" w:rsidRDefault="000B1EC6" w:rsidP="00AB0FB2">
      <w:pPr>
        <w:spacing w:before="120" w:after="120"/>
        <w:jc w:val="both"/>
        <w:rPr>
          <w:u w:val="single"/>
        </w:rPr>
      </w:pPr>
      <w:r w:rsidRPr="00AB0FB2">
        <w:rPr>
          <w:u w:val="single"/>
        </w:rPr>
        <w:t>Realizacja założeń Programu w 2018 r.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Podstawowymi miernikami oceny skuteczności wykonania Programu współpracy Ministra Edukacji Narodowej z organizacjami pozarządowymi są:  </w:t>
      </w:r>
    </w:p>
    <w:p w:rsidR="00CA61BB" w:rsidRPr="00AB0FB2" w:rsidRDefault="000B1EC6" w:rsidP="00AB0FB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B0FB2">
        <w:rPr>
          <w:rFonts w:ascii="Arial" w:hAnsi="Arial" w:cs="Arial"/>
          <w:sz w:val="24"/>
          <w:szCs w:val="24"/>
        </w:rPr>
        <w:t xml:space="preserve">liczba zawartych umów wsparcia lub powierzenia realizacji zadań publicznych dla organizacji pozarządowych - w wyniku przeprowadzonych konkursów -  zakładana wartość wskaźnika to 45 umów; </w:t>
      </w:r>
    </w:p>
    <w:p w:rsidR="00CA61BB" w:rsidRPr="00AB0FB2" w:rsidRDefault="000B1EC6" w:rsidP="00AB0FB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B0FB2">
        <w:rPr>
          <w:rFonts w:ascii="Arial" w:hAnsi="Arial" w:cs="Arial"/>
          <w:sz w:val="24"/>
          <w:szCs w:val="24"/>
        </w:rPr>
        <w:lastRenderedPageBreak/>
        <w:t>liczba honorowych patronatów MEN lub udział w komitetach honorowych</w:t>
      </w:r>
      <w:r>
        <w:rPr>
          <w:rFonts w:ascii="Arial" w:hAnsi="Arial" w:cs="Arial"/>
          <w:sz w:val="24"/>
          <w:szCs w:val="24"/>
        </w:rPr>
        <w:br/>
      </w:r>
      <w:r w:rsidRPr="00AB0FB2">
        <w:rPr>
          <w:rFonts w:ascii="Arial" w:hAnsi="Arial" w:cs="Arial"/>
          <w:sz w:val="24"/>
          <w:szCs w:val="24"/>
        </w:rPr>
        <w:t xml:space="preserve">dla projektów realizowanych przez organizacje pozarządowe - zakładana wartość to 220; </w:t>
      </w:r>
    </w:p>
    <w:p w:rsidR="00CA61BB" w:rsidRPr="00AB0FB2" w:rsidRDefault="000B1EC6" w:rsidP="00AB0FB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B0FB2">
        <w:rPr>
          <w:rFonts w:ascii="Arial" w:hAnsi="Arial" w:cs="Arial"/>
          <w:sz w:val="24"/>
          <w:szCs w:val="24"/>
        </w:rPr>
        <w:t>udział procentowy projektów aktów normatywnych przekazanych</w:t>
      </w:r>
      <w:r>
        <w:rPr>
          <w:rFonts w:ascii="Arial" w:hAnsi="Arial" w:cs="Arial"/>
          <w:sz w:val="24"/>
          <w:szCs w:val="24"/>
        </w:rPr>
        <w:br/>
      </w:r>
      <w:r w:rsidRPr="00AB0FB2">
        <w:rPr>
          <w:rFonts w:ascii="Arial" w:hAnsi="Arial" w:cs="Arial"/>
          <w:sz w:val="24"/>
          <w:szCs w:val="24"/>
        </w:rPr>
        <w:t xml:space="preserve">do konsultacji publicznych w łącznej liczbie wszystkich projektów aktów przygotowanych przez MEN - zakładana wartość wskaźnika to 85%.    </w:t>
      </w:r>
    </w:p>
    <w:p w:rsidR="00CA61BB" w:rsidRPr="00AB0FB2" w:rsidRDefault="000B1EC6" w:rsidP="00AB0FB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B0FB2">
        <w:rPr>
          <w:rFonts w:ascii="Arial" w:hAnsi="Arial" w:cs="Arial"/>
          <w:sz w:val="24"/>
          <w:szCs w:val="24"/>
        </w:rPr>
        <w:t>liczba ofert na realizację zadań zleconych w danym roku, które spełniły warunki oceny formalnej - zakładana wartość wskaźnika to 180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W 2018 r. założenia </w:t>
      </w:r>
      <w:r>
        <w:t>P</w:t>
      </w:r>
      <w:r w:rsidRPr="00AB0FB2">
        <w:t xml:space="preserve">rogramu współpracy Ministra Edukacji Narodowej </w:t>
      </w:r>
      <w:r w:rsidRPr="00AB0FB2">
        <w:br/>
        <w:t>z organizacjami pozarządowymi były rzetelnie realizowane, na co wskazuje osiągnięcie lub przekroczenie wartości trzech z ww. wskaźników</w:t>
      </w:r>
      <w:r>
        <w:t xml:space="preserve"> oraz podjęcie wielu dodatkowych działań. </w:t>
      </w:r>
      <w:r w:rsidRPr="00AB0FB2">
        <w:t xml:space="preserve"> </w:t>
      </w:r>
    </w:p>
    <w:p w:rsidR="00CA61BB" w:rsidRPr="00AB0FB2" w:rsidRDefault="000B1EC6" w:rsidP="00AB0FB2">
      <w:pPr>
        <w:spacing w:before="120" w:after="120"/>
        <w:jc w:val="both"/>
      </w:pPr>
      <w:r w:rsidRPr="00AB0FB2">
        <w:rPr>
          <w:u w:val="single"/>
        </w:rPr>
        <w:t xml:space="preserve">Zlecanie zadań publicznych </w:t>
      </w:r>
      <w:r w:rsidRPr="00AB0FB2">
        <w:t xml:space="preserve">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W </w:t>
      </w:r>
      <w:r>
        <w:t>P</w:t>
      </w:r>
      <w:r w:rsidRPr="00AB0FB2">
        <w:t>lanie zlecania zadań publicznych Ministra Edukacji Narodowej</w:t>
      </w:r>
      <w:r>
        <w:t xml:space="preserve"> </w:t>
      </w:r>
      <w:r w:rsidRPr="00AB0FB2">
        <w:t xml:space="preserve">zapowiedziano w 2018 r. ogłoszenie konkursów na wykonanie 9 zadań publicznych o łącznej wartość 11 885  000 PLN. W wyniku przeprowadzonych procedur konkursowych </w:t>
      </w:r>
      <w:r w:rsidRPr="000C20B8">
        <w:t>zawarto 74 umowy wsparcia lub powierzenia zadań</w:t>
      </w:r>
      <w:r w:rsidRPr="00AB0FB2">
        <w:t xml:space="preserve"> </w:t>
      </w:r>
      <w:r>
        <w:br/>
      </w:r>
      <w:r w:rsidRPr="00AB0FB2">
        <w:t xml:space="preserve">do realizacji </w:t>
      </w:r>
      <w:r>
        <w:t xml:space="preserve">przez </w:t>
      </w:r>
      <w:r w:rsidRPr="00AB0FB2">
        <w:t>partnerów społecznych. W 2017 r. podpisano 45 umów.</w:t>
      </w:r>
      <w:r>
        <w:t xml:space="preserve"> </w:t>
      </w:r>
      <w:r w:rsidRPr="00AB0FB2">
        <w:t xml:space="preserve">Poprawa wartości wskaźnika o </w:t>
      </w:r>
      <w:r>
        <w:t>niemal 40%</w:t>
      </w:r>
      <w:r w:rsidRPr="00AB0FB2">
        <w:t xml:space="preserve"> może świadczyć o dobrej jakości zgłoszonych ofert, które w opinii członków komisji konkursowych zasługiwały</w:t>
      </w:r>
      <w:r>
        <w:br/>
      </w:r>
      <w:r w:rsidRPr="00AB0FB2">
        <w:t xml:space="preserve">na </w:t>
      </w:r>
      <w:r>
        <w:t xml:space="preserve"> udzielenie wsparcia finansowego na ich realizację. </w:t>
      </w:r>
    </w:p>
    <w:p w:rsidR="00CA61BB" w:rsidRPr="00AB0FB2" w:rsidRDefault="000B1EC6" w:rsidP="00AB0FB2">
      <w:pPr>
        <w:pStyle w:val="Tekstpodstawowy2"/>
        <w:shd w:val="clear" w:color="auto" w:fill="auto"/>
        <w:spacing w:before="120" w:after="120" w:line="240" w:lineRule="auto"/>
        <w:ind w:right="40" w:firstLine="0"/>
        <w:rPr>
          <w:rFonts w:ascii="Arial" w:hAnsi="Arial" w:cs="Arial"/>
          <w:sz w:val="24"/>
          <w:szCs w:val="24"/>
        </w:rPr>
      </w:pPr>
      <w:r w:rsidRPr="00AB0FB2">
        <w:rPr>
          <w:rFonts w:ascii="Arial" w:hAnsi="Arial" w:cs="Arial"/>
          <w:sz w:val="24"/>
          <w:szCs w:val="24"/>
        </w:rPr>
        <w:t xml:space="preserve">Wśród zadań zlecanych przez Ministra Edukacji Narodowej do </w:t>
      </w:r>
      <w:r>
        <w:rPr>
          <w:rFonts w:ascii="Arial" w:hAnsi="Arial" w:cs="Arial"/>
          <w:sz w:val="24"/>
          <w:szCs w:val="24"/>
        </w:rPr>
        <w:t xml:space="preserve">realizacji </w:t>
      </w:r>
      <w:r>
        <w:rPr>
          <w:rFonts w:ascii="Arial" w:hAnsi="Arial" w:cs="Arial"/>
          <w:sz w:val="24"/>
          <w:szCs w:val="24"/>
        </w:rPr>
        <w:br/>
        <w:t xml:space="preserve">przez podmioty zewnętrzne są </w:t>
      </w:r>
      <w:r w:rsidRPr="00AB0FB2">
        <w:rPr>
          <w:rFonts w:ascii="Arial" w:hAnsi="Arial" w:cs="Arial"/>
          <w:sz w:val="24"/>
          <w:szCs w:val="24"/>
        </w:rPr>
        <w:t>takie, które</w:t>
      </w:r>
      <w:r>
        <w:rPr>
          <w:rFonts w:ascii="Arial" w:hAnsi="Arial" w:cs="Arial"/>
          <w:sz w:val="24"/>
          <w:szCs w:val="24"/>
        </w:rPr>
        <w:t xml:space="preserve"> powtarzają się każdego roku,</w:t>
      </w:r>
      <w:r>
        <w:rPr>
          <w:rFonts w:ascii="Arial" w:hAnsi="Arial" w:cs="Arial"/>
          <w:sz w:val="24"/>
          <w:szCs w:val="24"/>
        </w:rPr>
        <w:br/>
        <w:t xml:space="preserve">np. </w:t>
      </w:r>
      <w:r w:rsidRPr="00AB0FB2">
        <w:rPr>
          <w:rFonts w:ascii="Arial" w:hAnsi="Arial" w:cs="Arial"/>
          <w:sz w:val="24"/>
          <w:szCs w:val="24"/>
        </w:rPr>
        <w:t>organizowanie letniego wypoczynku dzieci i młodzieży polonijnej</w:t>
      </w:r>
      <w:r>
        <w:rPr>
          <w:rFonts w:ascii="Arial" w:hAnsi="Arial" w:cs="Arial"/>
          <w:sz w:val="24"/>
          <w:szCs w:val="24"/>
        </w:rPr>
        <w:t xml:space="preserve">, </w:t>
      </w:r>
      <w:r w:rsidRPr="00AB0FB2">
        <w:rPr>
          <w:rFonts w:ascii="Arial" w:hAnsi="Arial" w:cs="Arial"/>
          <w:sz w:val="24"/>
          <w:szCs w:val="24"/>
        </w:rPr>
        <w:t>doskonalenie zawodowe nauczycieli polonijnych</w:t>
      </w:r>
      <w:r>
        <w:rPr>
          <w:rFonts w:ascii="Arial" w:hAnsi="Arial" w:cs="Arial"/>
          <w:sz w:val="24"/>
          <w:szCs w:val="24"/>
        </w:rPr>
        <w:t xml:space="preserve"> oraz takie, które </w:t>
      </w:r>
      <w:r w:rsidRPr="00AB0FB2">
        <w:rPr>
          <w:rFonts w:ascii="Arial" w:hAnsi="Arial" w:cs="Arial"/>
          <w:sz w:val="24"/>
          <w:szCs w:val="24"/>
        </w:rPr>
        <w:t>ogłasza</w:t>
      </w:r>
      <w:r>
        <w:rPr>
          <w:rFonts w:ascii="Arial" w:hAnsi="Arial" w:cs="Arial"/>
          <w:sz w:val="24"/>
          <w:szCs w:val="24"/>
        </w:rPr>
        <w:t xml:space="preserve"> się </w:t>
      </w:r>
      <w:r w:rsidRPr="00AB0FB2">
        <w:rPr>
          <w:rFonts w:ascii="Arial" w:hAnsi="Arial" w:cs="Arial"/>
          <w:sz w:val="24"/>
          <w:szCs w:val="24"/>
        </w:rPr>
        <w:t xml:space="preserve">okazjonalnie, np. w związku z obchodami ważnych wydarzeń, czy rocznic.   </w:t>
      </w:r>
    </w:p>
    <w:p w:rsidR="00CA61BB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B0FB2">
        <w:rPr>
          <w:rFonts w:ascii="Arial" w:hAnsi="Arial" w:cs="Arial"/>
        </w:rPr>
        <w:t xml:space="preserve"> 2018 r. ogłoszono następując</w:t>
      </w:r>
      <w:r>
        <w:rPr>
          <w:rFonts w:ascii="Arial" w:hAnsi="Arial" w:cs="Arial"/>
        </w:rPr>
        <w:t xml:space="preserve">e </w:t>
      </w:r>
      <w:r w:rsidRPr="00AB0FB2">
        <w:rPr>
          <w:rFonts w:ascii="Arial" w:hAnsi="Arial" w:cs="Arial"/>
        </w:rPr>
        <w:t xml:space="preserve">konkursy na realizację zadań publicznych, które wymagały </w:t>
      </w:r>
      <w:r>
        <w:rPr>
          <w:rFonts w:ascii="Arial" w:hAnsi="Arial" w:cs="Arial"/>
        </w:rPr>
        <w:t xml:space="preserve">udziału szkół lub </w:t>
      </w:r>
      <w:r w:rsidRPr="00AB0FB2">
        <w:rPr>
          <w:rFonts w:ascii="Arial" w:hAnsi="Arial" w:cs="Arial"/>
        </w:rPr>
        <w:t>placów</w:t>
      </w:r>
      <w:r>
        <w:rPr>
          <w:rFonts w:ascii="Arial" w:hAnsi="Arial" w:cs="Arial"/>
        </w:rPr>
        <w:t xml:space="preserve">ek </w:t>
      </w:r>
      <w:r w:rsidRPr="00AB0FB2">
        <w:rPr>
          <w:rFonts w:ascii="Arial" w:hAnsi="Arial" w:cs="Arial"/>
        </w:rPr>
        <w:t>oświatowy</w:t>
      </w:r>
      <w:r>
        <w:rPr>
          <w:rFonts w:ascii="Arial" w:hAnsi="Arial" w:cs="Arial"/>
        </w:rPr>
        <w:t>ch</w:t>
      </w:r>
      <w:r w:rsidRPr="00AB0FB2">
        <w:rPr>
          <w:rFonts w:ascii="Arial" w:hAnsi="Arial" w:cs="Arial"/>
        </w:rPr>
        <w:t xml:space="preserve">:    </w:t>
      </w:r>
    </w:p>
    <w:p w:rsidR="00C0041E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  <w:i/>
        </w:rPr>
      </w:pPr>
      <w:r w:rsidRPr="00AB0FB2">
        <w:rPr>
          <w:rFonts w:ascii="Arial" w:hAnsi="Arial" w:cs="Arial"/>
          <w:i/>
        </w:rPr>
        <w:t>1.</w:t>
      </w:r>
      <w:r w:rsidRPr="00AB0FB2">
        <w:rPr>
          <w:rFonts w:ascii="Arial" w:hAnsi="Arial" w:cs="Arial"/>
        </w:rPr>
        <w:t xml:space="preserve"> </w:t>
      </w:r>
      <w:r w:rsidRPr="00AB0FB2">
        <w:rPr>
          <w:rFonts w:ascii="Arial" w:hAnsi="Arial" w:cs="Arial"/>
          <w:i/>
        </w:rPr>
        <w:t>Organizowanie kolonii i innych form letniego wypoczynku dzieci i młodzieży polonijnej oraz doskonalenia zawodowego nauczycieli prowadzących nauczanie języka polskiego, historii, geografii, kultury polskiej oraz innych przedmiotów nauczanych w języku polskim za granicą.</w:t>
      </w:r>
    </w:p>
    <w:p w:rsidR="00C0041E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 w:rsidRPr="00AB0FB2">
        <w:rPr>
          <w:rFonts w:ascii="Arial" w:hAnsi="Arial" w:cs="Arial"/>
        </w:rPr>
        <w:t>Celem tego</w:t>
      </w:r>
      <w:r>
        <w:rPr>
          <w:rFonts w:ascii="Arial" w:hAnsi="Arial" w:cs="Arial"/>
        </w:rPr>
        <w:t xml:space="preserve"> cyklicznego </w:t>
      </w:r>
      <w:r w:rsidRPr="00AB0FB2">
        <w:rPr>
          <w:rFonts w:ascii="Arial" w:hAnsi="Arial" w:cs="Arial"/>
        </w:rPr>
        <w:t xml:space="preserve">działania </w:t>
      </w:r>
      <w:r>
        <w:rPr>
          <w:rFonts w:ascii="Arial" w:hAnsi="Arial" w:cs="Arial"/>
        </w:rPr>
        <w:t xml:space="preserve">jest </w:t>
      </w:r>
      <w:r w:rsidRPr="00AB0FB2">
        <w:rPr>
          <w:rFonts w:ascii="Arial" w:hAnsi="Arial" w:cs="Arial"/>
        </w:rPr>
        <w:t xml:space="preserve">doskonalenie wiedzy i umiejętności nauczycieli </w:t>
      </w:r>
      <w:r>
        <w:rPr>
          <w:rFonts w:ascii="Arial" w:hAnsi="Arial" w:cs="Arial"/>
        </w:rPr>
        <w:t xml:space="preserve">oraz </w:t>
      </w:r>
      <w:r w:rsidRPr="00AB0FB2">
        <w:rPr>
          <w:rFonts w:ascii="Arial" w:hAnsi="Arial" w:cs="Arial"/>
        </w:rPr>
        <w:t>kadry zarządzającej</w:t>
      </w:r>
      <w:r>
        <w:rPr>
          <w:rFonts w:ascii="Arial" w:hAnsi="Arial" w:cs="Arial"/>
        </w:rPr>
        <w:t xml:space="preserve"> szkołami. Działania kierowane są do szkół prowadzonych przez </w:t>
      </w:r>
      <w:r w:rsidRPr="00AB0FB2">
        <w:rPr>
          <w:rFonts w:ascii="Arial" w:hAnsi="Arial" w:cs="Arial"/>
        </w:rPr>
        <w:t>organizacj</w:t>
      </w:r>
      <w:r>
        <w:rPr>
          <w:rFonts w:ascii="Arial" w:hAnsi="Arial" w:cs="Arial"/>
        </w:rPr>
        <w:t>e</w:t>
      </w:r>
      <w:r w:rsidRPr="00AB0FB2">
        <w:rPr>
          <w:rFonts w:ascii="Arial" w:hAnsi="Arial" w:cs="Arial"/>
        </w:rPr>
        <w:t xml:space="preserve"> Polaków za granicą </w:t>
      </w:r>
      <w:r>
        <w:rPr>
          <w:rFonts w:ascii="Arial" w:hAnsi="Arial" w:cs="Arial"/>
        </w:rPr>
        <w:t xml:space="preserve">oraz </w:t>
      </w:r>
      <w:r w:rsidRPr="00AB0FB2">
        <w:rPr>
          <w:rFonts w:ascii="Arial" w:hAnsi="Arial" w:cs="Arial"/>
        </w:rPr>
        <w:t>szkół w system</w:t>
      </w:r>
      <w:r>
        <w:rPr>
          <w:rFonts w:ascii="Arial" w:hAnsi="Arial" w:cs="Arial"/>
        </w:rPr>
        <w:t xml:space="preserve">ach </w:t>
      </w:r>
      <w:r w:rsidRPr="00AB0FB2">
        <w:rPr>
          <w:rFonts w:ascii="Arial" w:hAnsi="Arial" w:cs="Arial"/>
        </w:rPr>
        <w:t>oświaty krajów zamieszkania Polaków</w:t>
      </w:r>
      <w:r>
        <w:rPr>
          <w:rFonts w:ascii="Arial" w:hAnsi="Arial" w:cs="Arial"/>
        </w:rPr>
        <w:t xml:space="preserve">. Zajęcia dotyczą </w:t>
      </w:r>
      <w:r w:rsidRPr="00AB0FB2">
        <w:rPr>
          <w:rFonts w:ascii="Arial" w:hAnsi="Arial" w:cs="Arial"/>
        </w:rPr>
        <w:t>języka polskiego</w:t>
      </w:r>
      <w:r>
        <w:rPr>
          <w:rFonts w:ascii="Arial" w:hAnsi="Arial" w:cs="Arial"/>
        </w:rPr>
        <w:t>,</w:t>
      </w:r>
      <w:r w:rsidRPr="00AB0FB2">
        <w:rPr>
          <w:rFonts w:ascii="Arial" w:hAnsi="Arial" w:cs="Arial"/>
        </w:rPr>
        <w:t xml:space="preserve"> wiedzy o Polsce oraz innych przedmiotów nauczanych w języku polskim, </w:t>
      </w:r>
      <w:r>
        <w:rPr>
          <w:rFonts w:ascii="Arial" w:hAnsi="Arial" w:cs="Arial"/>
        </w:rPr>
        <w:br/>
      </w:r>
      <w:r w:rsidRPr="00AB0FB2">
        <w:rPr>
          <w:rFonts w:ascii="Arial" w:hAnsi="Arial" w:cs="Arial"/>
        </w:rPr>
        <w:t>a także zarządzania szkołą</w:t>
      </w:r>
      <w:r>
        <w:rPr>
          <w:rFonts w:ascii="Arial" w:hAnsi="Arial" w:cs="Arial"/>
        </w:rPr>
        <w:t>.</w:t>
      </w:r>
      <w:r w:rsidRPr="00AB0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Efektem programu jest zwiększenie </w:t>
      </w:r>
      <w:r w:rsidRPr="00AB0FB2">
        <w:rPr>
          <w:rFonts w:ascii="Arial" w:hAnsi="Arial" w:cs="Arial"/>
        </w:rPr>
        <w:t xml:space="preserve">atrakcyjności nauczania prowadzonego przez ww. szkoły </w:t>
      </w:r>
      <w:r>
        <w:rPr>
          <w:rFonts w:ascii="Arial" w:hAnsi="Arial" w:cs="Arial"/>
        </w:rPr>
        <w:t>oraz</w:t>
      </w:r>
      <w:r w:rsidRPr="00AB0FB2">
        <w:rPr>
          <w:rFonts w:ascii="Arial" w:hAnsi="Arial" w:cs="Arial"/>
        </w:rPr>
        <w:t xml:space="preserve"> wzrost liczby uczniów uczących się języka polskiego. Doskonalenie zawodowe o</w:t>
      </w:r>
      <w:r w:rsidRPr="00AB0FB2">
        <w:rPr>
          <w:rFonts w:ascii="Arial" w:hAnsi="Arial" w:cs="Arial"/>
          <w:kern w:val="24"/>
        </w:rPr>
        <w:t>dbywa</w:t>
      </w:r>
      <w:r>
        <w:rPr>
          <w:rFonts w:ascii="Arial" w:hAnsi="Arial" w:cs="Arial"/>
          <w:kern w:val="24"/>
        </w:rPr>
        <w:t>ło</w:t>
      </w:r>
      <w:r w:rsidRPr="00AB0FB2">
        <w:rPr>
          <w:rFonts w:ascii="Arial" w:hAnsi="Arial" w:cs="Arial"/>
          <w:kern w:val="24"/>
        </w:rPr>
        <w:t xml:space="preserve"> się zarówno w Polsce, jak </w:t>
      </w:r>
      <w:r>
        <w:rPr>
          <w:rFonts w:ascii="Arial" w:hAnsi="Arial" w:cs="Arial"/>
          <w:kern w:val="24"/>
        </w:rPr>
        <w:t>również za</w:t>
      </w:r>
      <w:r w:rsidRPr="00AB0FB2">
        <w:rPr>
          <w:rFonts w:ascii="Arial" w:hAnsi="Arial" w:cs="Arial"/>
          <w:kern w:val="24"/>
        </w:rPr>
        <w:t xml:space="preserve"> granicą</w:t>
      </w:r>
      <w:r>
        <w:rPr>
          <w:rFonts w:ascii="Arial" w:hAnsi="Arial" w:cs="Arial"/>
          <w:kern w:val="24"/>
        </w:rPr>
        <w:t xml:space="preserve"> i</w:t>
      </w:r>
      <w:r w:rsidRPr="00AB0FB2">
        <w:rPr>
          <w:rFonts w:ascii="Arial" w:hAnsi="Arial" w:cs="Arial"/>
          <w:kern w:val="24"/>
        </w:rPr>
        <w:t xml:space="preserve"> </w:t>
      </w:r>
      <w:r>
        <w:rPr>
          <w:rFonts w:ascii="Arial" w:hAnsi="Arial" w:cs="Arial"/>
          <w:kern w:val="24"/>
        </w:rPr>
        <w:t xml:space="preserve">było </w:t>
      </w:r>
      <w:r w:rsidRPr="00AB0FB2">
        <w:rPr>
          <w:rFonts w:ascii="Arial" w:hAnsi="Arial" w:cs="Arial"/>
          <w:kern w:val="24"/>
        </w:rPr>
        <w:t xml:space="preserve">prowadzone w trybie stacjonarnym oraz </w:t>
      </w:r>
      <w:r w:rsidRPr="00AB0FB2">
        <w:rPr>
          <w:rFonts w:ascii="Arial" w:hAnsi="Arial" w:cs="Arial"/>
          <w:i/>
          <w:iCs/>
          <w:kern w:val="24"/>
        </w:rPr>
        <w:t>on-line</w:t>
      </w:r>
      <w:r w:rsidRPr="00AB0FB2">
        <w:rPr>
          <w:rFonts w:ascii="Arial" w:hAnsi="Arial" w:cs="Arial"/>
          <w:kern w:val="24"/>
        </w:rPr>
        <w:t xml:space="preserve">. </w:t>
      </w:r>
    </w:p>
    <w:p w:rsidR="00F47314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 w:rsidRPr="00AB0FB2">
        <w:rPr>
          <w:rFonts w:ascii="Arial" w:hAnsi="Arial" w:cs="Arial"/>
        </w:rPr>
        <w:t>W obozach edukacyjnych dla młodzieżowych liderów środowisk polskich</w:t>
      </w:r>
      <w:r>
        <w:rPr>
          <w:rFonts w:ascii="Arial" w:hAnsi="Arial" w:cs="Arial"/>
        </w:rPr>
        <w:br/>
      </w:r>
      <w:r w:rsidRPr="00AB0FB2">
        <w:rPr>
          <w:rFonts w:ascii="Arial" w:hAnsi="Arial" w:cs="Arial"/>
        </w:rPr>
        <w:t>za granicą</w:t>
      </w:r>
      <w:r>
        <w:rPr>
          <w:rFonts w:ascii="Arial" w:hAnsi="Arial" w:cs="Arial"/>
        </w:rPr>
        <w:t>,</w:t>
      </w:r>
      <w:r w:rsidRPr="00AB0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każdego roku </w:t>
      </w:r>
      <w:r w:rsidRPr="00AB0FB2">
        <w:rPr>
          <w:rFonts w:ascii="Arial" w:hAnsi="Arial" w:cs="Arial"/>
        </w:rPr>
        <w:t>uczestniczy młodzież w wieku 15-18 lat</w:t>
      </w:r>
      <w:r>
        <w:rPr>
          <w:rFonts w:ascii="Arial" w:hAnsi="Arial" w:cs="Arial"/>
        </w:rPr>
        <w:t>, która w ciągu roku szkolnego u</w:t>
      </w:r>
      <w:r w:rsidRPr="00AB0FB2">
        <w:rPr>
          <w:rFonts w:ascii="Arial" w:hAnsi="Arial" w:cs="Arial"/>
        </w:rPr>
        <w:t xml:space="preserve">częszcza na zajęcia języka polskiego i innych przedmiotów </w:t>
      </w:r>
      <w:r w:rsidRPr="00AB0FB2">
        <w:rPr>
          <w:rFonts w:ascii="Arial" w:hAnsi="Arial" w:cs="Arial"/>
        </w:rPr>
        <w:lastRenderedPageBreak/>
        <w:t>nauczanych w języku polskim</w:t>
      </w:r>
      <w:r>
        <w:rPr>
          <w:rFonts w:ascii="Arial" w:hAnsi="Arial" w:cs="Arial"/>
        </w:rPr>
        <w:t xml:space="preserve">. Pobyt </w:t>
      </w:r>
      <w:r w:rsidRPr="00AB0FB2">
        <w:rPr>
          <w:rFonts w:ascii="Arial" w:hAnsi="Arial" w:cs="Arial"/>
        </w:rPr>
        <w:t xml:space="preserve">młodzieży w Polsce </w:t>
      </w:r>
      <w:r>
        <w:rPr>
          <w:rFonts w:ascii="Arial" w:hAnsi="Arial" w:cs="Arial"/>
        </w:rPr>
        <w:t xml:space="preserve">obejmuje </w:t>
      </w:r>
      <w:r w:rsidRPr="00AB0FB2">
        <w:rPr>
          <w:rFonts w:ascii="Arial" w:hAnsi="Arial" w:cs="Arial"/>
        </w:rPr>
        <w:t xml:space="preserve">program edukacyjno-wychowawczy rozwijający poczucie tożsamości narodowej, </w:t>
      </w:r>
      <w:r>
        <w:rPr>
          <w:rFonts w:ascii="Arial" w:hAnsi="Arial" w:cs="Arial"/>
        </w:rPr>
        <w:br/>
      </w:r>
      <w:r w:rsidRPr="00AB0FB2">
        <w:rPr>
          <w:rFonts w:ascii="Arial" w:hAnsi="Arial" w:cs="Arial"/>
        </w:rPr>
        <w:t>w tym zajęcia</w:t>
      </w:r>
      <w:r>
        <w:rPr>
          <w:rFonts w:ascii="Arial" w:hAnsi="Arial" w:cs="Arial"/>
        </w:rPr>
        <w:t xml:space="preserve"> </w:t>
      </w:r>
      <w:r w:rsidRPr="00AB0FB2">
        <w:rPr>
          <w:rFonts w:ascii="Arial" w:hAnsi="Arial" w:cs="Arial"/>
        </w:rPr>
        <w:t xml:space="preserve">kulturalno-oświatowe umożliwiające doskonalenie umiejętności posługiwania się językiem polskim, </w:t>
      </w:r>
      <w:r>
        <w:rPr>
          <w:rFonts w:ascii="Arial" w:hAnsi="Arial" w:cs="Arial"/>
        </w:rPr>
        <w:t xml:space="preserve">a także </w:t>
      </w:r>
      <w:r w:rsidRPr="00AB0FB2">
        <w:rPr>
          <w:rFonts w:ascii="Arial" w:hAnsi="Arial" w:cs="Arial"/>
        </w:rPr>
        <w:t xml:space="preserve">poznawanie historii Polski, tradycji i kultury narodowej. </w:t>
      </w:r>
    </w:p>
    <w:p w:rsidR="00F4390A" w:rsidRDefault="000B1EC6" w:rsidP="00AB0FB2">
      <w:pPr>
        <w:pStyle w:val="Default"/>
        <w:spacing w:before="120" w:after="120"/>
        <w:jc w:val="both"/>
        <w:rPr>
          <w:rFonts w:ascii="Arial" w:hAnsi="Arial" w:cs="Arial"/>
          <w:i/>
        </w:rPr>
      </w:pPr>
      <w:r w:rsidRPr="00AB0FB2">
        <w:rPr>
          <w:rFonts w:ascii="Arial" w:hAnsi="Arial" w:cs="Arial"/>
          <w:i/>
        </w:rPr>
        <w:t>2.</w:t>
      </w:r>
      <w:r w:rsidRPr="00AB0FB2">
        <w:rPr>
          <w:rFonts w:ascii="Arial" w:hAnsi="Arial" w:cs="Arial"/>
        </w:rPr>
        <w:t xml:space="preserve"> </w:t>
      </w:r>
      <w:r w:rsidRPr="00AB0FB2">
        <w:rPr>
          <w:rFonts w:ascii="Arial" w:hAnsi="Arial" w:cs="Arial"/>
          <w:i/>
        </w:rPr>
        <w:t xml:space="preserve">Program wspierania uczniów wybitnie zdolnych. </w:t>
      </w:r>
    </w:p>
    <w:p w:rsidR="00CA61BB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 w:rsidRPr="00AB0FB2">
        <w:rPr>
          <w:rFonts w:ascii="Arial" w:hAnsi="Arial" w:cs="Arial"/>
        </w:rPr>
        <w:t xml:space="preserve">Dzięki realizacji </w:t>
      </w:r>
      <w:r>
        <w:rPr>
          <w:rFonts w:ascii="Arial" w:hAnsi="Arial" w:cs="Arial"/>
        </w:rPr>
        <w:t xml:space="preserve">ogólnopolskich lub ponadregionalnych </w:t>
      </w:r>
      <w:r w:rsidRPr="00AB0FB2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gramów wsparcia, </w:t>
      </w:r>
      <w:r w:rsidRPr="00AB0FB2">
        <w:rPr>
          <w:rFonts w:ascii="Arial" w:hAnsi="Arial" w:cs="Arial"/>
        </w:rPr>
        <w:t xml:space="preserve">uczniowie z różnorodnymi uzdolnieniami mają szansę na nieodpłatny udział </w:t>
      </w:r>
      <w:r>
        <w:rPr>
          <w:rFonts w:ascii="Arial" w:hAnsi="Arial" w:cs="Arial"/>
        </w:rPr>
        <w:br/>
      </w:r>
      <w:r w:rsidRPr="00AB0FB2">
        <w:rPr>
          <w:rFonts w:ascii="Arial" w:hAnsi="Arial" w:cs="Arial"/>
        </w:rPr>
        <w:t>w zajęciach naukowo-badawczych na poziomie akademickim, realizowani</w:t>
      </w:r>
      <w:r>
        <w:rPr>
          <w:rFonts w:ascii="Arial" w:hAnsi="Arial" w:cs="Arial"/>
        </w:rPr>
        <w:t>e</w:t>
      </w:r>
      <w:r w:rsidRPr="00AB0FB2">
        <w:rPr>
          <w:rFonts w:ascii="Arial" w:hAnsi="Arial" w:cs="Arial"/>
        </w:rPr>
        <w:t xml:space="preserve"> indywidualnych projektów badawczych, </w:t>
      </w:r>
      <w:r>
        <w:rPr>
          <w:rFonts w:ascii="Arial" w:hAnsi="Arial" w:cs="Arial"/>
        </w:rPr>
        <w:t xml:space="preserve">czy </w:t>
      </w:r>
      <w:r w:rsidRPr="00AB0FB2">
        <w:rPr>
          <w:rFonts w:ascii="Arial" w:hAnsi="Arial" w:cs="Arial"/>
        </w:rPr>
        <w:t>uczestniczeni</w:t>
      </w:r>
      <w:r>
        <w:rPr>
          <w:rFonts w:ascii="Arial" w:hAnsi="Arial" w:cs="Arial"/>
        </w:rPr>
        <w:t>e</w:t>
      </w:r>
      <w:r w:rsidRPr="00AB0FB2">
        <w:rPr>
          <w:rFonts w:ascii="Arial" w:hAnsi="Arial" w:cs="Arial"/>
        </w:rPr>
        <w:t xml:space="preserve"> w obozach naukowych. Udział w projektach umożliwia budowanie kontaktów między uczniami wybitnie uzdolnionym o podobnych zainteresowaniach z całego kraju.</w:t>
      </w:r>
    </w:p>
    <w:p w:rsidR="00F47314" w:rsidRPr="00AB0FB2" w:rsidRDefault="000B1EC6" w:rsidP="00AB0FB2">
      <w:pPr>
        <w:pStyle w:val="menfont"/>
        <w:spacing w:before="120" w:after="120"/>
        <w:jc w:val="both"/>
      </w:pPr>
      <w:r w:rsidRPr="00AB0FB2">
        <w:rPr>
          <w:i/>
        </w:rPr>
        <w:t>3. Rodzina polonijna. Współpraca szkół funkcjonujących w systemach oświaty innych państw oraz organizacji społecznych za granicą prowadzących nauczanie języka polskiego, historii, geografii, kultury polskiej oraz innych przedmiotów nauczanych w języku polskim ze szkołami w Polsce</w:t>
      </w:r>
      <w:r w:rsidRPr="00AB0FB2">
        <w:t xml:space="preserve">. </w:t>
      </w:r>
    </w:p>
    <w:p w:rsidR="00F47314" w:rsidRPr="00AB0FB2" w:rsidRDefault="000B1EC6" w:rsidP="00AB0FB2">
      <w:pPr>
        <w:pStyle w:val="menfont"/>
        <w:spacing w:before="120" w:after="120"/>
        <w:jc w:val="both"/>
      </w:pPr>
      <w:r w:rsidRPr="00AB0FB2">
        <w:t>Celem realizacji tego zadania jest wsp</w:t>
      </w:r>
      <w:r>
        <w:t xml:space="preserve">ieranie </w:t>
      </w:r>
      <w:r w:rsidRPr="00AB0FB2">
        <w:t xml:space="preserve">integracji dzieci i młodzieży polskiej zamieszkałych za granicą z dziećmi i młodzieżą w Polsce. Służy temu udział </w:t>
      </w:r>
      <w:r w:rsidRPr="00AB0FB2">
        <w:br/>
        <w:t>we wspólnych</w:t>
      </w:r>
      <w:r>
        <w:t xml:space="preserve">, interesujących dla obu stron, </w:t>
      </w:r>
      <w:r w:rsidRPr="00AB0FB2">
        <w:t xml:space="preserve">przedsięwzięciach </w:t>
      </w:r>
      <w:r>
        <w:t>edukacyjnych. U</w:t>
      </w:r>
      <w:r w:rsidRPr="00AB0FB2">
        <w:t xml:space="preserve">możliwia </w:t>
      </w:r>
      <w:r>
        <w:t xml:space="preserve">to </w:t>
      </w:r>
      <w:r w:rsidRPr="00AB0FB2">
        <w:t xml:space="preserve">dzieciom i młodzieży polskiej za granicą doskonalenie znajomości języka polskiego i poznanie Polski, natomiast dzieciom i młodzieży szkół w Polsce poznanie polskiego dziedzictwa kulturowego za granicą. Również nauczyciele mają okazję do  wymiany wiedzy i doświadczeń dydaktyczno-wychowawczych. </w:t>
      </w:r>
    </w:p>
    <w:p w:rsidR="005D65E1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  <w:i/>
        </w:rPr>
      </w:pPr>
      <w:r w:rsidRPr="00AB0FB2">
        <w:rPr>
          <w:rFonts w:ascii="Arial" w:hAnsi="Arial" w:cs="Arial"/>
          <w:i/>
        </w:rPr>
        <w:t xml:space="preserve">4. Międzynarodowa wymiana młodzieży. </w:t>
      </w:r>
    </w:p>
    <w:p w:rsidR="00AB5424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Działanie przyczynia się do </w:t>
      </w:r>
      <w:r w:rsidRPr="00AB0FB2">
        <w:rPr>
          <w:rFonts w:ascii="Arial" w:hAnsi="Arial" w:cs="Arial"/>
        </w:rPr>
        <w:t>wzmacniani</w:t>
      </w:r>
      <w:r>
        <w:rPr>
          <w:rFonts w:ascii="Arial" w:hAnsi="Arial" w:cs="Arial"/>
        </w:rPr>
        <w:t>a</w:t>
      </w:r>
      <w:r w:rsidRPr="00AB0FB2">
        <w:rPr>
          <w:rFonts w:ascii="Arial" w:hAnsi="Arial" w:cs="Arial"/>
        </w:rPr>
        <w:t xml:space="preserve"> dialogu oraz budowani</w:t>
      </w:r>
      <w:r>
        <w:rPr>
          <w:rFonts w:ascii="Arial" w:hAnsi="Arial" w:cs="Arial"/>
        </w:rPr>
        <w:t>a</w:t>
      </w:r>
      <w:r w:rsidRPr="00AB0FB2">
        <w:rPr>
          <w:rFonts w:ascii="Arial" w:hAnsi="Arial" w:cs="Arial"/>
        </w:rPr>
        <w:t xml:space="preserve"> postawy otwartości i tolerancji wśród młodych ludzi. Ponadto, sprzyja przezwyciężaniu barier językowych i aktywizowaniu młodzieży oraz rozwijaniu ich kompetencji miękkich. Młod</w:t>
      </w:r>
      <w:r>
        <w:rPr>
          <w:rFonts w:ascii="Arial" w:hAnsi="Arial" w:cs="Arial"/>
        </w:rPr>
        <w:t xml:space="preserve">zi Polacy </w:t>
      </w:r>
      <w:r w:rsidRPr="00AB0FB2">
        <w:rPr>
          <w:rFonts w:ascii="Arial" w:hAnsi="Arial" w:cs="Arial"/>
        </w:rPr>
        <w:t>w bezpośrednich kontaktach z rówieśnikami z innych krajów stają się naturalny</w:t>
      </w:r>
      <w:r>
        <w:rPr>
          <w:rFonts w:ascii="Arial" w:hAnsi="Arial" w:cs="Arial"/>
        </w:rPr>
        <w:t xml:space="preserve">mi </w:t>
      </w:r>
      <w:r w:rsidRPr="00AB0FB2">
        <w:rPr>
          <w:rFonts w:ascii="Arial" w:hAnsi="Arial" w:cs="Arial"/>
        </w:rPr>
        <w:t xml:space="preserve">ambasadorami </w:t>
      </w:r>
      <w:r>
        <w:rPr>
          <w:rFonts w:ascii="Arial" w:hAnsi="Arial" w:cs="Arial"/>
        </w:rPr>
        <w:t xml:space="preserve">Polski. </w:t>
      </w:r>
    </w:p>
    <w:p w:rsidR="0056076C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  <w:bCs/>
          <w:i/>
        </w:rPr>
      </w:pPr>
      <w:r w:rsidRPr="00AB0FB2">
        <w:rPr>
          <w:rFonts w:ascii="Arial" w:hAnsi="Arial" w:cs="Arial"/>
        </w:rPr>
        <w:t xml:space="preserve">5. </w:t>
      </w:r>
      <w:r w:rsidRPr="00AB0FB2">
        <w:rPr>
          <w:rFonts w:ascii="Arial" w:hAnsi="Arial" w:cs="Arial"/>
          <w:i/>
        </w:rPr>
        <w:t>Wspieranie inicjatyw edukacyjnych w szkolnym środowisku wielokulturowym.</w:t>
      </w:r>
      <w:r w:rsidRPr="00AB0FB2">
        <w:rPr>
          <w:rFonts w:ascii="Arial" w:hAnsi="Arial" w:cs="Arial"/>
          <w:bCs/>
          <w:i/>
        </w:rPr>
        <w:t xml:space="preserve"> </w:t>
      </w:r>
    </w:p>
    <w:p w:rsidR="00F411AD" w:rsidRPr="00AB0FB2" w:rsidRDefault="000B1EC6" w:rsidP="00AB0FB2">
      <w:pPr>
        <w:pStyle w:val="menfont"/>
        <w:spacing w:before="120" w:after="120"/>
        <w:jc w:val="both"/>
      </w:pPr>
      <w:r>
        <w:rPr>
          <w:bCs/>
        </w:rPr>
        <w:t xml:space="preserve">Zadanie to ma </w:t>
      </w:r>
      <w:r w:rsidRPr="00AB0FB2">
        <w:rPr>
          <w:bCs/>
        </w:rPr>
        <w:t xml:space="preserve">na celu wspieranie </w:t>
      </w:r>
      <w:r w:rsidRPr="00AB0FB2">
        <w:t xml:space="preserve">podejmowania nauki w publicznych szkołach przez uczniów z doświadczeniem migracyjnym </w:t>
      </w:r>
      <w:r>
        <w:t xml:space="preserve">oraz udzielanie pomocy </w:t>
      </w:r>
      <w:r>
        <w:br/>
      </w:r>
      <w:r w:rsidRPr="00AB0FB2">
        <w:t>w kultywowaniu języka, tradycji i kultury mniejszości narodowych i etnicznych zamieszkałych w Polsce.</w:t>
      </w:r>
    </w:p>
    <w:p w:rsidR="00CA61BB" w:rsidRPr="00AB0FB2" w:rsidRDefault="000B1EC6" w:rsidP="00AB0FB2">
      <w:pPr>
        <w:pStyle w:val="menfont"/>
        <w:spacing w:before="120" w:after="120"/>
        <w:jc w:val="both"/>
      </w:pPr>
      <w:r>
        <w:t xml:space="preserve">W </w:t>
      </w:r>
      <w:r w:rsidRPr="00AB0FB2">
        <w:t xml:space="preserve">2018 </w:t>
      </w:r>
      <w:r>
        <w:t xml:space="preserve">r. </w:t>
      </w:r>
      <w:r w:rsidRPr="00AB0FB2">
        <w:t xml:space="preserve">w ramach tego działania przygotowane zostały </w:t>
      </w:r>
      <w:r w:rsidRPr="00AB0FB2">
        <w:rPr>
          <w:bCs/>
        </w:rPr>
        <w:t>materiały dydaktyczne w zakresie języka polskiego</w:t>
      </w:r>
      <w:r>
        <w:rPr>
          <w:bCs/>
        </w:rPr>
        <w:t>,</w:t>
      </w:r>
      <w:r w:rsidRPr="00AB0FB2">
        <w:rPr>
          <w:bCs/>
        </w:rPr>
        <w:t xml:space="preserve"> jako języka edukacji szkolnej dla nauczycieli</w:t>
      </w:r>
      <w:r w:rsidRPr="00AB0FB2">
        <w:t xml:space="preserve"> pracujących z uczniami z doświadczeniem migracyjnym. </w:t>
      </w:r>
      <w:r>
        <w:t xml:space="preserve">Dodatkowo, </w:t>
      </w:r>
      <w:r w:rsidRPr="00AB0FB2">
        <w:t xml:space="preserve"> wspierano organizację zajęć wakacyjnych z języka polskiego oraz kultury i tradycji polskiej dla uczniów cudzoziemców</w:t>
      </w:r>
      <w:r>
        <w:t>,</w:t>
      </w:r>
      <w:r w:rsidRPr="00AB0FB2">
        <w:t xml:space="preserve"> podlegających ochronie międzynarodowej, </w:t>
      </w:r>
      <w:r>
        <w:br/>
      </w:r>
      <w:r w:rsidRPr="00AB0FB2">
        <w:t>jak również inicjatywy na rzecz d</w:t>
      </w:r>
      <w:r w:rsidRPr="00AB0FB2">
        <w:rPr>
          <w:bCs/>
        </w:rPr>
        <w:t>zieci i młodzieży</w:t>
      </w:r>
      <w:r>
        <w:rPr>
          <w:bCs/>
        </w:rPr>
        <w:t xml:space="preserve"> </w:t>
      </w:r>
      <w:r w:rsidRPr="00AB0FB2">
        <w:rPr>
          <w:bCs/>
        </w:rPr>
        <w:t xml:space="preserve">z mniejszości narodowych </w:t>
      </w:r>
      <w:r>
        <w:rPr>
          <w:bCs/>
        </w:rPr>
        <w:br/>
      </w:r>
      <w:r w:rsidRPr="00AB0FB2">
        <w:rPr>
          <w:bCs/>
        </w:rPr>
        <w:t>i etnicznych mieszkających w Polsce</w:t>
      </w:r>
      <w:r w:rsidRPr="00AB0FB2">
        <w:t xml:space="preserve">. </w:t>
      </w:r>
    </w:p>
    <w:p w:rsidR="00B023A2" w:rsidRDefault="00846547" w:rsidP="00AB0FB2">
      <w:pPr>
        <w:pStyle w:val="menfont"/>
        <w:spacing w:before="120" w:after="120"/>
        <w:jc w:val="both"/>
      </w:pPr>
    </w:p>
    <w:p w:rsidR="00CA61BB" w:rsidRPr="00AB0FB2" w:rsidRDefault="000B1EC6" w:rsidP="00AB0FB2">
      <w:pPr>
        <w:pStyle w:val="menfont"/>
        <w:spacing w:before="120" w:after="120"/>
        <w:jc w:val="both"/>
      </w:pPr>
      <w:r w:rsidRPr="00AB0FB2">
        <w:lastRenderedPageBreak/>
        <w:t>6</w:t>
      </w:r>
      <w:r w:rsidRPr="00AB0FB2">
        <w:rPr>
          <w:i/>
        </w:rPr>
        <w:t>. Przeprowadzenie działań na rzecz upowszechniania wiedzy na temat zdrowia psychicznego i jego uwarunkowań - kształtowanie przekonań, postaw, zachowań i stylu życia wspierającego zdrowie psychiczne, rozwijanie umiejętności radzenia sobie w sytuacjach zagrażających zdrowiu psychicznemu, przeciwdziałanie seksualizacji dzieci i młodzieży, w szczególności przez prowadzenie działań informacyjnych i edukacyjnych</w:t>
      </w:r>
      <w:r w:rsidRPr="00AB0FB2">
        <w:t xml:space="preserve">. </w:t>
      </w:r>
    </w:p>
    <w:p w:rsidR="00D913DD" w:rsidRPr="00AB0FB2" w:rsidRDefault="000B1EC6" w:rsidP="00AB0FB2">
      <w:pPr>
        <w:pStyle w:val="menfont"/>
        <w:spacing w:before="120" w:after="120"/>
        <w:jc w:val="both"/>
      </w:pPr>
      <w:r w:rsidRPr="00AB0FB2">
        <w:t xml:space="preserve">7. </w:t>
      </w:r>
      <w:r w:rsidRPr="00AB0FB2">
        <w:rPr>
          <w:i/>
        </w:rPr>
        <w:t xml:space="preserve">Wsparcie szkół i placówek oświatowych w realizacji działań związanych </w:t>
      </w:r>
      <w:r w:rsidRPr="00AB0FB2">
        <w:rPr>
          <w:i/>
        </w:rPr>
        <w:br/>
        <w:t>z obchodami setnej rocznicy odzyskania niepodległości</w:t>
      </w:r>
      <w:r w:rsidRPr="00AB0FB2">
        <w:t>.</w:t>
      </w:r>
    </w:p>
    <w:p w:rsidR="00D913DD" w:rsidRPr="00AB0FB2" w:rsidRDefault="000B1EC6" w:rsidP="00AB0FB2">
      <w:pPr>
        <w:spacing w:before="120" w:after="120"/>
        <w:jc w:val="both"/>
      </w:pPr>
      <w:r w:rsidRPr="00AB0FB2">
        <w:t>Celem zadania publicznego pn. „Godność, wolność, niepodległość” jest wsparcie szkół organizacji Polaków za granicą oraz szkół w systemie oświaty kraju zamieszkania Polaków</w:t>
      </w:r>
      <w:r>
        <w:t>,</w:t>
      </w:r>
      <w:r w:rsidRPr="00AB0FB2">
        <w:t xml:space="preserve"> prowadzących nauczanie języka polskiego i innych przedmiotów w języku polskim</w:t>
      </w:r>
      <w:r>
        <w:t>,</w:t>
      </w:r>
      <w:r w:rsidRPr="00AB0FB2">
        <w:t xml:space="preserve"> w organizowaniu w latach 2018-2020 obchodów setnej rocznicy odzyskania niepodległości przez Rzeczypospolitą Polską. </w:t>
      </w:r>
    </w:p>
    <w:p w:rsidR="00CA61BB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 w:rsidRPr="00AB0FB2">
        <w:rPr>
          <w:rFonts w:ascii="Arial" w:hAnsi="Arial" w:cs="Arial"/>
          <w:i/>
        </w:rPr>
        <w:t>8. Organizacja konkursu poetyckiego i przeprowadzenie konkursu poezji</w:t>
      </w:r>
      <w:r>
        <w:rPr>
          <w:rFonts w:ascii="Arial" w:hAnsi="Arial" w:cs="Arial"/>
          <w:i/>
        </w:rPr>
        <w:br/>
      </w:r>
      <w:r w:rsidRPr="00AB0FB2">
        <w:rPr>
          <w:rFonts w:ascii="Arial" w:hAnsi="Arial" w:cs="Arial"/>
          <w:i/>
        </w:rPr>
        <w:t>„Myśmy wciąż do Niepodległej szli … „ oraz quizu o Niepodległej</w:t>
      </w:r>
      <w:r w:rsidRPr="00AB0FB2">
        <w:rPr>
          <w:rFonts w:ascii="Arial" w:hAnsi="Arial" w:cs="Arial"/>
        </w:rPr>
        <w:t xml:space="preserve">.   </w:t>
      </w:r>
    </w:p>
    <w:p w:rsidR="00835407" w:rsidRPr="00AB0FB2" w:rsidRDefault="000B1EC6" w:rsidP="00AB0FB2">
      <w:pPr>
        <w:pStyle w:val="Tekstkomentarza"/>
        <w:spacing w:before="120" w:after="120"/>
        <w:jc w:val="both"/>
        <w:rPr>
          <w:sz w:val="24"/>
          <w:szCs w:val="24"/>
        </w:rPr>
      </w:pPr>
      <w:r w:rsidRPr="00AB0FB2">
        <w:rPr>
          <w:sz w:val="24"/>
          <w:szCs w:val="24"/>
        </w:rPr>
        <w:t xml:space="preserve">9. </w:t>
      </w:r>
      <w:r w:rsidRPr="00AB0FB2">
        <w:rPr>
          <w:i/>
          <w:sz w:val="24"/>
          <w:szCs w:val="24"/>
        </w:rPr>
        <w:t xml:space="preserve">Przygotowanie koncepcji oraz przeprowadzenie ogólnopolskiego przeglądu twórczości artystycznej jako formy aktywnego włączania uczniów ze specjalnymi potrzebami edukacyjnymi, w tym z niepełnosprawnością w życie szkoły </w:t>
      </w:r>
      <w:r w:rsidRPr="00AB0FB2">
        <w:rPr>
          <w:i/>
          <w:sz w:val="24"/>
          <w:szCs w:val="24"/>
        </w:rPr>
        <w:br/>
        <w:t>i środowiska lokalnego</w:t>
      </w:r>
      <w:r w:rsidRPr="00AB0FB2">
        <w:rPr>
          <w:sz w:val="24"/>
          <w:szCs w:val="24"/>
        </w:rPr>
        <w:t xml:space="preserve">  (konkurs był ogłaszany 2 razy, </w:t>
      </w:r>
      <w:r>
        <w:rPr>
          <w:sz w:val="24"/>
          <w:szCs w:val="24"/>
        </w:rPr>
        <w:t xml:space="preserve">ponieważ żadna oferta odpowiadająca na pierwsze ogłoszenie nie </w:t>
      </w:r>
      <w:r w:rsidRPr="00AB0FB2">
        <w:rPr>
          <w:sz w:val="24"/>
          <w:szCs w:val="24"/>
        </w:rPr>
        <w:t>spełniła wymog</w:t>
      </w:r>
      <w:r>
        <w:rPr>
          <w:sz w:val="24"/>
          <w:szCs w:val="24"/>
        </w:rPr>
        <w:t xml:space="preserve">ów </w:t>
      </w:r>
      <w:r w:rsidRPr="00AB0FB2">
        <w:rPr>
          <w:sz w:val="24"/>
          <w:szCs w:val="24"/>
        </w:rPr>
        <w:t>konkursow</w:t>
      </w:r>
      <w:r>
        <w:rPr>
          <w:sz w:val="24"/>
          <w:szCs w:val="24"/>
        </w:rPr>
        <w:t xml:space="preserve">ych). </w:t>
      </w:r>
      <w:r w:rsidRPr="00AB0FB2">
        <w:rPr>
          <w:sz w:val="24"/>
          <w:szCs w:val="24"/>
        </w:rPr>
        <w:t xml:space="preserve"> </w:t>
      </w:r>
    </w:p>
    <w:p w:rsidR="00B45804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 w:rsidRPr="00AB0FB2">
        <w:rPr>
          <w:rFonts w:ascii="Arial" w:hAnsi="Arial" w:cs="Arial"/>
        </w:rPr>
        <w:t xml:space="preserve">Ponadto, pod koniec 2018 r. ogłoszono </w:t>
      </w:r>
      <w:r>
        <w:rPr>
          <w:rFonts w:ascii="Arial" w:hAnsi="Arial" w:cs="Arial"/>
        </w:rPr>
        <w:t xml:space="preserve">dwa </w:t>
      </w:r>
      <w:r w:rsidRPr="00AB0FB2">
        <w:rPr>
          <w:rFonts w:ascii="Arial" w:hAnsi="Arial" w:cs="Arial"/>
        </w:rPr>
        <w:t>konkursy, w których ocenę ofert zakończono na początku 2019 r. Konkursy, o których mowa, to:</w:t>
      </w:r>
    </w:p>
    <w:p w:rsidR="00B45804" w:rsidRPr="00AB0FB2" w:rsidRDefault="000B1EC6" w:rsidP="00AB0FB2">
      <w:pPr>
        <w:pStyle w:val="Default"/>
        <w:spacing w:before="120" w:after="120"/>
        <w:jc w:val="both"/>
        <w:rPr>
          <w:rFonts w:ascii="Arial" w:hAnsi="Arial" w:cs="Arial"/>
        </w:rPr>
      </w:pPr>
      <w:r w:rsidRPr="00AB0FB2">
        <w:rPr>
          <w:rFonts w:ascii="Arial" w:hAnsi="Arial" w:cs="Arial"/>
        </w:rPr>
        <w:t>a. Rodzina polonijna. Współpraca szkół funkcjonujących w systemach oświaty innych państw oraz organizacji społecznych za granicą, prowadzących nauczanie języka polskiego, historii, geografii, kultury polskiej oraz innych przedmiotów nauczanych w języku polskim ze szkołami w Polsce w latach 2019-2020.</w:t>
      </w:r>
    </w:p>
    <w:p w:rsidR="00B45804" w:rsidRPr="00AB0FB2" w:rsidRDefault="000B1EC6" w:rsidP="00AB0FB2">
      <w:pPr>
        <w:pStyle w:val="Tekstkomentarza"/>
        <w:spacing w:before="120" w:after="120"/>
        <w:jc w:val="both"/>
        <w:rPr>
          <w:sz w:val="24"/>
          <w:szCs w:val="24"/>
        </w:rPr>
      </w:pPr>
      <w:r w:rsidRPr="00AB0FB2">
        <w:rPr>
          <w:sz w:val="24"/>
          <w:szCs w:val="24"/>
        </w:rPr>
        <w:t>b. Organizowanie kolonii i innych form letniego wypoczynku dzieci i młodzieży polonijnej oraz doskonalenia zawodowego nauczycieli prowadzących nauczanie języka polskiego, historii, geografii, kultury polskiej oraz innych przedmiotów nauczanych w języku polskim za granicą w roku 2019.</w:t>
      </w:r>
    </w:p>
    <w:p w:rsidR="00CA61BB" w:rsidRPr="00AB0FB2" w:rsidRDefault="000B1EC6" w:rsidP="00AB0FB2">
      <w:pPr>
        <w:spacing w:before="120" w:after="120"/>
        <w:jc w:val="both"/>
        <w:rPr>
          <w:u w:val="single"/>
        </w:rPr>
      </w:pPr>
      <w:r w:rsidRPr="00AB0FB2">
        <w:rPr>
          <w:u w:val="single"/>
        </w:rPr>
        <w:t xml:space="preserve">Patronaty Ministra Edukacji Narodowej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Potwierdzeniem dobrej jakości projektów przygotowywanych przez organizacje pozarządowe </w:t>
      </w:r>
      <w:r>
        <w:t xml:space="preserve">jest także </w:t>
      </w:r>
      <w:r w:rsidRPr="00AB0FB2">
        <w:t xml:space="preserve">wzrost liczby honorowych patronatów przyznanych </w:t>
      </w:r>
      <w:r>
        <w:br/>
      </w:r>
      <w:r w:rsidRPr="00AB0FB2">
        <w:t xml:space="preserve">przez Ministra Edukacji Narodowej dla </w:t>
      </w:r>
      <w:r>
        <w:t xml:space="preserve">działań edukacyjnych podejmowanych przez różnych organizatorów.    </w:t>
      </w:r>
      <w:r w:rsidRPr="00AB0FB2">
        <w:t xml:space="preserve"> </w:t>
      </w:r>
    </w:p>
    <w:p w:rsidR="00CA61BB" w:rsidRPr="00AB0FB2" w:rsidRDefault="000B1EC6" w:rsidP="00AB0FB2">
      <w:pPr>
        <w:spacing w:before="120" w:after="120"/>
        <w:jc w:val="both"/>
      </w:pPr>
      <w:r w:rsidRPr="00183CE5">
        <w:t>W 2018 r. przyznano 421 patronatów Ministra Edukacji Narodowej</w:t>
      </w:r>
      <w:r w:rsidRPr="00AB0FB2">
        <w:t xml:space="preserve"> dla inicjatyw edukacyjnych, w tym 102 patronaty dla projektów </w:t>
      </w:r>
      <w:r>
        <w:t xml:space="preserve">realizowanych </w:t>
      </w:r>
      <w:r w:rsidRPr="00AB0FB2">
        <w:t>przez fundacje i stowarzyszenia, które stanowią największą grupę</w:t>
      </w:r>
      <w:r>
        <w:t xml:space="preserve"> podmiotów </w:t>
      </w:r>
      <w:r w:rsidRPr="00AB0FB2">
        <w:t>uhonorowanych tym wyróżnieniem.</w:t>
      </w:r>
      <w:r>
        <w:t xml:space="preserve"> </w:t>
      </w:r>
      <w:r w:rsidRPr="00AB0FB2">
        <w:t>Dla porównania - 70 skutecznie złożonych wniosków</w:t>
      </w:r>
      <w:r>
        <w:br/>
      </w:r>
      <w:r w:rsidRPr="00AB0FB2">
        <w:t xml:space="preserve">o przyznanie patronatu dotyczyło szkół i przedszkoli, </w:t>
      </w:r>
      <w:r>
        <w:t>natomiast</w:t>
      </w:r>
      <w:r w:rsidRPr="00AB0FB2">
        <w:t xml:space="preserve"> 44 innych instytucji systemu oświaty.</w:t>
      </w:r>
    </w:p>
    <w:p w:rsidR="00CA61BB" w:rsidRPr="00AB0FB2" w:rsidRDefault="000B1EC6" w:rsidP="00AB0FB2">
      <w:pPr>
        <w:spacing w:before="120" w:after="120"/>
        <w:jc w:val="both"/>
      </w:pPr>
      <w:r w:rsidRPr="00AB0FB2">
        <w:lastRenderedPageBreak/>
        <w:t xml:space="preserve">Liczba patronatów Ministra Edukacji Narodowej przyznanych w 2018 r. </w:t>
      </w:r>
      <w:r>
        <w:br/>
      </w:r>
      <w:r w:rsidRPr="00AB0FB2">
        <w:t xml:space="preserve">była niemal dwukrotnie większa od zakładanej w Programie współpracy (220) </w:t>
      </w:r>
      <w:r w:rsidRPr="00AB0FB2">
        <w:br/>
        <w:t xml:space="preserve">i o </w:t>
      </w:r>
      <w:r>
        <w:t>około 40</w:t>
      </w:r>
      <w:r w:rsidRPr="00AB0FB2">
        <w:t>% wyższa od osiągniętej w 2017 r. (249).  Wzrost wartości wskaźnika świadczy o tym, że projekty ubiegające się o przyznanie patronatu w 2018 r.</w:t>
      </w:r>
      <w:r>
        <w:br/>
      </w:r>
      <w:r w:rsidRPr="00AB0FB2">
        <w:t xml:space="preserve">były interesujące, a wnioski </w:t>
      </w:r>
      <w:r>
        <w:t xml:space="preserve">spełniały </w:t>
      </w:r>
      <w:r w:rsidRPr="00AB0FB2">
        <w:t>wymog</w:t>
      </w:r>
      <w:r>
        <w:t xml:space="preserve">i </w:t>
      </w:r>
      <w:r w:rsidRPr="00AB0FB2">
        <w:t xml:space="preserve">regulaminu.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Inicjatywy, które uzyskały w 2018 r. patronat Ministra Edukacji Narodowej, charakteryzowały się dużą różnorodnością </w:t>
      </w:r>
      <w:r>
        <w:t xml:space="preserve">tematyczną i organizacyjną. </w:t>
      </w:r>
      <w:r w:rsidRPr="00AB0FB2">
        <w:t xml:space="preserve">Przykłady uhonorowanych projektów to:     </w:t>
      </w:r>
    </w:p>
    <w:p w:rsidR="001B4C9F" w:rsidRDefault="000B1EC6" w:rsidP="00183CE5">
      <w:pPr>
        <w:pStyle w:val="Akapitzlist"/>
        <w:numPr>
          <w:ilvl w:val="0"/>
          <w:numId w:val="8"/>
        </w:numPr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B0FB2">
        <w:rPr>
          <w:rFonts w:ascii="Arial" w:hAnsi="Arial" w:cs="Arial"/>
          <w:sz w:val="24"/>
          <w:szCs w:val="24"/>
        </w:rPr>
        <w:t xml:space="preserve">Noc Bibliotek 2018, </w:t>
      </w:r>
      <w:r>
        <w:rPr>
          <w:rFonts w:ascii="Arial" w:hAnsi="Arial" w:cs="Arial"/>
          <w:sz w:val="24"/>
          <w:szCs w:val="24"/>
        </w:rPr>
        <w:t xml:space="preserve">przygotowana </w:t>
      </w:r>
      <w:r w:rsidRPr="00AB0FB2">
        <w:rPr>
          <w:rFonts w:ascii="Arial" w:hAnsi="Arial" w:cs="Arial"/>
          <w:sz w:val="24"/>
          <w:szCs w:val="24"/>
        </w:rPr>
        <w:t xml:space="preserve">przez Fundację Centrum Edukacji Obywatelskiej, IV edycja projektu odbywała się pod hasłem RzeczpospoCzyta – na 100 lat Niepodległej i w niekonwencjonalny </w:t>
      </w:r>
      <w:r>
        <w:rPr>
          <w:rFonts w:ascii="Arial" w:hAnsi="Arial" w:cs="Arial"/>
          <w:sz w:val="24"/>
          <w:szCs w:val="24"/>
        </w:rPr>
        <w:t xml:space="preserve">sposób </w:t>
      </w:r>
      <w:r w:rsidRPr="00AB0FB2">
        <w:rPr>
          <w:rFonts w:ascii="Arial" w:hAnsi="Arial" w:cs="Arial"/>
          <w:sz w:val="24"/>
          <w:szCs w:val="24"/>
        </w:rPr>
        <w:t>promowała korzystanie</w:t>
      </w:r>
      <w:r>
        <w:rPr>
          <w:rFonts w:ascii="Arial" w:hAnsi="Arial" w:cs="Arial"/>
          <w:sz w:val="24"/>
          <w:szCs w:val="24"/>
        </w:rPr>
        <w:t xml:space="preserve"> </w:t>
      </w:r>
      <w:r w:rsidRPr="00AB0FB2">
        <w:rPr>
          <w:rFonts w:ascii="Arial" w:hAnsi="Arial" w:cs="Arial"/>
          <w:sz w:val="24"/>
          <w:szCs w:val="24"/>
        </w:rPr>
        <w:t xml:space="preserve">z zasobów bibliotek przez osoby w każdym wieku; </w:t>
      </w:r>
    </w:p>
    <w:p w:rsidR="001B4C9F" w:rsidRDefault="00846547" w:rsidP="00183CE5">
      <w:pPr>
        <w:pStyle w:val="Akapitzlist"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1B4C9F" w:rsidRDefault="000B1EC6" w:rsidP="00183CE5">
      <w:pPr>
        <w:pStyle w:val="Akapitzlist"/>
        <w:numPr>
          <w:ilvl w:val="0"/>
          <w:numId w:val="8"/>
        </w:numPr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B4C9F">
        <w:rPr>
          <w:rFonts w:ascii="Arial" w:hAnsi="Arial" w:cs="Arial"/>
          <w:sz w:val="24"/>
          <w:szCs w:val="24"/>
        </w:rPr>
        <w:t>XI Ogólnopolski Konkurs Nauk Przyrodniczych Świetlik, ogłaszany przez Fundację Akademia Młodych Odkrywców, którego celem jest propagowanie nauk przyrodniczych i ścisłych wś</w:t>
      </w:r>
      <w:r>
        <w:rPr>
          <w:rFonts w:ascii="Arial" w:hAnsi="Arial" w:cs="Arial"/>
          <w:sz w:val="24"/>
          <w:szCs w:val="24"/>
        </w:rPr>
        <w:t>ród uczniów szkół podstawowych;</w:t>
      </w:r>
    </w:p>
    <w:p w:rsidR="001B4C9F" w:rsidRDefault="00846547" w:rsidP="00183CE5">
      <w:pPr>
        <w:pStyle w:val="Akapitzlist"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1B4C9F" w:rsidRDefault="000B1EC6" w:rsidP="00183CE5">
      <w:pPr>
        <w:pStyle w:val="Akapitzlist"/>
        <w:numPr>
          <w:ilvl w:val="0"/>
          <w:numId w:val="8"/>
        </w:numPr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B4C9F">
        <w:rPr>
          <w:rFonts w:ascii="Arial" w:hAnsi="Arial" w:cs="Arial"/>
          <w:sz w:val="24"/>
          <w:szCs w:val="24"/>
        </w:rPr>
        <w:t xml:space="preserve">Konkurs plastyczny „Moje Bezpieczne Wakacje 2018”, realizowany </w:t>
      </w:r>
      <w:r w:rsidRPr="001B4C9F">
        <w:rPr>
          <w:rFonts w:ascii="Arial" w:hAnsi="Arial" w:cs="Arial"/>
          <w:sz w:val="24"/>
          <w:szCs w:val="24"/>
        </w:rPr>
        <w:br/>
        <w:t xml:space="preserve">przez Fundację Bezpieczne Wakacje, który popularyzuje wiedzę na temat bezpieczeństwa i sprzyja promocji bezpiecznych zachowań w codziennym życiu, a także podczas spędzania czasu wolnego;  </w:t>
      </w:r>
    </w:p>
    <w:p w:rsidR="001B4C9F" w:rsidRDefault="00846547" w:rsidP="00183CE5">
      <w:pPr>
        <w:pStyle w:val="Akapitzlist"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1B4C9F" w:rsidRPr="001B4C9F" w:rsidRDefault="000B1EC6" w:rsidP="00183CE5">
      <w:pPr>
        <w:pStyle w:val="Akapitzlist"/>
        <w:numPr>
          <w:ilvl w:val="0"/>
          <w:numId w:val="8"/>
        </w:numPr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B4C9F">
        <w:rPr>
          <w:rFonts w:ascii="Arial" w:hAnsi="Arial" w:cs="Arial"/>
          <w:sz w:val="24"/>
          <w:szCs w:val="24"/>
        </w:rPr>
        <w:t xml:space="preserve">Projekt „Ekonomiczny Uniwersytet Dziecięcy”, realizowany przez Fundację Promocji i Akredytacji Kierunków Ekonomicznych, w ramach którego odbywają się zajęcia ekonomiczne </w:t>
      </w:r>
      <w:r w:rsidRPr="001B4C9F">
        <w:rPr>
          <w:rFonts w:ascii="Arial" w:hAnsi="Arial" w:cs="Arial"/>
          <w:color w:val="000000" w:themeColor="text1"/>
          <w:sz w:val="24"/>
          <w:szCs w:val="24"/>
        </w:rPr>
        <w:t>dla dzieci w wieku 10-13 lat, nastawione na rozwój kompetencji uczniów w zakresie innowacyjności, kreatywności oraz krytycznego myślenia, w kontekście otaczających ich zjawisk społeczno-ekonomicznych;</w:t>
      </w:r>
    </w:p>
    <w:p w:rsidR="001B4C9F" w:rsidRPr="001B4C9F" w:rsidRDefault="00846547" w:rsidP="00183CE5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:rsidR="00CA61BB" w:rsidRPr="001B4C9F" w:rsidRDefault="000B1EC6" w:rsidP="00183CE5">
      <w:pPr>
        <w:pStyle w:val="Akapitzlist"/>
        <w:numPr>
          <w:ilvl w:val="0"/>
          <w:numId w:val="8"/>
        </w:numPr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B4C9F">
        <w:rPr>
          <w:rFonts w:ascii="Arial" w:hAnsi="Arial" w:cs="Arial"/>
          <w:sz w:val="24"/>
          <w:szCs w:val="24"/>
        </w:rPr>
        <w:t xml:space="preserve">IV Ogólnopolski konkurs „Wielka Liga Czytelników", zaproponowany przez Stowarzyszenie „Wielka Liga", który jest ogólnopolskim konkursem czytelniczym, skierowanym do uczniów szkół podstawowych.  </w:t>
      </w:r>
    </w:p>
    <w:p w:rsidR="00043482" w:rsidRPr="00AB0FB2" w:rsidRDefault="000B1EC6" w:rsidP="00AB0FB2">
      <w:pPr>
        <w:spacing w:before="120" w:after="120"/>
        <w:jc w:val="both"/>
      </w:pPr>
      <w:r w:rsidRPr="00AB0FB2">
        <w:t xml:space="preserve">Informacja o przyznanych patronach Ministra Edukacji Narodowej znajduje się na stronie internetowej MEN i jest systematycznie aktualizowana.  </w:t>
      </w:r>
    </w:p>
    <w:p w:rsidR="00CA61BB" w:rsidRPr="00AB0FB2" w:rsidRDefault="000B1EC6" w:rsidP="00AB0FB2">
      <w:pPr>
        <w:spacing w:before="120" w:after="120"/>
        <w:jc w:val="both"/>
        <w:rPr>
          <w:u w:val="single"/>
        </w:rPr>
      </w:pPr>
      <w:r>
        <w:rPr>
          <w:u w:val="single"/>
        </w:rPr>
        <w:t xml:space="preserve">Konsultowanie projektów aktów normatywnych </w:t>
      </w:r>
      <w:r w:rsidRPr="00AB0FB2">
        <w:rPr>
          <w:u w:val="single"/>
        </w:rPr>
        <w:t xml:space="preserve"> </w:t>
      </w:r>
    </w:p>
    <w:p w:rsidR="007706E9" w:rsidRPr="00AB0FB2" w:rsidRDefault="000B1EC6" w:rsidP="00AB0FB2">
      <w:pPr>
        <w:spacing w:before="120" w:after="120"/>
        <w:jc w:val="both"/>
      </w:pPr>
      <w:r w:rsidRPr="00183CE5">
        <w:t>Liczba projektów aktów normatywnych przekazanych do konsultacji</w:t>
      </w:r>
      <w:r>
        <w:t xml:space="preserve"> </w:t>
      </w:r>
      <w:r>
        <w:br/>
      </w:r>
      <w:r w:rsidRPr="00183CE5">
        <w:t xml:space="preserve">z organizacjami pozarządowymi w 2018 r. osiągnęła wartość 100% </w:t>
      </w:r>
      <w:r w:rsidRPr="00183CE5">
        <w:br/>
      </w:r>
      <w:r w:rsidRPr="00AB0FB2">
        <w:t xml:space="preserve">(w 2017 r. </w:t>
      </w:r>
      <w:r>
        <w:t xml:space="preserve">było to 85%). Praktyka ta stała się zatem normą, </w:t>
      </w:r>
      <w:r w:rsidRPr="00AB0FB2">
        <w:t xml:space="preserve">powszechnie stosowaną </w:t>
      </w:r>
      <w:r>
        <w:t xml:space="preserve">w resorcie edukacji. </w:t>
      </w:r>
    </w:p>
    <w:p w:rsidR="00CA61BB" w:rsidRPr="00AB0FB2" w:rsidRDefault="000B1EC6" w:rsidP="00AB0FB2">
      <w:pPr>
        <w:spacing w:before="120" w:after="120"/>
        <w:jc w:val="both"/>
      </w:pPr>
      <w:r>
        <w:t xml:space="preserve">W </w:t>
      </w:r>
      <w:r w:rsidRPr="00AB0FB2">
        <w:t xml:space="preserve">Ministerstwie Edukacji Narodowej 2018 </w:t>
      </w:r>
      <w:r>
        <w:t xml:space="preserve">r. </w:t>
      </w:r>
      <w:r w:rsidRPr="00AB0FB2">
        <w:t>był w okresem bardzo intensywnych prac legislacyjnych</w:t>
      </w:r>
      <w:r>
        <w:t xml:space="preserve">, w czasie którego </w:t>
      </w:r>
      <w:r w:rsidRPr="00AB0FB2">
        <w:t>przygotowano 34 akt</w:t>
      </w:r>
      <w:r>
        <w:t xml:space="preserve">y prawne. </w:t>
      </w:r>
      <w:r w:rsidRPr="00AB0FB2">
        <w:t xml:space="preserve">Udział organizacji pozarządowych w ich opiniowaniu stanowi ważny wkład do procesu legislacyjnego. Zgłaszane uwagi, wskazówki oraz uzupełnienia są wnikliwie analizowane i wykorzystywane podczas tworzenia ostatecznych </w:t>
      </w:r>
      <w:r>
        <w:t>pr</w:t>
      </w:r>
      <w:r w:rsidRPr="00AB0FB2">
        <w:t>zepisów</w:t>
      </w:r>
      <w:r>
        <w:t>.</w:t>
      </w:r>
      <w:r w:rsidRPr="00AB0FB2">
        <w:t xml:space="preserve"> </w:t>
      </w:r>
    </w:p>
    <w:p w:rsidR="00CA61BB" w:rsidRPr="00621DA1" w:rsidRDefault="000B1EC6" w:rsidP="00AB0FB2">
      <w:pPr>
        <w:spacing w:before="120" w:after="120"/>
        <w:jc w:val="both"/>
        <w:rPr>
          <w:u w:val="single"/>
        </w:rPr>
      </w:pPr>
      <w:r w:rsidRPr="00AB0FB2">
        <w:rPr>
          <w:u w:val="single"/>
        </w:rPr>
        <w:lastRenderedPageBreak/>
        <w:t xml:space="preserve">Liczba ofert na realizację zadań zleconych, w danym roku, które spełniły warunki oceny formalnej  </w:t>
      </w:r>
    </w:p>
    <w:p w:rsidR="00043482" w:rsidRPr="00AB0FB2" w:rsidRDefault="000B1EC6" w:rsidP="00AB0FB2">
      <w:pPr>
        <w:spacing w:before="120" w:after="120"/>
        <w:jc w:val="both"/>
      </w:pPr>
      <w:r w:rsidRPr="00621DA1">
        <w:t>W 2018 r. wymogi oceny formalnej spełnił</w:t>
      </w:r>
      <w:r>
        <w:t xml:space="preserve">o 157 ofert, w tym </w:t>
      </w:r>
      <w:r w:rsidRPr="00621DA1">
        <w:t>143 oferty</w:t>
      </w:r>
      <w:r w:rsidRPr="00AB0FB2">
        <w:t>, zgłoszone przez organizacje pozarządowe oraz 14 zgłoszonych przez inne podmioty</w:t>
      </w:r>
      <w:r>
        <w:t xml:space="preserve">. Oznacza to, że </w:t>
      </w:r>
      <w:r w:rsidRPr="00AB0FB2">
        <w:t>wskaźnik nie osiągnął wyznaczonego poziomu - 180 ofert</w:t>
      </w:r>
      <w:r>
        <w:t xml:space="preserve"> spełniających wymogi formalne.</w:t>
      </w:r>
      <w:r w:rsidRPr="00AB0FB2">
        <w:t xml:space="preserve"> Mimo to podpisano więcej umów na realizację zadań publicznych niż zakładano. Można zatem przyjąć, że oferty które </w:t>
      </w:r>
      <w:r>
        <w:br/>
      </w:r>
      <w:r w:rsidRPr="00AB0FB2">
        <w:t>w 2018 r. pomyślnie przeszły ocenę formalną charakteryzował</w:t>
      </w:r>
      <w:r>
        <w:t xml:space="preserve">y się </w:t>
      </w:r>
      <w:r w:rsidRPr="00AB0FB2">
        <w:t>wysok</w:t>
      </w:r>
      <w:r>
        <w:t>ą</w:t>
      </w:r>
      <w:r w:rsidRPr="00AB0FB2">
        <w:t xml:space="preserve"> jakoś</w:t>
      </w:r>
      <w:r>
        <w:t xml:space="preserve">cią. </w:t>
      </w:r>
      <w:r w:rsidRPr="00AB0FB2">
        <w:t xml:space="preserve">  </w:t>
      </w:r>
    </w:p>
    <w:p w:rsidR="00CA61BB" w:rsidRPr="00AB0FB2" w:rsidRDefault="000B1EC6" w:rsidP="00AB0FB2">
      <w:pPr>
        <w:spacing w:before="120" w:after="120"/>
        <w:jc w:val="both"/>
        <w:rPr>
          <w:u w:val="single"/>
        </w:rPr>
      </w:pPr>
      <w:r w:rsidRPr="00AB0FB2">
        <w:rPr>
          <w:u w:val="single"/>
        </w:rPr>
        <w:t xml:space="preserve">Inne aktywności w obszarze współpracy Ministerstwa Edukacji Narodowej </w:t>
      </w:r>
      <w:r w:rsidRPr="00AB0FB2">
        <w:rPr>
          <w:u w:val="single"/>
        </w:rPr>
        <w:br/>
        <w:t>z organizacjami pozarządowymi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Ministerstwo Edukacji Narodowej w 2018 r. podejmowało dodatkowe działania dotyczące współpracy z organizacjami obywatelskimi. </w:t>
      </w:r>
    </w:p>
    <w:p w:rsidR="00CA61BB" w:rsidRPr="00AB0FB2" w:rsidRDefault="000B1EC6" w:rsidP="008F1508">
      <w:pPr>
        <w:pStyle w:val="Default"/>
        <w:numPr>
          <w:ilvl w:val="0"/>
          <w:numId w:val="9"/>
        </w:numPr>
        <w:spacing w:before="120" w:after="120"/>
        <w:ind w:left="284" w:hanging="284"/>
        <w:jc w:val="both"/>
        <w:rPr>
          <w:rFonts w:ascii="Arial" w:eastAsia="Times New Roman" w:hAnsi="Arial" w:cs="Arial"/>
          <w:color w:val="auto"/>
          <w:lang w:eastAsia="pl-PL"/>
        </w:rPr>
      </w:pPr>
      <w:r w:rsidRPr="00AB0FB2">
        <w:rPr>
          <w:rFonts w:ascii="Arial" w:eastAsia="Times New Roman" w:hAnsi="Arial" w:cs="Arial"/>
          <w:lang w:eastAsia="pl-PL"/>
        </w:rPr>
        <w:t xml:space="preserve">Przedstawiciel Ministerstwa Edukacji Narodowej w randze sekretarza stanu zasiada w Komitecie ds. Pożytku Publicznego oraz w Radzie Działalności Pożytku Publicznego. </w:t>
      </w:r>
      <w:r w:rsidRPr="00AB0FB2">
        <w:rPr>
          <w:rFonts w:ascii="Arial" w:hAnsi="Arial" w:cs="Arial"/>
        </w:rPr>
        <w:t xml:space="preserve"> Komitet jest organem administracji rządowej właściwym w sprawach pożytku publicznego i wolontariatu, w tym programowania, koordynowania i organizowania współpracy organów administracji publicznej</w:t>
      </w:r>
      <w:r>
        <w:rPr>
          <w:rFonts w:ascii="Arial" w:hAnsi="Arial" w:cs="Arial"/>
        </w:rPr>
        <w:br/>
      </w:r>
      <w:r w:rsidRPr="00AB0FB2">
        <w:rPr>
          <w:rFonts w:ascii="Arial" w:hAnsi="Arial" w:cs="Arial"/>
        </w:rPr>
        <w:t xml:space="preserve">i podmiotów działających w sferze pożytku publicznego. Natomiast </w:t>
      </w:r>
      <w:r w:rsidRPr="00AB0FB2">
        <w:rPr>
          <w:rFonts w:ascii="Arial" w:eastAsia="Times New Roman" w:hAnsi="Arial" w:cs="Arial"/>
          <w:lang w:eastAsia="pl-PL"/>
        </w:rPr>
        <w:t>Rada</w:t>
      </w:r>
      <w:r>
        <w:rPr>
          <w:rFonts w:ascii="Arial" w:eastAsia="Times New Roman" w:hAnsi="Arial" w:cs="Arial"/>
          <w:lang w:eastAsia="pl-PL"/>
        </w:rPr>
        <w:br/>
      </w:r>
      <w:r w:rsidRPr="00AB0FB2">
        <w:rPr>
          <w:rFonts w:ascii="Arial" w:eastAsia="Times New Roman" w:hAnsi="Arial" w:cs="Arial"/>
          <w:lang w:eastAsia="pl-PL"/>
        </w:rPr>
        <w:t>jest organem opiniodawczo - doradczym </w:t>
      </w:r>
      <w:r w:rsidRPr="00AB0FB2">
        <w:rPr>
          <w:rFonts w:ascii="Arial" w:eastAsia="Times New Roman" w:hAnsi="Arial" w:cs="Arial"/>
          <w:bCs/>
          <w:lang w:eastAsia="pl-PL"/>
        </w:rPr>
        <w:t>Komitetu. W skład Rady</w:t>
      </w:r>
      <w:r w:rsidRPr="00AB0FB2">
        <w:rPr>
          <w:rFonts w:ascii="Arial" w:eastAsia="Times New Roman" w:hAnsi="Arial" w:cs="Arial"/>
          <w:color w:val="auto"/>
          <w:lang w:eastAsia="pl-PL"/>
        </w:rPr>
        <w:t xml:space="preserve"> wchodzą: </w:t>
      </w:r>
    </w:p>
    <w:p w:rsidR="00DD6038" w:rsidRDefault="000B1EC6" w:rsidP="008F1508">
      <w:pPr>
        <w:numPr>
          <w:ilvl w:val="0"/>
          <w:numId w:val="3"/>
        </w:numPr>
        <w:shd w:val="clear" w:color="auto" w:fill="FFFFFF"/>
        <w:spacing w:before="120" w:after="120"/>
        <w:ind w:left="567" w:hanging="283"/>
        <w:jc w:val="both"/>
        <w:rPr>
          <w:color w:val="000000"/>
        </w:rPr>
      </w:pPr>
      <w:r w:rsidRPr="00AB0FB2">
        <w:rPr>
          <w:color w:val="000000"/>
        </w:rPr>
        <w:t>przedstawiciele organów administracji rządowej i jednostek im podległych lub przez nie nadzorowanych;</w:t>
      </w:r>
    </w:p>
    <w:p w:rsidR="00CA61BB" w:rsidRPr="00DD6038" w:rsidRDefault="000B1EC6" w:rsidP="008F1508">
      <w:pPr>
        <w:numPr>
          <w:ilvl w:val="0"/>
          <w:numId w:val="3"/>
        </w:numPr>
        <w:shd w:val="clear" w:color="auto" w:fill="FFFFFF"/>
        <w:spacing w:before="120" w:after="120"/>
        <w:ind w:left="567" w:hanging="283"/>
        <w:jc w:val="both"/>
        <w:rPr>
          <w:color w:val="000000"/>
        </w:rPr>
      </w:pPr>
      <w:r w:rsidRPr="00DD6038">
        <w:rPr>
          <w:color w:val="000000"/>
        </w:rPr>
        <w:t>przedstawiciele jednostek samorządu terytorialnego;</w:t>
      </w:r>
    </w:p>
    <w:p w:rsidR="00CA61BB" w:rsidRPr="00AB0FB2" w:rsidRDefault="000B1EC6" w:rsidP="008F1508">
      <w:pPr>
        <w:numPr>
          <w:ilvl w:val="0"/>
          <w:numId w:val="3"/>
        </w:numPr>
        <w:shd w:val="clear" w:color="auto" w:fill="FFFFFF"/>
        <w:spacing w:before="120" w:after="120"/>
        <w:ind w:left="567" w:hanging="283"/>
        <w:jc w:val="both"/>
        <w:rPr>
          <w:color w:val="000000"/>
        </w:rPr>
      </w:pPr>
      <w:r w:rsidRPr="00AB0FB2">
        <w:rPr>
          <w:color w:val="000000"/>
        </w:rPr>
        <w:t>przedstawiciele organizacji pozarządowych, związków i porozumień organizacji pozarządowych oraz innych podmiotów wymienionych</w:t>
      </w:r>
      <w:r>
        <w:rPr>
          <w:color w:val="000000"/>
        </w:rPr>
        <w:br/>
      </w:r>
      <w:r w:rsidRPr="00AB0FB2">
        <w:rPr>
          <w:color w:val="000000"/>
        </w:rPr>
        <w:t xml:space="preserve">w ustawie.  </w:t>
      </w:r>
    </w:p>
    <w:p w:rsidR="00CA61BB" w:rsidRPr="008F1508" w:rsidRDefault="000B1EC6" w:rsidP="00AB0FB2">
      <w:pPr>
        <w:shd w:val="clear" w:color="auto" w:fill="FFFFFF"/>
        <w:spacing w:before="120" w:after="120"/>
        <w:ind w:left="15"/>
        <w:jc w:val="both"/>
        <w:rPr>
          <w:rFonts w:eastAsiaTheme="minorHAnsi"/>
          <w:color w:val="000000"/>
          <w:lang w:eastAsia="en-US"/>
        </w:rPr>
      </w:pPr>
      <w:r w:rsidRPr="00AB0FB2">
        <w:rPr>
          <w:color w:val="000000"/>
        </w:rPr>
        <w:t xml:space="preserve">Rada Działalności Pożytku Publicznego spotyka się raz na dwa miesiące. </w:t>
      </w:r>
      <w:r w:rsidRPr="00AB0FB2">
        <w:rPr>
          <w:color w:val="000000"/>
        </w:rPr>
        <w:br/>
        <w:t xml:space="preserve">W 2018 r. został powołany nowy skład tego gremium z uwagi na rozpoczęcie </w:t>
      </w:r>
      <w:r w:rsidRPr="008F1508">
        <w:rPr>
          <w:rFonts w:eastAsiaTheme="minorHAnsi"/>
          <w:color w:val="000000"/>
          <w:lang w:eastAsia="en-US"/>
        </w:rPr>
        <w:t xml:space="preserve">kolejnej VI kadencji prac Rady. </w:t>
      </w:r>
    </w:p>
    <w:p w:rsidR="00E550D7" w:rsidRPr="008F1508" w:rsidRDefault="000B1EC6" w:rsidP="008F1508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8F1508">
        <w:rPr>
          <w:rFonts w:ascii="Arial" w:hAnsi="Arial" w:cs="Arial"/>
          <w:color w:val="000000"/>
          <w:sz w:val="24"/>
          <w:szCs w:val="24"/>
        </w:rPr>
        <w:t xml:space="preserve">Przedstawiciele Fundacji Aktywnej Rehabilitacji i Polskiego Stowarzyszenia Osób z Niepełnosprawnością Intelektualną brali udział w pracach zespołu powołanego przez Ministra Edukacji Narodowej do opracowania modelu kształcenia uczniów ze specjalnymi potrzebami edukacyjnymi.   </w:t>
      </w:r>
    </w:p>
    <w:p w:rsidR="00CA61BB" w:rsidRPr="008F1508" w:rsidRDefault="000B1EC6" w:rsidP="008F1508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8F1508">
        <w:rPr>
          <w:rFonts w:ascii="Arial" w:hAnsi="Arial" w:cs="Arial"/>
          <w:color w:val="000000"/>
          <w:sz w:val="24"/>
          <w:szCs w:val="24"/>
        </w:rPr>
        <w:t xml:space="preserve">Resort edukacji prowadził stały dialog w zakresie edukacji globalnej </w:t>
      </w:r>
      <w:r w:rsidRPr="008F1508">
        <w:rPr>
          <w:rFonts w:ascii="Arial" w:hAnsi="Arial" w:cs="Arial"/>
          <w:color w:val="000000"/>
          <w:sz w:val="24"/>
          <w:szCs w:val="24"/>
        </w:rPr>
        <w:br/>
        <w:t>z przedstawicielami Grupy Zagranica (forum najbardziej znanych organizacji pozarządowych, zajmujących się edukacją globalną) poprzez udział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F1508">
        <w:rPr>
          <w:rFonts w:ascii="Arial" w:hAnsi="Arial" w:cs="Arial"/>
          <w:color w:val="000000"/>
          <w:sz w:val="24"/>
          <w:szCs w:val="24"/>
        </w:rPr>
        <w:t xml:space="preserve">w spotkaniach międzysektorowych, seminariach, wymianę uwag i propozycji, upowszechnianie informacji. </w:t>
      </w:r>
    </w:p>
    <w:p w:rsidR="00CA61BB" w:rsidRPr="00AB0FB2" w:rsidRDefault="000B1EC6" w:rsidP="008F1508">
      <w:pPr>
        <w:spacing w:before="120" w:after="120"/>
        <w:ind w:left="284"/>
        <w:jc w:val="both"/>
      </w:pPr>
      <w:r w:rsidRPr="00AB0FB2">
        <w:t>Ministerstwo Edukacji Narodowej włączyło się także w rekomendowanie projektów organizacji pozarządowych, dotyczących edukacji globalnej</w:t>
      </w:r>
      <w:r>
        <w:t>,</w:t>
      </w:r>
      <w:r>
        <w:br/>
      </w:r>
      <w:r w:rsidRPr="00AB0FB2">
        <w:t>w ramach unijnego programu DEAR (opinia centralnej instytucji oświatowej</w:t>
      </w:r>
      <w:r>
        <w:t xml:space="preserve"> </w:t>
      </w:r>
      <w:r w:rsidRPr="00AB0FB2">
        <w:t>jest niezbędna w procesie otrzymania środków finansowych z KE).</w:t>
      </w:r>
    </w:p>
    <w:p w:rsidR="00CA61BB" w:rsidRPr="008F1508" w:rsidRDefault="000B1EC6" w:rsidP="008F1508">
      <w:pPr>
        <w:pStyle w:val="Akapitzlist"/>
        <w:numPr>
          <w:ilvl w:val="0"/>
          <w:numId w:val="10"/>
        </w:numPr>
        <w:spacing w:before="120" w:after="12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5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Ministerstwo Edukacji Narodowej organizowało spotkania członków Krajowej Grupy Roboczej (KGR) ds. europejskiego usystematyzowanego dialogu </w:t>
      </w:r>
      <w:r w:rsidRPr="008F1508">
        <w:rPr>
          <w:rFonts w:ascii="Arial" w:eastAsia="Times New Roman" w:hAnsi="Arial" w:cs="Arial"/>
          <w:sz w:val="24"/>
          <w:szCs w:val="24"/>
          <w:lang w:eastAsia="pl-PL"/>
        </w:rPr>
        <w:br/>
        <w:t>z młodzieżą, składającej się z Polskiej Rady Organizacji Młodzieżowych (PROM), Fundacji Rozwoju Systemu Edukacji (FRSE) oraz Ministerstwa Edukacji Narodowej - z udziałem przedstawicieli Rady Dzieci i Młodzieży RP. Celem spotkań była wymiana informacji na temat podjętych i planowanych działań związanych z rozwojem i promowaniem w Polsce europejskiego usystematyzowanego dialogu z młodzieżą oraz wypracowanie modelu współpracy w ramach KGR na kolejny cykl współpracy (styczeń 2019 r. - czerwiec 2020). Europejski usystematyzowany dialog z młodzieżą to forma komunikacji pomiędzy młodymi ludźmi a decydentami na temat priorytetów polityki młodzieżowej, które są wyznaczane na poziomie europejskim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F1508">
        <w:rPr>
          <w:rFonts w:ascii="Arial" w:eastAsia="Times New Roman" w:hAnsi="Arial" w:cs="Arial"/>
          <w:sz w:val="24"/>
          <w:szCs w:val="24"/>
          <w:lang w:eastAsia="pl-PL"/>
        </w:rPr>
        <w:t xml:space="preserve">i krajowym. Proces ten jest oparty na idei poszanowania prawa młodych ludzi do uczestnictwa w wypracowywaniu, dotyczących ich, dokumentów strategicznych.   </w:t>
      </w:r>
    </w:p>
    <w:p w:rsidR="00F62F4D" w:rsidRPr="008F1508" w:rsidRDefault="000B1EC6" w:rsidP="008F1508">
      <w:pPr>
        <w:pStyle w:val="Akapitzlist"/>
        <w:numPr>
          <w:ilvl w:val="0"/>
          <w:numId w:val="10"/>
        </w:numPr>
        <w:shd w:val="clear" w:color="auto" w:fill="FFFFFF"/>
        <w:spacing w:before="120" w:after="12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508">
        <w:rPr>
          <w:rFonts w:ascii="Arial" w:eastAsia="Times New Roman" w:hAnsi="Arial" w:cs="Arial"/>
          <w:sz w:val="24"/>
          <w:szCs w:val="24"/>
          <w:lang w:eastAsia="pl-PL"/>
        </w:rPr>
        <w:t xml:space="preserve">Przedstawiciele resortu brali udział w ważnych spotkaniach, które dotyczyły organizacji pozarządowych, w tym w konferencji organizowanej przez Ogólnopolską Federację Organizacji Pozarządowych i Sieć Wspierania Organizacji Pozarządowych SPLOT, pt. „Czy istnieje dobro wspólne?" </w:t>
      </w:r>
      <w:r w:rsidRPr="008F150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oraz w konferencji z okazji obchodów pierwszej rocznicy działania Narodowego Instytutu Wolności – Centrum Rozwoju Społeczeństwa Obywatelskiego, a także w organizowanym przez Polską Radę Organizacji Młodzieżowych Ogólnopolskim Kongresie Dialogu Usystematyzowanego, który odbył się pod hasłem "100 postulatów młodzieży na 100-lecie Niepodległości".  </w:t>
      </w:r>
    </w:p>
    <w:p w:rsidR="00631FFD" w:rsidRPr="008F1508" w:rsidRDefault="000B1EC6" w:rsidP="008F1508">
      <w:pPr>
        <w:pStyle w:val="Akapitzlist"/>
        <w:numPr>
          <w:ilvl w:val="0"/>
          <w:numId w:val="10"/>
        </w:numPr>
        <w:shd w:val="clear" w:color="auto" w:fill="FFFFFF"/>
        <w:spacing w:before="120" w:after="12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508">
        <w:rPr>
          <w:rFonts w:ascii="Arial" w:eastAsia="Times New Roman" w:hAnsi="Arial" w:cs="Arial"/>
          <w:sz w:val="24"/>
          <w:szCs w:val="24"/>
          <w:lang w:eastAsia="pl-PL"/>
        </w:rPr>
        <w:t>Organizacje pozarządowe zostały zaproszone do udziału w konsultacjach projektu strategicznego dokumentu rządowego Zintegrowana Strategia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1508">
        <w:rPr>
          <w:rFonts w:ascii="Arial" w:eastAsia="Times New Roman" w:hAnsi="Arial" w:cs="Arial"/>
          <w:sz w:val="24"/>
          <w:szCs w:val="24"/>
          <w:lang w:eastAsia="pl-PL"/>
        </w:rPr>
        <w:t xml:space="preserve">Umiejętności. </w:t>
      </w:r>
    </w:p>
    <w:p w:rsidR="00631FFD" w:rsidRPr="008F1508" w:rsidRDefault="000B1EC6" w:rsidP="008F1508">
      <w:pPr>
        <w:pStyle w:val="Akapitzlist"/>
        <w:numPr>
          <w:ilvl w:val="0"/>
          <w:numId w:val="10"/>
        </w:numPr>
        <w:shd w:val="clear" w:color="auto" w:fill="FFFFFF"/>
        <w:spacing w:before="120" w:after="12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508">
        <w:rPr>
          <w:rFonts w:ascii="Arial" w:eastAsia="Times New Roman" w:hAnsi="Arial" w:cs="Arial"/>
          <w:sz w:val="24"/>
          <w:szCs w:val="24"/>
          <w:lang w:eastAsia="pl-PL"/>
        </w:rPr>
        <w:t>W 2018 r. odbyło się 5 posiedzeń Rady Interesariuszy Zintegrowanego Systemu Kwalifikacji, w której pracach bierze udział Związek Zakładów Doskonalenia Zawodowego, mający status stowarzyszenia. Rada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1508">
        <w:rPr>
          <w:rFonts w:ascii="Arial" w:eastAsia="Times New Roman" w:hAnsi="Arial" w:cs="Arial"/>
          <w:sz w:val="24"/>
          <w:szCs w:val="24"/>
          <w:lang w:eastAsia="pl-PL"/>
        </w:rPr>
        <w:t xml:space="preserve">Interesariuszy wyraziła pozytywną opinię dotycząca rekomendacji zespołu ekspertów o poziomie Polskiej Ramy Kwalifikacji dla 81 kwalifikacji,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F1508">
        <w:rPr>
          <w:rFonts w:ascii="Arial" w:eastAsia="Times New Roman" w:hAnsi="Arial" w:cs="Arial"/>
          <w:sz w:val="24"/>
          <w:szCs w:val="24"/>
          <w:lang w:eastAsia="pl-PL"/>
        </w:rPr>
        <w:t xml:space="preserve">w tym podyplomowych, rynkowych, rzemieślniczych i uregulowanych.  </w:t>
      </w:r>
    </w:p>
    <w:p w:rsidR="00CA61BB" w:rsidRPr="00AB0FB2" w:rsidRDefault="000B1EC6" w:rsidP="00AB0FB2">
      <w:pPr>
        <w:shd w:val="clear" w:color="auto" w:fill="FFFFFF"/>
        <w:spacing w:before="120" w:after="120"/>
        <w:jc w:val="both"/>
        <w:rPr>
          <w:rFonts w:eastAsiaTheme="minorHAnsi"/>
          <w:u w:val="single"/>
          <w:lang w:eastAsia="en-US"/>
        </w:rPr>
      </w:pPr>
      <w:r w:rsidRPr="00AB0FB2">
        <w:rPr>
          <w:u w:val="single"/>
        </w:rPr>
        <w:t xml:space="preserve">Spotkanie z organizacjami pozarządowymi </w:t>
      </w:r>
      <w:r>
        <w:rPr>
          <w:u w:val="single"/>
        </w:rPr>
        <w:t xml:space="preserve">- posumowanie współpracy w 2018 r. </w:t>
      </w:r>
    </w:p>
    <w:p w:rsidR="00F9311C" w:rsidRPr="00AB0FB2" w:rsidRDefault="000B1EC6" w:rsidP="00AB0FB2">
      <w:pPr>
        <w:spacing w:before="120" w:after="120"/>
        <w:jc w:val="both"/>
      </w:pPr>
      <w:r w:rsidRPr="00AB0FB2">
        <w:t xml:space="preserve">Podsumowanie współpracy resortu edukacji z organizacjami pozarządowymi </w:t>
      </w:r>
      <w:r w:rsidRPr="00AB0FB2">
        <w:br/>
        <w:t xml:space="preserve">miało miejsce podczas spotkania z przedstawicielami </w:t>
      </w:r>
      <w:r>
        <w:t xml:space="preserve">trzeciego sektora, </w:t>
      </w:r>
      <w:r w:rsidRPr="00AB0FB2">
        <w:t xml:space="preserve">które odbyło się 12 grudnia 2018 r. w Ministerstwie Edukacji Narodowej. </w:t>
      </w:r>
      <w:r>
        <w:br/>
      </w:r>
      <w:r w:rsidRPr="00AB0FB2">
        <w:t>Do udziału</w:t>
      </w:r>
      <w:r>
        <w:t xml:space="preserve"> </w:t>
      </w:r>
      <w:r w:rsidRPr="00AB0FB2">
        <w:t xml:space="preserve">w spotkaniu zaproszono 30 organizacji obywatelskich, wpisanych </w:t>
      </w:r>
      <w:r>
        <w:br/>
      </w:r>
      <w:r w:rsidRPr="00AB0FB2">
        <w:t xml:space="preserve">na listę partnerów społecznych MEN. Udział w spotkaniu zgłosiło 39 osób </w:t>
      </w:r>
      <w:r>
        <w:br/>
      </w:r>
      <w:r w:rsidRPr="00AB0FB2">
        <w:t>z 25 organizacji.</w:t>
      </w:r>
      <w:r>
        <w:t xml:space="preserve"> </w:t>
      </w:r>
      <w:r w:rsidRPr="00AB0FB2">
        <w:t xml:space="preserve">Ostatecznie wzięło w nim udział 35 przedstawicieli różnych podmiotów.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 xml:space="preserve">Głównym postulatem, dotyczącym Programu współpracy Ministra Edukacji Narodowej z organizacjami pozarządowymi było </w:t>
      </w:r>
      <w:r>
        <w:t xml:space="preserve">szersze </w:t>
      </w:r>
      <w:r w:rsidRPr="00AB0FB2">
        <w:t>włączanie</w:t>
      </w:r>
      <w:r>
        <w:t xml:space="preserve"> </w:t>
      </w:r>
      <w:r>
        <w:lastRenderedPageBreak/>
        <w:t>p</w:t>
      </w:r>
      <w:r w:rsidRPr="00AB0FB2">
        <w:t>rzedstawicieli trzeciego sektora w prace</w:t>
      </w:r>
      <w:r>
        <w:t>,</w:t>
      </w:r>
      <w:r w:rsidRPr="00AB0FB2">
        <w:t xml:space="preserve"> działających w resorcie</w:t>
      </w:r>
      <w:r>
        <w:t>,</w:t>
      </w:r>
      <w:r w:rsidRPr="00AB0FB2">
        <w:t xml:space="preserve"> zespołów eksperckich o charakterze doradczym i opiniującym.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>Podczas spotkania przekazano partnerom społecznym informacje</w:t>
      </w:r>
      <w:r>
        <w:t xml:space="preserve"> </w:t>
      </w:r>
      <w:r>
        <w:br/>
      </w:r>
      <w:r w:rsidRPr="00AB0FB2">
        <w:t>o najnowszych rozwiązaniach prawnych i programowych dotyczących obszaru działań trzeciego sektora. Przedstawiciel KPRM przybliżył uczestnikom spotkania nową organizację systemu rządowego wsparcia dla organizacji pozarządowych wraz z programami oferowanymi przez Narodowy Instytut Wolności. Reprezentantki Fundacji Rozwoju Systemu Edukacji (FRSE) omówiły działania unijne kierowane do młodzieży i partnerów społecznych (m.in. program Erasmus+ oraz Europejski Korpus Solidarności) oraz programy współpracy dwustronnej (Polsko-Litewski Fundusz Wymiany Młodzieży, Polsko-Ukraińska Rada Wymiany Młodzieży), w których mogą uczestniczyć organizacje pozarządowe. Ważnym i ciekawym merytorycznym wkładem do programu spotkania były wystąpienia pracowników Departamentu Współpracy</w:t>
      </w:r>
      <w:r>
        <w:t xml:space="preserve"> </w:t>
      </w:r>
      <w:r w:rsidRPr="00AB0FB2">
        <w:t>Międzynarodowej, z których jedno dotyczyło działań podejmowanych</w:t>
      </w:r>
      <w:r>
        <w:br/>
      </w:r>
      <w:r w:rsidRPr="00AB0FB2">
        <w:t xml:space="preserve">na rzecz trzeciego sektora na forum europejskim, natomiast drugie </w:t>
      </w:r>
      <w:r>
        <w:t xml:space="preserve">było przykładem </w:t>
      </w:r>
      <w:r w:rsidRPr="00AB0FB2">
        <w:t>realizac</w:t>
      </w:r>
      <w:r>
        <w:t xml:space="preserve">ji tych działań w obszarze </w:t>
      </w:r>
      <w:r w:rsidRPr="00AB0FB2">
        <w:t>edukacji</w:t>
      </w:r>
      <w:r>
        <w:t xml:space="preserve"> w kraju. </w:t>
      </w:r>
      <w:r w:rsidRPr="00AB0FB2">
        <w:t xml:space="preserve"> </w:t>
      </w:r>
    </w:p>
    <w:p w:rsidR="00CA61BB" w:rsidRPr="00AB0FB2" w:rsidRDefault="000B1EC6" w:rsidP="00AB0FB2">
      <w:pPr>
        <w:spacing w:before="120" w:after="120"/>
        <w:jc w:val="both"/>
        <w:rPr>
          <w:u w:val="single"/>
        </w:rPr>
      </w:pPr>
      <w:r w:rsidRPr="00AB0FB2">
        <w:rPr>
          <w:u w:val="single"/>
        </w:rPr>
        <w:t xml:space="preserve">Działania na poziomie europejskim, które zachęcają do podejmowania aktywności obywatelskiej na terenie państw członkowskich </w:t>
      </w:r>
    </w:p>
    <w:p w:rsidR="003230BA" w:rsidRPr="00AB0FB2" w:rsidRDefault="000B1EC6" w:rsidP="00AB0FB2">
      <w:pPr>
        <w:spacing w:before="120" w:after="120"/>
        <w:jc w:val="both"/>
      </w:pPr>
      <w:r w:rsidRPr="00AB0FB2">
        <w:t xml:space="preserve">Sprawa aktywności społecznej obywateli oraz szeroko rozumianego włączenia społecznego stanowi istotny element polityki europejskiej. Rada Europejska </w:t>
      </w:r>
      <w:r w:rsidRPr="00AB0FB2">
        <w:br/>
        <w:t xml:space="preserve">w grudniu 2017 r. wskazała, że edukacja i kultura są kluczowe dla budowania włączających, spójnych społeczeństw i do utrzymania konkurencyjności. </w:t>
      </w:r>
      <w:r w:rsidRPr="00AB0FB2">
        <w:br/>
        <w:t>Ww. ustalenie Rady Europejskiej zostało wykorzystane dla idei utworzenia</w:t>
      </w:r>
      <w:r>
        <w:br/>
      </w:r>
      <w:r w:rsidRPr="00AB0FB2">
        <w:t xml:space="preserve">do 2025 r. europejskiego obszaru edukacji, tj. Europy, w której uczenie się, studiowanie </w:t>
      </w:r>
      <w:r w:rsidRPr="00AB0FB2">
        <w:tab/>
        <w:t xml:space="preserve">i prowadzenie badań nie byłoby utrudnione przez granice. Europejski Obszar Edukacji powinien obejmować osoby uczące się w każdym wieku, niezależnie od pochodzenia </w:t>
      </w:r>
      <w:r>
        <w:t xml:space="preserve">oraz </w:t>
      </w:r>
      <w:r w:rsidRPr="00AB0FB2">
        <w:t>wszystki</w:t>
      </w:r>
      <w:r>
        <w:t xml:space="preserve">e </w:t>
      </w:r>
      <w:r w:rsidRPr="00AB0FB2">
        <w:t>sektor</w:t>
      </w:r>
      <w:r>
        <w:t xml:space="preserve">y edukacji. </w:t>
      </w:r>
    </w:p>
    <w:p w:rsidR="00CA61BB" w:rsidRPr="00AB0FB2" w:rsidRDefault="000B1EC6" w:rsidP="00AB0FB2">
      <w:pPr>
        <w:spacing w:before="120" w:after="120"/>
        <w:jc w:val="both"/>
      </w:pPr>
      <w:r w:rsidRPr="00AB0FB2">
        <w:t>W wyniku prowadzonych w 2018 r. dyskusji</w:t>
      </w:r>
      <w:r>
        <w:t>,</w:t>
      </w:r>
      <w:r w:rsidRPr="00AB0FB2">
        <w:t xml:space="preserve"> na ten temat</w:t>
      </w:r>
      <w:r>
        <w:t>,</w:t>
      </w:r>
      <w:r w:rsidRPr="00AB0FB2">
        <w:t xml:space="preserve"> przyjęto między innymi: </w:t>
      </w:r>
    </w:p>
    <w:p w:rsidR="003230BA" w:rsidRPr="00F400E3" w:rsidRDefault="000B1EC6" w:rsidP="00F400E3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400E3">
        <w:rPr>
          <w:rFonts w:ascii="Arial" w:hAnsi="Arial" w:cs="Arial"/>
          <w:sz w:val="24"/>
          <w:szCs w:val="24"/>
        </w:rPr>
        <w:t>Zalecenia Rady ws. kompetencji kluczowych dla uczenia się przez całe życie, którego celem jest poprawa rozwoju kluczowych kompetencji u osób</w:t>
      </w:r>
      <w:r>
        <w:rPr>
          <w:rFonts w:ascii="Arial" w:hAnsi="Arial" w:cs="Arial"/>
          <w:sz w:val="24"/>
          <w:szCs w:val="24"/>
        </w:rPr>
        <w:br/>
      </w:r>
      <w:r w:rsidRPr="00F400E3">
        <w:rPr>
          <w:rFonts w:ascii="Arial" w:hAnsi="Arial" w:cs="Arial"/>
          <w:sz w:val="24"/>
          <w:szCs w:val="24"/>
        </w:rPr>
        <w:t>w każdym wieku, w ciągu całego ich życia. Efektem ma być wsparcie</w:t>
      </w:r>
      <w:r>
        <w:rPr>
          <w:rFonts w:ascii="Arial" w:hAnsi="Arial" w:cs="Arial"/>
          <w:sz w:val="24"/>
          <w:szCs w:val="24"/>
        </w:rPr>
        <w:br/>
      </w:r>
      <w:r w:rsidRPr="00F400E3">
        <w:rPr>
          <w:rFonts w:ascii="Arial" w:hAnsi="Arial" w:cs="Arial"/>
          <w:sz w:val="24"/>
          <w:szCs w:val="24"/>
        </w:rPr>
        <w:t>dla lepszego przygotowania obywateli do zmieniających się rynków pracy</w:t>
      </w:r>
      <w:r>
        <w:rPr>
          <w:rFonts w:ascii="Arial" w:hAnsi="Arial" w:cs="Arial"/>
          <w:sz w:val="24"/>
          <w:szCs w:val="24"/>
        </w:rPr>
        <w:br/>
      </w:r>
      <w:r w:rsidRPr="00F400E3">
        <w:rPr>
          <w:rFonts w:ascii="Arial" w:hAnsi="Arial" w:cs="Arial"/>
          <w:sz w:val="24"/>
          <w:szCs w:val="24"/>
        </w:rPr>
        <w:t>i do przyjmowania przez nich aktywnej postawy obywatelskiej w coraz bardziej zróżnicowanych, mobilnych, cyfrowych i globalnych społeczeństwach;</w:t>
      </w:r>
    </w:p>
    <w:p w:rsidR="003230BA" w:rsidRPr="00F400E3" w:rsidRDefault="000B1EC6" w:rsidP="00F400E3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400E3">
        <w:rPr>
          <w:rFonts w:ascii="Arial" w:hAnsi="Arial" w:cs="Arial"/>
          <w:sz w:val="24"/>
          <w:szCs w:val="24"/>
        </w:rPr>
        <w:t>Zalecenie Rady w sprawie promowania wspólnych wartości, edukacji włączającej i europejskiego wymiaru nauczania, które wskazuje, że edukacja ma do odegrania kluczową rolę w przeciwdziałaniu podziałom społecznym</w:t>
      </w:r>
      <w:r>
        <w:rPr>
          <w:rFonts w:ascii="Arial" w:hAnsi="Arial" w:cs="Arial"/>
          <w:sz w:val="24"/>
          <w:szCs w:val="24"/>
        </w:rPr>
        <w:br/>
      </w:r>
      <w:r w:rsidRPr="00F400E3">
        <w:rPr>
          <w:rFonts w:ascii="Arial" w:hAnsi="Arial" w:cs="Arial"/>
          <w:sz w:val="24"/>
          <w:szCs w:val="24"/>
        </w:rPr>
        <w:t>w UE,  ponieważ pomaga obywatelom lepiej zrozumieć Unię Europejską</w:t>
      </w:r>
      <w:r>
        <w:rPr>
          <w:rFonts w:ascii="Arial" w:hAnsi="Arial" w:cs="Arial"/>
          <w:sz w:val="24"/>
          <w:szCs w:val="24"/>
        </w:rPr>
        <w:br/>
      </w:r>
      <w:r w:rsidRPr="00F400E3">
        <w:rPr>
          <w:rFonts w:ascii="Arial" w:hAnsi="Arial" w:cs="Arial"/>
          <w:sz w:val="24"/>
          <w:szCs w:val="24"/>
        </w:rPr>
        <w:t xml:space="preserve">i siebie nawzajem; </w:t>
      </w:r>
    </w:p>
    <w:p w:rsidR="003230BA" w:rsidRPr="00F400E3" w:rsidRDefault="000B1EC6" w:rsidP="00F400E3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400E3">
        <w:rPr>
          <w:rFonts w:ascii="Arial" w:hAnsi="Arial" w:cs="Arial"/>
          <w:sz w:val="24"/>
          <w:szCs w:val="24"/>
        </w:rPr>
        <w:t>Zalecenie Rady w sprawie promowania automatycznego wzajemnego</w:t>
      </w:r>
      <w:r>
        <w:rPr>
          <w:rFonts w:ascii="Arial" w:hAnsi="Arial" w:cs="Arial"/>
          <w:sz w:val="24"/>
          <w:szCs w:val="24"/>
        </w:rPr>
        <w:t xml:space="preserve"> </w:t>
      </w:r>
      <w:r w:rsidRPr="00F400E3">
        <w:rPr>
          <w:rFonts w:ascii="Arial" w:hAnsi="Arial" w:cs="Arial"/>
          <w:sz w:val="24"/>
          <w:szCs w:val="24"/>
        </w:rPr>
        <w:t>uznawania dyplomów oraz okresów nauki za granicą, które ma na celu zapewnienie, aby kwalifikacje nabyte w toku kształcenia za granicą</w:t>
      </w:r>
      <w:r>
        <w:rPr>
          <w:rFonts w:ascii="Arial" w:hAnsi="Arial" w:cs="Arial"/>
          <w:sz w:val="24"/>
          <w:szCs w:val="24"/>
        </w:rPr>
        <w:t>,</w:t>
      </w:r>
      <w:r w:rsidRPr="00F400E3">
        <w:rPr>
          <w:rFonts w:ascii="Arial" w:hAnsi="Arial" w:cs="Arial"/>
          <w:sz w:val="24"/>
          <w:szCs w:val="24"/>
        </w:rPr>
        <w:t xml:space="preserve"> w ramach </w:t>
      </w:r>
      <w:r w:rsidRPr="00F400E3">
        <w:rPr>
          <w:rFonts w:ascii="Arial" w:hAnsi="Arial" w:cs="Arial"/>
          <w:sz w:val="24"/>
          <w:szCs w:val="24"/>
        </w:rPr>
        <w:lastRenderedPageBreak/>
        <w:t>korzystania ze swobody przemieszczania się</w:t>
      </w:r>
      <w:r>
        <w:rPr>
          <w:rFonts w:ascii="Arial" w:hAnsi="Arial" w:cs="Arial"/>
          <w:sz w:val="24"/>
          <w:szCs w:val="24"/>
        </w:rPr>
        <w:t>,</w:t>
      </w:r>
      <w:r w:rsidRPr="00F400E3">
        <w:rPr>
          <w:rFonts w:ascii="Arial" w:hAnsi="Arial" w:cs="Arial"/>
          <w:sz w:val="24"/>
          <w:szCs w:val="24"/>
        </w:rPr>
        <w:t xml:space="preserve"> były automatycznie uznawane do celów dalszego kształcenia, bez naruszenia prawa instytucji kształcenia </w:t>
      </w:r>
      <w:r w:rsidRPr="00F400E3">
        <w:rPr>
          <w:rFonts w:ascii="Arial" w:hAnsi="Arial" w:cs="Arial"/>
          <w:sz w:val="24"/>
          <w:szCs w:val="24"/>
        </w:rPr>
        <w:br/>
        <w:t>i szkolenia do podjęcia decyzji w sprawie przyjęcia kandydata.</w:t>
      </w:r>
    </w:p>
    <w:p w:rsidR="000C257E" w:rsidRPr="00F400E3" w:rsidRDefault="000B1EC6" w:rsidP="00F400E3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400E3">
        <w:rPr>
          <w:rFonts w:ascii="Arial" w:hAnsi="Arial" w:cs="Arial"/>
          <w:sz w:val="24"/>
          <w:szCs w:val="24"/>
        </w:rPr>
        <w:t>Dwa najważniejsze instrumenty w ramach współpracy z UE, z których mogą skorzystać obywatele, organizacje pozarządowe i instytucje edukacyjne</w:t>
      </w:r>
      <w:r w:rsidRPr="00F400E3">
        <w:rPr>
          <w:rFonts w:ascii="Arial" w:hAnsi="Arial" w:cs="Arial"/>
          <w:sz w:val="24"/>
          <w:szCs w:val="24"/>
        </w:rPr>
        <w:br/>
        <w:t xml:space="preserve">to program Erasmus+ oraz Europejski Korpus Solidarności. W ramach prac nad kolejnymi edycjami ww. programów w nowych unijnych Wieloletnich Ramach Finansowych zakłada się, że  staną się one bardziej dostępne: </w:t>
      </w:r>
    </w:p>
    <w:p w:rsidR="00CA61BB" w:rsidRPr="00F400E3" w:rsidRDefault="000B1EC6" w:rsidP="00F400E3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400E3">
        <w:rPr>
          <w:rFonts w:ascii="Arial" w:hAnsi="Arial" w:cs="Arial"/>
          <w:sz w:val="24"/>
          <w:szCs w:val="24"/>
        </w:rPr>
        <w:t>program Erasmus+ na lata 2021-2027 kładzie większy nacisk na to,</w:t>
      </w:r>
      <w:r>
        <w:rPr>
          <w:rFonts w:ascii="Arial" w:hAnsi="Arial" w:cs="Arial"/>
          <w:sz w:val="24"/>
          <w:szCs w:val="24"/>
        </w:rPr>
        <w:br/>
        <w:t>a</w:t>
      </w:r>
      <w:r w:rsidRPr="00F400E3">
        <w:rPr>
          <w:rFonts w:ascii="Arial" w:hAnsi="Arial" w:cs="Arial"/>
          <w:sz w:val="24"/>
          <w:szCs w:val="24"/>
        </w:rPr>
        <w:t xml:space="preserve">by z programu mogły korzystać również osoby defaworyzowane oraz małe organizacje. W efekcie program będzie dostępny dla szkół/organizacji, </w:t>
      </w:r>
      <w:r>
        <w:rPr>
          <w:rFonts w:ascii="Arial" w:hAnsi="Arial" w:cs="Arial"/>
          <w:sz w:val="24"/>
          <w:szCs w:val="24"/>
        </w:rPr>
        <w:br/>
      </w:r>
      <w:r w:rsidRPr="00F400E3">
        <w:rPr>
          <w:rFonts w:ascii="Arial" w:hAnsi="Arial" w:cs="Arial"/>
          <w:sz w:val="24"/>
          <w:szCs w:val="24"/>
        </w:rPr>
        <w:t>które nie posiadają doświadczenia w zakresie współpracy międzynarodowej lub mają mniejsze możliwości organizacyjno-administracyjne;</w:t>
      </w:r>
    </w:p>
    <w:p w:rsidR="00CA61BB" w:rsidRPr="00AB0FB2" w:rsidRDefault="000B1EC6" w:rsidP="00F400E3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 w:rsidRPr="00F400E3">
        <w:rPr>
          <w:rFonts w:ascii="Arial" w:hAnsi="Arial" w:cs="Arial"/>
          <w:sz w:val="24"/>
          <w:szCs w:val="24"/>
        </w:rPr>
        <w:t>program Europejski Korpus Solidarności na lata 2021-2027 ma umożliwić młodym ludziom wyrażanie solidarności z innymi poprzez zaangażowanie się</w:t>
      </w:r>
      <w:r w:rsidRPr="00F400E3">
        <w:rPr>
          <w:rFonts w:ascii="Arial" w:hAnsi="Arial" w:cs="Arial"/>
          <w:sz w:val="24"/>
          <w:szCs w:val="24"/>
        </w:rPr>
        <w:br/>
        <w:t>w działania na rzecz społeczeństwa, a także uzyskanie wartościowych doświadczeń i umiejętności korzystnych z punktu widzenia rozwoju osobistego, zaangażowania w życie społeczne oraz zwiększenia szans</w:t>
      </w:r>
      <w:r>
        <w:rPr>
          <w:rFonts w:ascii="Arial" w:hAnsi="Arial" w:cs="Arial"/>
          <w:sz w:val="24"/>
          <w:szCs w:val="24"/>
        </w:rPr>
        <w:br/>
      </w:r>
      <w:r w:rsidRPr="00F400E3">
        <w:rPr>
          <w:rFonts w:ascii="Arial" w:hAnsi="Arial" w:cs="Arial"/>
          <w:sz w:val="24"/>
          <w:szCs w:val="24"/>
        </w:rPr>
        <w:t>na zatrudnienie.</w:t>
      </w:r>
    </w:p>
    <w:p w:rsidR="00CA61BB" w:rsidRPr="00AB0FB2" w:rsidRDefault="000B1EC6" w:rsidP="00AB0FB2">
      <w:pPr>
        <w:spacing w:before="120" w:after="120"/>
        <w:jc w:val="both"/>
        <w:rPr>
          <w:u w:val="single"/>
        </w:rPr>
      </w:pPr>
      <w:r w:rsidRPr="00AB0FB2">
        <w:rPr>
          <w:u w:val="single"/>
        </w:rPr>
        <w:t>Podsumowanie</w:t>
      </w:r>
    </w:p>
    <w:p w:rsidR="004D6A49" w:rsidRPr="00AB0FB2" w:rsidRDefault="000B1EC6" w:rsidP="00AB0FB2">
      <w:pPr>
        <w:spacing w:before="120" w:after="120"/>
        <w:jc w:val="both"/>
      </w:pPr>
      <w:r w:rsidRPr="00AB0FB2">
        <w:t>Współpraca resortu edukacji z organizacjami pozarządowymi w 2018 r</w:t>
      </w:r>
      <w:r>
        <w:t>. p</w:t>
      </w:r>
      <w:r w:rsidRPr="00AB0FB2">
        <w:t xml:space="preserve">rzebiegała zgodnie z założeniami </w:t>
      </w:r>
      <w:r w:rsidRPr="00AB0FB2">
        <w:rPr>
          <w:i/>
        </w:rPr>
        <w:t>Programu współpracy Ministra Edukacji Narodowej z organizacjami pozarządowymi oraz podmiotami wymienionymi</w:t>
      </w:r>
      <w:r w:rsidRPr="00AB0FB2">
        <w:rPr>
          <w:i/>
        </w:rPr>
        <w:br/>
        <w:t>w art. 3 ust 3. ustawy z dnia 24 kwietnia 2003 r. o działalności pożytku publicznego i o wolontariacie (Dz. U. z 2018, poz. 450), na lata 2018-2020</w:t>
      </w:r>
      <w:r w:rsidRPr="00AB0FB2">
        <w:t xml:space="preserve">. Obszarem, na który można zwrócić uwagę podczas realizacji programu </w:t>
      </w:r>
      <w:r w:rsidRPr="00AB0FB2">
        <w:br/>
        <w:t>w 2019 r.</w:t>
      </w:r>
      <w:r>
        <w:t>,</w:t>
      </w:r>
      <w:r w:rsidRPr="00AB0FB2">
        <w:t xml:space="preserve"> jest większy udział trzeciego sektora w pracach doradczych </w:t>
      </w:r>
      <w:r w:rsidRPr="00AB0FB2">
        <w:br/>
        <w:t xml:space="preserve">i konsultacyjnych prowadzonych w resorcie. </w:t>
      </w:r>
    </w:p>
    <w:p w:rsidR="00BD2C44" w:rsidRDefault="00846547">
      <w:pPr>
        <w:pStyle w:val="menfont"/>
      </w:pPr>
    </w:p>
    <w:p w:rsidR="00BD2C44" w:rsidRDefault="00846547">
      <w:pPr>
        <w:pStyle w:val="menfont"/>
      </w:pPr>
    </w:p>
    <w:p w:rsidR="003040D8" w:rsidRDefault="000B1EC6" w:rsidP="00BE2577">
      <w:pPr>
        <w:pStyle w:val="menfon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B70" w:rsidRDefault="000B1EC6" w:rsidP="00CA1B70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Joanna Wilewska</w:t>
                            </w:r>
                            <w:bookmarkEnd w:id="4"/>
                          </w:p>
                          <w:p w:rsidR="00CA1B70" w:rsidRDefault="000B1EC6" w:rsidP="00CA1B70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5"/>
                          </w:p>
                          <w:p w:rsidR="00CA1B70" w:rsidRPr="006C626F" w:rsidRDefault="000B1EC6" w:rsidP="00CA1B70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Wychowania i Kształcenia Integracyjnego</w:t>
                            </w:r>
                            <w:bookmarkEnd w:id="6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5" type="#_x0000_t202" style="height:1in;margin-left:0;margin-top:0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CA1B70" w:rsidP="00CA1B70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Joanna Wilewska</w:t>
                      </w:r>
                      <w:bookmarkEnd w:id="4"/>
                    </w:p>
                    <w:p w:rsidR="00CA1B70" w:rsidP="00CA1B70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5"/>
                    </w:p>
                    <w:p w:rsidR="00CA1B70" w:rsidRPr="006C626F" w:rsidP="00CA1B70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Departament Wychowania i Kształcenia Integracyjnego</w:t>
                      </w:r>
                      <w:bookmarkEnd w:id="6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40D8" w:rsidSect="00785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701" w:bottom="1701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547" w:rsidRDefault="00846547">
      <w:r>
        <w:separator/>
      </w:r>
    </w:p>
  </w:endnote>
  <w:endnote w:type="continuationSeparator" w:id="0">
    <w:p w:rsidR="00846547" w:rsidRDefault="0084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F5" w:rsidRDefault="008465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7A" w:rsidRPr="008F5D50" w:rsidRDefault="000B1EC6" w:rsidP="001D157A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1D157A" w:rsidRPr="008F5D50" w:rsidRDefault="000B1EC6" w:rsidP="001D157A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WYCHOWANIA I KSZTAŁCENIA INTEGRACYJNEGO </w:t>
    </w:r>
  </w:p>
  <w:p w:rsidR="001D157A" w:rsidRPr="00B24B8D" w:rsidRDefault="000B1EC6" w:rsidP="001D157A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</w:t>
    </w:r>
    <w:r>
      <w:rPr>
        <w:rFonts w:ascii="Cambria" w:hAnsi="Cambria"/>
        <w:sz w:val="16"/>
        <w:szCs w:val="16"/>
      </w:rPr>
      <w:t xml:space="preserve"> 74</w:t>
    </w:r>
    <w:r w:rsidRPr="00B24B8D">
      <w:rPr>
        <w:rFonts w:ascii="Cambria" w:hAnsi="Cambria"/>
        <w:sz w:val="16"/>
        <w:szCs w:val="16"/>
      </w:rPr>
      <w:t xml:space="preserve"> 228, fax +48 22 34 74 229, e-mail: </w:t>
    </w:r>
    <w:hyperlink r:id="rId1" w:history="1">
      <w:r w:rsidRPr="00B24B8D">
        <w:rPr>
          <w:rFonts w:ascii="Cambria" w:hAnsi="Cambria"/>
          <w:sz w:val="16"/>
          <w:szCs w:val="16"/>
        </w:rPr>
        <w:t>Sekretariat.DWKI@men.gov.pl</w:t>
      </w:r>
    </w:hyperlink>
    <w:r w:rsidRPr="00B24B8D">
      <w:rPr>
        <w:rFonts w:ascii="Cambria" w:hAnsi="Cambria"/>
        <w:sz w:val="16"/>
        <w:szCs w:val="16"/>
      </w:rPr>
      <w:t>, www.men.gov.pl</w:t>
    </w:r>
  </w:p>
  <w:p w:rsidR="00BD2C44" w:rsidRDefault="0084654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7A" w:rsidRPr="008F5D50" w:rsidRDefault="000B1EC6" w:rsidP="001D157A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1D157A" w:rsidRPr="008F5D50" w:rsidRDefault="000B1EC6" w:rsidP="001D157A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WYCHOWANIA I KSZTAŁCENIA INTEGRACYJNEGO </w:t>
    </w:r>
  </w:p>
  <w:p w:rsidR="001D157A" w:rsidRPr="00B24B8D" w:rsidRDefault="000B1EC6" w:rsidP="001D157A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 xml:space="preserve">74 </w:t>
    </w:r>
    <w:r w:rsidRPr="00B24B8D">
      <w:rPr>
        <w:rFonts w:ascii="Cambria" w:hAnsi="Cambria"/>
        <w:sz w:val="16"/>
        <w:szCs w:val="16"/>
      </w:rPr>
      <w:t xml:space="preserve">228, fax +48 22 34 74 229, e-mail: </w:t>
    </w:r>
    <w:hyperlink r:id="rId1" w:history="1">
      <w:r w:rsidRPr="00B24B8D">
        <w:rPr>
          <w:rFonts w:ascii="Cambria" w:hAnsi="Cambria"/>
          <w:sz w:val="16"/>
          <w:szCs w:val="16"/>
        </w:rPr>
        <w:t>Sekretariat.DWKI@men.gov.pl</w:t>
      </w:r>
    </w:hyperlink>
    <w:r w:rsidRPr="00B24B8D">
      <w:rPr>
        <w:rFonts w:ascii="Cambria" w:hAnsi="Cambria"/>
        <w:sz w:val="16"/>
        <w:szCs w:val="16"/>
      </w:rPr>
      <w:t>, www.men.gov.pl</w:t>
    </w:r>
  </w:p>
  <w:p w:rsidR="00BD2C44" w:rsidRDefault="00846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547" w:rsidRDefault="00846547">
      <w:r>
        <w:separator/>
      </w:r>
    </w:p>
  </w:footnote>
  <w:footnote w:type="continuationSeparator" w:id="0">
    <w:p w:rsidR="00846547" w:rsidRDefault="00846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F5" w:rsidRDefault="008465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44" w:rsidRDefault="0084654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44" w:rsidRDefault="000B1EC6" w:rsidP="007934A0">
    <w:pPr>
      <w:pStyle w:val="Departament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3927">
      <w:t>DEPARTAMENT WYCHOWANIA I KSZTAŁCENIA INTEGRACYJNEGO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158"/>
    <w:multiLevelType w:val="multilevel"/>
    <w:tmpl w:val="605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68F"/>
    <w:multiLevelType w:val="hybridMultilevel"/>
    <w:tmpl w:val="4F0A8624"/>
    <w:lvl w:ilvl="0" w:tplc="D86C2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AE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C3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62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CB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6D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E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27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42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7516"/>
    <w:multiLevelType w:val="hybridMultilevel"/>
    <w:tmpl w:val="5246B5EC"/>
    <w:lvl w:ilvl="0" w:tplc="0B900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231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8B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64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80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6B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45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9F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24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065"/>
    <w:multiLevelType w:val="hybridMultilevel"/>
    <w:tmpl w:val="F88470B6"/>
    <w:lvl w:ilvl="0" w:tplc="4C780EA4">
      <w:start w:val="1"/>
      <w:numFmt w:val="lowerLetter"/>
      <w:lvlText w:val="%1)"/>
      <w:lvlJc w:val="left"/>
      <w:pPr>
        <w:ind w:left="720" w:hanging="360"/>
      </w:pPr>
    </w:lvl>
    <w:lvl w:ilvl="1" w:tplc="2048E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0C8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61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43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7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42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E6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7C20"/>
    <w:multiLevelType w:val="hybridMultilevel"/>
    <w:tmpl w:val="9256586C"/>
    <w:lvl w:ilvl="0" w:tplc="8D382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61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25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E8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8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AD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C0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0B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E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12FD"/>
    <w:multiLevelType w:val="hybridMultilevel"/>
    <w:tmpl w:val="44E46B56"/>
    <w:lvl w:ilvl="0" w:tplc="1F5443BE">
      <w:start w:val="1"/>
      <w:numFmt w:val="lowerLetter"/>
      <w:lvlText w:val="%1."/>
      <w:lvlJc w:val="left"/>
      <w:pPr>
        <w:ind w:left="502" w:hanging="360"/>
      </w:pPr>
    </w:lvl>
    <w:lvl w:ilvl="1" w:tplc="2FE4BD62" w:tentative="1">
      <w:start w:val="1"/>
      <w:numFmt w:val="lowerLetter"/>
      <w:lvlText w:val="%2."/>
      <w:lvlJc w:val="left"/>
      <w:pPr>
        <w:ind w:left="1222" w:hanging="360"/>
      </w:pPr>
    </w:lvl>
    <w:lvl w:ilvl="2" w:tplc="DE72357C" w:tentative="1">
      <w:start w:val="1"/>
      <w:numFmt w:val="lowerRoman"/>
      <w:lvlText w:val="%3."/>
      <w:lvlJc w:val="right"/>
      <w:pPr>
        <w:ind w:left="1942" w:hanging="180"/>
      </w:pPr>
    </w:lvl>
    <w:lvl w:ilvl="3" w:tplc="4D54F4A2" w:tentative="1">
      <w:start w:val="1"/>
      <w:numFmt w:val="decimal"/>
      <w:lvlText w:val="%4."/>
      <w:lvlJc w:val="left"/>
      <w:pPr>
        <w:ind w:left="2662" w:hanging="360"/>
      </w:pPr>
    </w:lvl>
    <w:lvl w:ilvl="4" w:tplc="7384058E" w:tentative="1">
      <w:start w:val="1"/>
      <w:numFmt w:val="lowerLetter"/>
      <w:lvlText w:val="%5."/>
      <w:lvlJc w:val="left"/>
      <w:pPr>
        <w:ind w:left="3382" w:hanging="360"/>
      </w:pPr>
    </w:lvl>
    <w:lvl w:ilvl="5" w:tplc="55E0C5EA" w:tentative="1">
      <w:start w:val="1"/>
      <w:numFmt w:val="lowerRoman"/>
      <w:lvlText w:val="%6."/>
      <w:lvlJc w:val="right"/>
      <w:pPr>
        <w:ind w:left="4102" w:hanging="180"/>
      </w:pPr>
    </w:lvl>
    <w:lvl w:ilvl="6" w:tplc="44447858" w:tentative="1">
      <w:start w:val="1"/>
      <w:numFmt w:val="decimal"/>
      <w:lvlText w:val="%7."/>
      <w:lvlJc w:val="left"/>
      <w:pPr>
        <w:ind w:left="4822" w:hanging="360"/>
      </w:pPr>
    </w:lvl>
    <w:lvl w:ilvl="7" w:tplc="2A86BE54" w:tentative="1">
      <w:start w:val="1"/>
      <w:numFmt w:val="lowerLetter"/>
      <w:lvlText w:val="%8."/>
      <w:lvlJc w:val="left"/>
      <w:pPr>
        <w:ind w:left="5542" w:hanging="360"/>
      </w:pPr>
    </w:lvl>
    <w:lvl w:ilvl="8" w:tplc="25D833D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237E20"/>
    <w:multiLevelType w:val="hybridMultilevel"/>
    <w:tmpl w:val="2F86A62A"/>
    <w:lvl w:ilvl="0" w:tplc="2EDE7C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7AAEF1DA" w:tentative="1">
      <w:start w:val="1"/>
      <w:numFmt w:val="lowerLetter"/>
      <w:lvlText w:val="%2."/>
      <w:lvlJc w:val="left"/>
      <w:pPr>
        <w:ind w:left="1440" w:hanging="360"/>
      </w:pPr>
    </w:lvl>
    <w:lvl w:ilvl="2" w:tplc="DACA1C80" w:tentative="1">
      <w:start w:val="1"/>
      <w:numFmt w:val="lowerRoman"/>
      <w:lvlText w:val="%3."/>
      <w:lvlJc w:val="right"/>
      <w:pPr>
        <w:ind w:left="2160" w:hanging="180"/>
      </w:pPr>
    </w:lvl>
    <w:lvl w:ilvl="3" w:tplc="B4908774" w:tentative="1">
      <w:start w:val="1"/>
      <w:numFmt w:val="decimal"/>
      <w:lvlText w:val="%4."/>
      <w:lvlJc w:val="left"/>
      <w:pPr>
        <w:ind w:left="2880" w:hanging="360"/>
      </w:pPr>
    </w:lvl>
    <w:lvl w:ilvl="4" w:tplc="F7E23BC4" w:tentative="1">
      <w:start w:val="1"/>
      <w:numFmt w:val="lowerLetter"/>
      <w:lvlText w:val="%5."/>
      <w:lvlJc w:val="left"/>
      <w:pPr>
        <w:ind w:left="3600" w:hanging="360"/>
      </w:pPr>
    </w:lvl>
    <w:lvl w:ilvl="5" w:tplc="3CE0BC82" w:tentative="1">
      <w:start w:val="1"/>
      <w:numFmt w:val="lowerRoman"/>
      <w:lvlText w:val="%6."/>
      <w:lvlJc w:val="right"/>
      <w:pPr>
        <w:ind w:left="4320" w:hanging="180"/>
      </w:pPr>
    </w:lvl>
    <w:lvl w:ilvl="6" w:tplc="5DD05BC2" w:tentative="1">
      <w:start w:val="1"/>
      <w:numFmt w:val="decimal"/>
      <w:lvlText w:val="%7."/>
      <w:lvlJc w:val="left"/>
      <w:pPr>
        <w:ind w:left="5040" w:hanging="360"/>
      </w:pPr>
    </w:lvl>
    <w:lvl w:ilvl="7" w:tplc="8E8634F4" w:tentative="1">
      <w:start w:val="1"/>
      <w:numFmt w:val="lowerLetter"/>
      <w:lvlText w:val="%8."/>
      <w:lvlJc w:val="left"/>
      <w:pPr>
        <w:ind w:left="5760" w:hanging="360"/>
      </w:pPr>
    </w:lvl>
    <w:lvl w:ilvl="8" w:tplc="E7AC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67D"/>
    <w:multiLevelType w:val="hybridMultilevel"/>
    <w:tmpl w:val="28DCFA44"/>
    <w:lvl w:ilvl="0" w:tplc="F210EFE6">
      <w:start w:val="1"/>
      <w:numFmt w:val="lowerLetter"/>
      <w:lvlText w:val="%1."/>
      <w:lvlJc w:val="left"/>
      <w:pPr>
        <w:ind w:left="1428" w:hanging="360"/>
      </w:pPr>
    </w:lvl>
    <w:lvl w:ilvl="1" w:tplc="0328814E" w:tentative="1">
      <w:start w:val="1"/>
      <w:numFmt w:val="lowerLetter"/>
      <w:lvlText w:val="%2."/>
      <w:lvlJc w:val="left"/>
      <w:pPr>
        <w:ind w:left="2148" w:hanging="360"/>
      </w:pPr>
    </w:lvl>
    <w:lvl w:ilvl="2" w:tplc="2D4C4A72" w:tentative="1">
      <w:start w:val="1"/>
      <w:numFmt w:val="lowerRoman"/>
      <w:lvlText w:val="%3."/>
      <w:lvlJc w:val="right"/>
      <w:pPr>
        <w:ind w:left="2868" w:hanging="180"/>
      </w:pPr>
    </w:lvl>
    <w:lvl w:ilvl="3" w:tplc="596E462A" w:tentative="1">
      <w:start w:val="1"/>
      <w:numFmt w:val="decimal"/>
      <w:lvlText w:val="%4."/>
      <w:lvlJc w:val="left"/>
      <w:pPr>
        <w:ind w:left="3588" w:hanging="360"/>
      </w:pPr>
    </w:lvl>
    <w:lvl w:ilvl="4" w:tplc="1F346DFC" w:tentative="1">
      <w:start w:val="1"/>
      <w:numFmt w:val="lowerLetter"/>
      <w:lvlText w:val="%5."/>
      <w:lvlJc w:val="left"/>
      <w:pPr>
        <w:ind w:left="4308" w:hanging="360"/>
      </w:pPr>
    </w:lvl>
    <w:lvl w:ilvl="5" w:tplc="C6449626" w:tentative="1">
      <w:start w:val="1"/>
      <w:numFmt w:val="lowerRoman"/>
      <w:lvlText w:val="%6."/>
      <w:lvlJc w:val="right"/>
      <w:pPr>
        <w:ind w:left="5028" w:hanging="180"/>
      </w:pPr>
    </w:lvl>
    <w:lvl w:ilvl="6" w:tplc="C52A8EA4" w:tentative="1">
      <w:start w:val="1"/>
      <w:numFmt w:val="decimal"/>
      <w:lvlText w:val="%7."/>
      <w:lvlJc w:val="left"/>
      <w:pPr>
        <w:ind w:left="5748" w:hanging="360"/>
      </w:pPr>
    </w:lvl>
    <w:lvl w:ilvl="7" w:tplc="C00AE3F2" w:tentative="1">
      <w:start w:val="1"/>
      <w:numFmt w:val="lowerLetter"/>
      <w:lvlText w:val="%8."/>
      <w:lvlJc w:val="left"/>
      <w:pPr>
        <w:ind w:left="6468" w:hanging="360"/>
      </w:pPr>
    </w:lvl>
    <w:lvl w:ilvl="8" w:tplc="3A7407D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5EF30E2"/>
    <w:multiLevelType w:val="hybridMultilevel"/>
    <w:tmpl w:val="94B0B3DC"/>
    <w:lvl w:ilvl="0" w:tplc="040A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07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E7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C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47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E6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6E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E2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C3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3906"/>
    <w:multiLevelType w:val="hybridMultilevel"/>
    <w:tmpl w:val="C56C3830"/>
    <w:lvl w:ilvl="0" w:tplc="0728C9A2">
      <w:start w:val="1"/>
      <w:numFmt w:val="lowerLetter"/>
      <w:lvlText w:val="%1."/>
      <w:lvlJc w:val="left"/>
      <w:pPr>
        <w:ind w:left="1428" w:hanging="360"/>
      </w:pPr>
    </w:lvl>
    <w:lvl w:ilvl="1" w:tplc="D05288C8" w:tentative="1">
      <w:start w:val="1"/>
      <w:numFmt w:val="lowerLetter"/>
      <w:lvlText w:val="%2."/>
      <w:lvlJc w:val="left"/>
      <w:pPr>
        <w:ind w:left="2148" w:hanging="360"/>
      </w:pPr>
    </w:lvl>
    <w:lvl w:ilvl="2" w:tplc="E8048958" w:tentative="1">
      <w:start w:val="1"/>
      <w:numFmt w:val="lowerRoman"/>
      <w:lvlText w:val="%3."/>
      <w:lvlJc w:val="right"/>
      <w:pPr>
        <w:ind w:left="2868" w:hanging="180"/>
      </w:pPr>
    </w:lvl>
    <w:lvl w:ilvl="3" w:tplc="92B21F6A" w:tentative="1">
      <w:start w:val="1"/>
      <w:numFmt w:val="decimal"/>
      <w:lvlText w:val="%4."/>
      <w:lvlJc w:val="left"/>
      <w:pPr>
        <w:ind w:left="3588" w:hanging="360"/>
      </w:pPr>
    </w:lvl>
    <w:lvl w:ilvl="4" w:tplc="9E78EC8C" w:tentative="1">
      <w:start w:val="1"/>
      <w:numFmt w:val="lowerLetter"/>
      <w:lvlText w:val="%5."/>
      <w:lvlJc w:val="left"/>
      <w:pPr>
        <w:ind w:left="4308" w:hanging="360"/>
      </w:pPr>
    </w:lvl>
    <w:lvl w:ilvl="5" w:tplc="574C5FB8" w:tentative="1">
      <w:start w:val="1"/>
      <w:numFmt w:val="lowerRoman"/>
      <w:lvlText w:val="%6."/>
      <w:lvlJc w:val="right"/>
      <w:pPr>
        <w:ind w:left="5028" w:hanging="180"/>
      </w:pPr>
    </w:lvl>
    <w:lvl w:ilvl="6" w:tplc="7BC48BDE" w:tentative="1">
      <w:start w:val="1"/>
      <w:numFmt w:val="decimal"/>
      <w:lvlText w:val="%7."/>
      <w:lvlJc w:val="left"/>
      <w:pPr>
        <w:ind w:left="5748" w:hanging="360"/>
      </w:pPr>
    </w:lvl>
    <w:lvl w:ilvl="7" w:tplc="37F06940" w:tentative="1">
      <w:start w:val="1"/>
      <w:numFmt w:val="lowerLetter"/>
      <w:lvlText w:val="%8."/>
      <w:lvlJc w:val="left"/>
      <w:pPr>
        <w:ind w:left="6468" w:hanging="360"/>
      </w:pPr>
    </w:lvl>
    <w:lvl w:ilvl="8" w:tplc="20ACBCC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2D1996"/>
    <w:multiLevelType w:val="hybridMultilevel"/>
    <w:tmpl w:val="2CAABED2"/>
    <w:lvl w:ilvl="0" w:tplc="C18CC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E978" w:tentative="1">
      <w:start w:val="1"/>
      <w:numFmt w:val="lowerLetter"/>
      <w:lvlText w:val="%2."/>
      <w:lvlJc w:val="left"/>
      <w:pPr>
        <w:ind w:left="1440" w:hanging="360"/>
      </w:pPr>
    </w:lvl>
    <w:lvl w:ilvl="2" w:tplc="42F29CB4" w:tentative="1">
      <w:start w:val="1"/>
      <w:numFmt w:val="lowerRoman"/>
      <w:lvlText w:val="%3."/>
      <w:lvlJc w:val="right"/>
      <w:pPr>
        <w:ind w:left="2160" w:hanging="180"/>
      </w:pPr>
    </w:lvl>
    <w:lvl w:ilvl="3" w:tplc="469C28CC" w:tentative="1">
      <w:start w:val="1"/>
      <w:numFmt w:val="decimal"/>
      <w:lvlText w:val="%4."/>
      <w:lvlJc w:val="left"/>
      <w:pPr>
        <w:ind w:left="2880" w:hanging="360"/>
      </w:pPr>
    </w:lvl>
    <w:lvl w:ilvl="4" w:tplc="7AD6ED6C" w:tentative="1">
      <w:start w:val="1"/>
      <w:numFmt w:val="lowerLetter"/>
      <w:lvlText w:val="%5."/>
      <w:lvlJc w:val="left"/>
      <w:pPr>
        <w:ind w:left="3600" w:hanging="360"/>
      </w:pPr>
    </w:lvl>
    <w:lvl w:ilvl="5" w:tplc="E426255C" w:tentative="1">
      <w:start w:val="1"/>
      <w:numFmt w:val="lowerRoman"/>
      <w:lvlText w:val="%6."/>
      <w:lvlJc w:val="right"/>
      <w:pPr>
        <w:ind w:left="4320" w:hanging="180"/>
      </w:pPr>
    </w:lvl>
    <w:lvl w:ilvl="6" w:tplc="92A2C900" w:tentative="1">
      <w:start w:val="1"/>
      <w:numFmt w:val="decimal"/>
      <w:lvlText w:val="%7."/>
      <w:lvlJc w:val="left"/>
      <w:pPr>
        <w:ind w:left="5040" w:hanging="360"/>
      </w:pPr>
    </w:lvl>
    <w:lvl w:ilvl="7" w:tplc="A8EAAB68" w:tentative="1">
      <w:start w:val="1"/>
      <w:numFmt w:val="lowerLetter"/>
      <w:lvlText w:val="%8."/>
      <w:lvlJc w:val="left"/>
      <w:pPr>
        <w:ind w:left="5760" w:hanging="360"/>
      </w:pPr>
    </w:lvl>
    <w:lvl w:ilvl="8" w:tplc="204EC9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69"/>
    <w:rsid w:val="000B1EC6"/>
    <w:rsid w:val="00445E69"/>
    <w:rsid w:val="00846547"/>
    <w:rsid w:val="00B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  <w:uiPriority w:val="99"/>
  </w:style>
  <w:style w:type="character" w:customStyle="1" w:styleId="NagwekZnak">
    <w:name w:val="Nagłówek Znak"/>
    <w:link w:val="Nagwek"/>
    <w:rsid w:val="001D157A"/>
    <w:rPr>
      <w:rFonts w:ascii="Arial" w:hAnsi="Arial" w:cs="Arial"/>
      <w:sz w:val="24"/>
      <w:szCs w:val="24"/>
    </w:rPr>
  </w:style>
  <w:style w:type="paragraph" w:customStyle="1" w:styleId="Departament">
    <w:name w:val="Departament"/>
    <w:link w:val="DepartamentZnak"/>
    <w:qFormat/>
    <w:rsid w:val="00C315F5"/>
    <w:pPr>
      <w:jc w:val="center"/>
    </w:pPr>
    <w:rPr>
      <w:rFonts w:ascii="Cambria" w:hAnsi="Cambria" w:cs="Arial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C315F5"/>
    <w:rPr>
      <w:rFonts w:ascii="Cambria" w:hAnsi="Cambria" w:cs="Arial"/>
      <w:color w:val="7F7F7F"/>
      <w:spacing w:val="-16"/>
      <w:sz w:val="26"/>
      <w:szCs w:val="26"/>
    </w:rPr>
  </w:style>
  <w:style w:type="paragraph" w:styleId="Tekstdymka">
    <w:name w:val="Balloon Text"/>
    <w:basedOn w:val="Normalny"/>
    <w:link w:val="TekstdymkaZnak"/>
    <w:rsid w:val="00C31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5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61BB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basedOn w:val="Domylnaczcionkaakapitu"/>
    <w:link w:val="Tekstpodstawowy2"/>
    <w:locked/>
    <w:rsid w:val="00CA61BB"/>
    <w:rPr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CA61BB"/>
    <w:pPr>
      <w:widowControl w:val="0"/>
      <w:shd w:val="clear" w:color="auto" w:fill="FFFFFF"/>
      <w:spacing w:line="396" w:lineRule="exact"/>
      <w:ind w:hanging="56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A61B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C009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009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00925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00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00925"/>
    <w:rPr>
      <w:rFonts w:ascii="Arial" w:hAnsi="Arial" w:cs="Arial"/>
      <w:b/>
      <w:bCs/>
    </w:rPr>
  </w:style>
  <w:style w:type="character" w:styleId="Hipercze">
    <w:name w:val="Hyperlink"/>
    <w:basedOn w:val="Domylnaczcionkaakapitu"/>
    <w:unhideWhenUsed/>
    <w:rsid w:val="00B60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WKI@men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WKI@men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1B6B-3A93-435A-86AE-FC6FCF78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3410</Words>
  <Characters>20465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2020-09-14T09:41:00Z</dcterms:created>
  <dcterms:modified xsi:type="dcterms:W3CDTF">2020-09-14T09:41:00Z</dcterms:modified>
</cp:coreProperties>
</file>