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751D" w14:textId="77777777" w:rsidR="00B94906" w:rsidRPr="00B94906" w:rsidRDefault="00B94906" w:rsidP="00B9490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z w:val="36"/>
          <w:szCs w:val="36"/>
        </w:rPr>
      </w:pPr>
      <w:bookmarkStart w:id="0" w:name="_Hlk128386706"/>
      <w:r w:rsidRPr="00B94906">
        <w:rPr>
          <w:rFonts w:asciiTheme="minorHAnsi" w:hAnsiTheme="minorHAnsi" w:cstheme="minorHAnsi"/>
          <w:noProof/>
          <w:sz w:val="36"/>
          <w:szCs w:val="36"/>
        </w:rPr>
        <w:drawing>
          <wp:inline distT="0" distB="0" distL="0" distR="0" wp14:anchorId="08323B2A" wp14:editId="661864EF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A19F" w14:textId="77777777" w:rsidR="00B94906" w:rsidRPr="00B94906" w:rsidRDefault="00B94906" w:rsidP="00B9490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B9490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DD3FA33" w14:textId="77777777" w:rsidR="00B94906" w:rsidRPr="00B94906" w:rsidRDefault="00B94906" w:rsidP="00B94906">
      <w:pPr>
        <w:pStyle w:val="Nagwek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B9490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60C937A" w14:textId="77777777" w:rsidR="00B94906" w:rsidRPr="00B94906" w:rsidRDefault="00B94906" w:rsidP="00B94906">
      <w:p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B94906">
        <w:rPr>
          <w:rFonts w:asciiTheme="minorHAnsi" w:hAnsiTheme="minorHAnsi" w:cstheme="minorHAnsi"/>
          <w:szCs w:val="22"/>
        </w:rPr>
        <w:t xml:space="preserve">Warszawa, </w:t>
      </w:r>
      <w:bookmarkStart w:id="1" w:name="ezdDataPodpisu"/>
      <w:r w:rsidRPr="00B94906">
        <w:rPr>
          <w:rFonts w:asciiTheme="minorHAnsi" w:hAnsiTheme="minorHAnsi" w:cstheme="minorHAnsi"/>
          <w:szCs w:val="22"/>
        </w:rPr>
        <w:t>03 kwietnia 2026</w:t>
      </w:r>
      <w:bookmarkEnd w:id="1"/>
      <w:r w:rsidRPr="00B94906">
        <w:rPr>
          <w:rFonts w:asciiTheme="minorHAnsi" w:hAnsiTheme="minorHAnsi" w:cstheme="minorHAnsi"/>
          <w:szCs w:val="22"/>
        </w:rPr>
        <w:t xml:space="preserve"> r.</w:t>
      </w:r>
    </w:p>
    <w:bookmarkEnd w:id="0"/>
    <w:p w14:paraId="6B8277A0" w14:textId="77777777" w:rsidR="00B94906" w:rsidRPr="00B94906" w:rsidRDefault="00B94906" w:rsidP="00B94906">
      <w:pPr>
        <w:pStyle w:val="Tekstpodstawowy"/>
        <w:spacing w:line="240" w:lineRule="auto"/>
        <w:jc w:val="left"/>
        <w:rPr>
          <w:rFonts w:asciiTheme="minorHAnsi" w:hAnsiTheme="minorHAnsi" w:cstheme="minorHAnsi"/>
          <w:i w:val="0"/>
          <w:szCs w:val="22"/>
        </w:rPr>
      </w:pPr>
      <w:r w:rsidRPr="00B94906">
        <w:rPr>
          <w:rFonts w:asciiTheme="minorHAnsi" w:hAnsiTheme="minorHAnsi" w:cstheme="minorHAnsi"/>
          <w:i w:val="0"/>
          <w:szCs w:val="22"/>
        </w:rPr>
        <w:t>DOOŚ-</w:t>
      </w:r>
      <w:bookmarkStart w:id="2" w:name="_Hlk34736742"/>
      <w:r w:rsidRPr="00B94906">
        <w:rPr>
          <w:rFonts w:asciiTheme="minorHAnsi" w:hAnsiTheme="minorHAnsi" w:cstheme="minorHAnsi"/>
          <w:i w:val="0"/>
          <w:szCs w:val="22"/>
        </w:rPr>
        <w:t>WDŚZOO.420.27.2023.KN.</w:t>
      </w:r>
      <w:bookmarkEnd w:id="2"/>
      <w:r w:rsidRPr="00B94906">
        <w:rPr>
          <w:rFonts w:asciiTheme="minorHAnsi" w:hAnsiTheme="minorHAnsi" w:cstheme="minorHAnsi"/>
          <w:i w:val="0"/>
          <w:szCs w:val="22"/>
        </w:rPr>
        <w:t>108</w:t>
      </w:r>
    </w:p>
    <w:p w14:paraId="073419D5" w14:textId="77777777" w:rsidR="00B94906" w:rsidRPr="00B94906" w:rsidRDefault="00B94906" w:rsidP="00B94906">
      <w:pPr>
        <w:jc w:val="left"/>
        <w:rPr>
          <w:rFonts w:asciiTheme="minorHAnsi" w:hAnsiTheme="minorHAnsi" w:cstheme="minorHAnsi"/>
        </w:rPr>
      </w:pPr>
    </w:p>
    <w:p w14:paraId="74CFB8A6" w14:textId="77777777" w:rsidR="00B94906" w:rsidRPr="00B94906" w:rsidRDefault="00B94906" w:rsidP="00B94906">
      <w:pPr>
        <w:jc w:val="left"/>
        <w:rPr>
          <w:rFonts w:asciiTheme="minorHAnsi" w:hAnsiTheme="minorHAnsi" w:cstheme="minorHAnsi"/>
        </w:rPr>
      </w:pPr>
    </w:p>
    <w:p w14:paraId="5FEBA1F4" w14:textId="77777777" w:rsidR="00B94906" w:rsidRPr="00B94906" w:rsidRDefault="00B94906" w:rsidP="00B94906">
      <w:pPr>
        <w:jc w:val="left"/>
        <w:rPr>
          <w:rFonts w:asciiTheme="minorHAnsi" w:hAnsiTheme="minorHAnsi" w:cstheme="minorHAnsi"/>
        </w:rPr>
      </w:pPr>
    </w:p>
    <w:p w14:paraId="6DB0EBF9" w14:textId="77777777" w:rsidR="00B94906" w:rsidRPr="00B94906" w:rsidRDefault="00B94906" w:rsidP="00B94906">
      <w:pPr>
        <w:spacing w:after="240"/>
        <w:jc w:val="left"/>
        <w:rPr>
          <w:rFonts w:asciiTheme="minorHAnsi" w:hAnsiTheme="minorHAnsi" w:cstheme="minorHAnsi"/>
          <w:sz w:val="26"/>
          <w:szCs w:val="26"/>
        </w:rPr>
      </w:pPr>
      <w:r w:rsidRPr="00B94906">
        <w:rPr>
          <w:rFonts w:asciiTheme="minorHAnsi" w:hAnsiTheme="minorHAnsi" w:cstheme="minorHAnsi"/>
          <w:sz w:val="26"/>
          <w:szCs w:val="26"/>
        </w:rPr>
        <w:t>POSTANOWIENIE</w:t>
      </w:r>
    </w:p>
    <w:p w14:paraId="3759A399" w14:textId="77777777" w:rsidR="00B94906" w:rsidRPr="00B94906" w:rsidRDefault="00B94906" w:rsidP="00B94906">
      <w:pPr>
        <w:pStyle w:val="Tekstpodstawowy"/>
        <w:spacing w:after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Generalny Dyrektor Ochrony Środowiska, po rozpatrzeniu wniosku Centralnego Portu Komunikacyjnego Sp. z o.o. z 14 marca 2026 r. o wyjaśnienie wątpliwości co do treści decyzji GDOŚ z 30 grudnia 2025 r., znak: DOOŚ-WDŚZOO.420.27.2023.KN.94, na podstawie art. 113 § 2 ustawy z dnia 14 czerwca 1960 r. – Kodeks postępowania administracyjnego (Dz. U. z 2025 r. poz. 1691), dalej k.p.a.,</w:t>
      </w:r>
    </w:p>
    <w:p w14:paraId="04E5ED0B" w14:textId="77777777" w:rsidR="00B94906" w:rsidRPr="00B94906" w:rsidRDefault="00B94906" w:rsidP="00B94906">
      <w:pPr>
        <w:pStyle w:val="Tekstpodstawowy"/>
        <w:spacing w:after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wyjaśnia</w:t>
      </w:r>
    </w:p>
    <w:p w14:paraId="03C364EA" w14:textId="77777777" w:rsidR="00B94906" w:rsidRPr="00B94906" w:rsidRDefault="00B94906" w:rsidP="00B94906">
      <w:pPr>
        <w:pStyle w:val="Tekstpodstawowy"/>
        <w:numPr>
          <w:ilvl w:val="0"/>
          <w:numId w:val="21"/>
        </w:numPr>
        <w:spacing w:after="120"/>
        <w:ind w:left="0" w:firstLine="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że punkt II.11.b decyzji należy rozumieć w ten sposób, że określone w nim sposoby minimalizacji zużycia wody stanowią katalog zamknięty i wymagane jest stosowanie wszystkich działań, o których mowa w tym punkcie. Decyzja nie zakazuje natomiast stosowania innych, niewymienionych w tym punkcie, sposobów minimalizacji zużycia wody;</w:t>
      </w:r>
    </w:p>
    <w:p w14:paraId="7A031509" w14:textId="77777777" w:rsidR="00B94906" w:rsidRPr="00B94906" w:rsidRDefault="00B94906" w:rsidP="00B94906">
      <w:pPr>
        <w:pStyle w:val="Tekstpodstawowy"/>
        <w:numPr>
          <w:ilvl w:val="0"/>
          <w:numId w:val="21"/>
        </w:numPr>
        <w:spacing w:after="120"/>
        <w:ind w:left="0" w:firstLine="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że punkt II.11.f decyzji należy rozumieć w ten sposób, że określa on ciąg czynności, którym należy poddać wody opadowe i roztopowe z powierzchni utwardzonych lotniska, aby wody te osiągnęły takie parametry, że będzie dopuszczalne ich wprowadzenie do wód lub urządzeń wodnych</w:t>
      </w:r>
      <w:bookmarkStart w:id="3" w:name="_Hlk224902709"/>
      <w:r w:rsidRPr="00B94906">
        <w:rPr>
          <w:rFonts w:asciiTheme="minorHAnsi" w:hAnsiTheme="minorHAnsi" w:cstheme="minorHAnsi"/>
          <w:i w:val="0"/>
        </w:rPr>
        <w:t>;</w:t>
      </w:r>
      <w:bookmarkEnd w:id="3"/>
    </w:p>
    <w:p w14:paraId="634AE4AA" w14:textId="77777777" w:rsidR="00B94906" w:rsidRPr="00B94906" w:rsidRDefault="00B94906" w:rsidP="00B94906">
      <w:pPr>
        <w:pStyle w:val="Tekstpodstawowy"/>
        <w:numPr>
          <w:ilvl w:val="0"/>
          <w:numId w:val="21"/>
        </w:numPr>
        <w:spacing w:after="120"/>
        <w:ind w:left="0" w:firstLine="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że punkt II.11.i decyzji należy rozumieć w ten sposób, że określa on ciąg czynności, którym należy poddać wody opadowe i roztopowe z dróg, aby wody te osiągnęły takie parametry, że będzie dopuszczalne ich wprowadzenie do wód lub urządzeń wodnych;</w:t>
      </w:r>
    </w:p>
    <w:p w14:paraId="4B334B43" w14:textId="77777777" w:rsidR="00B94906" w:rsidRPr="00B94906" w:rsidRDefault="00B94906" w:rsidP="00B94906">
      <w:pPr>
        <w:pStyle w:val="Tekstpodstawowy"/>
        <w:numPr>
          <w:ilvl w:val="0"/>
          <w:numId w:val="21"/>
        </w:numPr>
        <w:spacing w:after="120"/>
        <w:ind w:left="0" w:firstLine="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że punkt II.16 decyzji należy rozumieć w ten sposób, że określone w nim sposoby redukcji ryzyka kolizji ptaków z samolotami stanowią katalog zamknięty i wymagane jest stosowanie wszystkich działań, o których mowa w tym punkcie. Decyzja nie zakazuje natomiast stosowania innych, niewymienionych w tym punkcie, sposobów redukcji ryzyka kolizji ptaków z samolotami;</w:t>
      </w:r>
    </w:p>
    <w:p w14:paraId="09DB2CB3" w14:textId="77777777" w:rsidR="00B94906" w:rsidRPr="00B94906" w:rsidRDefault="00B94906" w:rsidP="00B94906">
      <w:pPr>
        <w:pStyle w:val="Tekstpodstawowy"/>
        <w:numPr>
          <w:ilvl w:val="0"/>
          <w:numId w:val="21"/>
        </w:numPr>
        <w:spacing w:after="120"/>
        <w:ind w:left="0" w:firstLine="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że punkt III.12.d decyzji należy rozumieć w ten sposób, że zawarte w nim wymagania dotyczą zarówno cieków naturalnych, jak i rowów melioracyjnych;</w:t>
      </w:r>
    </w:p>
    <w:p w14:paraId="384E7CF6" w14:textId="77777777" w:rsidR="00B94906" w:rsidRPr="00B94906" w:rsidRDefault="00B94906" w:rsidP="00B94906">
      <w:pPr>
        <w:pStyle w:val="Tekstpodstawowy"/>
        <w:numPr>
          <w:ilvl w:val="0"/>
          <w:numId w:val="21"/>
        </w:numPr>
        <w:spacing w:after="120"/>
        <w:ind w:left="0" w:firstLine="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odmawia wyjaśnienia wątpliwości co do treści punktu III.12.e decyzji.</w:t>
      </w:r>
    </w:p>
    <w:p w14:paraId="361CAA1B" w14:textId="77777777" w:rsidR="00B94906" w:rsidRPr="00B94906" w:rsidRDefault="00B94906" w:rsidP="00B94906">
      <w:pPr>
        <w:spacing w:after="120"/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>Uzasadnienie</w:t>
      </w:r>
    </w:p>
    <w:p w14:paraId="04B6A541" w14:textId="77777777" w:rsidR="00B94906" w:rsidRPr="00B94906" w:rsidRDefault="00B94906" w:rsidP="00B94906">
      <w:pPr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  <w:iCs/>
        </w:rPr>
        <w:lastRenderedPageBreak/>
        <w:t xml:space="preserve">Decyzją z 30 grudnia 2025 r. GDOŚ, po rozpatrzeniu wniesionych odwołań, </w:t>
      </w:r>
      <w:r w:rsidRPr="00B94906">
        <w:rPr>
          <w:rFonts w:asciiTheme="minorHAnsi" w:hAnsiTheme="minorHAnsi" w:cstheme="minorHAnsi"/>
        </w:rPr>
        <w:t xml:space="preserve">na podstawie art. 138 § 1 pkt 1 i 2 k.p.a. oraz art. 71 ust. 2 pkt 1 i 2 i art. 82 ust. 1 ustawy z dnia 3 października 2008 r. </w:t>
      </w:r>
      <w:r w:rsidRPr="00B94906">
        <w:rPr>
          <w:rFonts w:asciiTheme="minorHAnsi" w:hAnsiTheme="minorHAnsi" w:cstheme="minorHAnsi"/>
          <w:iCs/>
        </w:rPr>
        <w:t xml:space="preserve">o udostępnianiu informacji o środowisku i jego ochronie, udziale społeczeństwa w ochronie środowiska oraz o ocenach oddziaływania na </w:t>
      </w:r>
      <w:r w:rsidRPr="00B94906">
        <w:rPr>
          <w:rFonts w:asciiTheme="minorHAnsi" w:hAnsiTheme="minorHAnsi" w:cstheme="minorHAnsi"/>
        </w:rPr>
        <w:t>środowisko (Dz. U. z 2024 r. poz. 1112, ze zm.),</w:t>
      </w:r>
      <w:r w:rsidRPr="00B94906">
        <w:rPr>
          <w:rFonts w:asciiTheme="minorHAnsi" w:hAnsiTheme="minorHAnsi" w:cstheme="minorHAnsi"/>
          <w:color w:val="FF0000"/>
        </w:rPr>
        <w:t xml:space="preserve"> </w:t>
      </w:r>
      <w:r w:rsidRPr="00B94906">
        <w:rPr>
          <w:rFonts w:asciiTheme="minorHAnsi" w:hAnsiTheme="minorHAnsi" w:cstheme="minorHAnsi"/>
        </w:rPr>
        <w:t xml:space="preserve">dalej u.o.o.ś., </w:t>
      </w:r>
      <w:r w:rsidRPr="00B94906">
        <w:rPr>
          <w:rFonts w:asciiTheme="minorHAnsi" w:hAnsiTheme="minorHAnsi" w:cstheme="minorHAnsi"/>
          <w:iCs/>
        </w:rPr>
        <w:t xml:space="preserve">uchylił decyzję </w:t>
      </w:r>
      <w:r w:rsidRPr="00B94906">
        <w:rPr>
          <w:rFonts w:asciiTheme="minorHAnsi" w:hAnsiTheme="minorHAnsi" w:cstheme="minorHAnsi"/>
        </w:rPr>
        <w:t xml:space="preserve">Regionalnego Dyrektora Ochrony Środowiska </w:t>
      </w:r>
      <w:bookmarkStart w:id="4" w:name="_Hlk188954144"/>
      <w:r w:rsidRPr="00B94906">
        <w:rPr>
          <w:rFonts w:asciiTheme="minorHAnsi" w:hAnsiTheme="minorHAnsi" w:cstheme="minorHAnsi"/>
        </w:rPr>
        <w:t>w z 7 lipca 2023 r., znak: WOOŚ-II.420.85.2022.MP.278, o środowiskowych uwarunkowaniach dla przedsięwzięcia pod nazwą: „Budowa Centralnego Portu Komunikacyjnego wraz z urządzeniami i obiektami niezbędnymi do jego funkcjonowania” w części i w tym zakresie orzekł co do istoty sprawy, a w pozostałej części utrzymał decyzję w mocy</w:t>
      </w:r>
      <w:bookmarkEnd w:id="4"/>
      <w:r w:rsidRPr="00B94906">
        <w:rPr>
          <w:rFonts w:asciiTheme="minorHAnsi" w:hAnsiTheme="minorHAnsi" w:cstheme="minorHAnsi"/>
        </w:rPr>
        <w:t>.</w:t>
      </w:r>
    </w:p>
    <w:p w14:paraId="6DEE611D" w14:textId="77777777" w:rsidR="00B94906" w:rsidRPr="00B94906" w:rsidRDefault="00B94906" w:rsidP="00B94906">
      <w:pPr>
        <w:spacing w:before="120"/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>Pismem z 14 marca 2026 r. Centralny Port Komunikacyjny Sp. z o.o. wniósł o wyjaśnienie, w jaki sposób należy rozumieć treść decyzji GDOŚ z 30 grudnia 2025 r. w zakresie punktów: II.11.b, II.11.f, II.11.i, II.16, III.12.d, III.12.e.</w:t>
      </w:r>
    </w:p>
    <w:p w14:paraId="6D107FB5" w14:textId="77777777" w:rsidR="00B94906" w:rsidRPr="00B94906" w:rsidRDefault="00B94906" w:rsidP="00B94906">
      <w:pPr>
        <w:keepNext/>
        <w:spacing w:before="120" w:after="120"/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>GDOŚ ustalił i zważył, co następuje.</w:t>
      </w:r>
    </w:p>
    <w:p w14:paraId="2D002B6E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 xml:space="preserve">W punkcie II.11 na str. 15-16 decyzji z 30 grudnia 2025 r. GDOŚ nałożył na inwestora obowiązki dotyczące ochrony środowiska gruntowo-wodnego na etapie eksploatacji przedsięwzięcia, w tym w pkt II.11.b określił sposoby minimalizowania zużycia wody. W nawiązaniu do tego punktu inwestor wniósł o wyjaśnienie, </w:t>
      </w:r>
      <w:r w:rsidRPr="00B94906">
        <w:rPr>
          <w:rFonts w:asciiTheme="minorHAnsi" w:hAnsiTheme="minorHAnsi" w:cstheme="minorHAnsi"/>
          <w:iCs w:val="0"/>
        </w:rPr>
        <w:t>czy wskazane sposoby minimalizacji zużycia wody należy traktować jako katalog zamknięty, czy też dopuszczalne jest stosowanie innych, niewymienionych, lecz zgodnych z przepisami szczegółowymi rozwiązań ukierunkowanych na ograniczenie zużycia wody</w:t>
      </w:r>
      <w:r w:rsidRPr="00B94906">
        <w:rPr>
          <w:rFonts w:asciiTheme="minorHAnsi" w:hAnsiTheme="minorHAnsi" w:cstheme="minorHAnsi"/>
          <w:i w:val="0"/>
        </w:rPr>
        <w:t xml:space="preserve"> (str. 2 wniosku z 14 marca 2026 r.).</w:t>
      </w:r>
    </w:p>
    <w:p w14:paraId="7A8EEB5B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Pkt II.11.b decyzji GDOŚ z 30 grudnia 2025 r. nie wskazuje jednoznacznie, że zaproponowane w jego treści rozwiązania służące ograniczeniu zużycia wody stanowią katalog zamknięty, zatem wątpliwości inwestora co do interpretacji tego punktu należy uznać za uzasadnione. Warunek określony w pkt II.11.b należy zatem rozumieć w ten sposób, że obliguje on inwestora do stosowania każdego z rozwiązań zawartych w tym punkcie, co nie wyklucza jednak podjęcia także innych działań, które również będą przyczyniać się ograniczenia zużycia wody. W związku z powyższym w punkcie 1 niniejszego postanowienia GDOŚ wyjaśnił, że wymagane jest stosowanie wszystkich działań, o których mowa w pkt II.11.b decyzji GDOŚ z 30 grudnia 2025 r., lecz jednocześnie decyzja ta nie zakazuje stosowania innych sposobów, które mogą służyć minimalizacji zużycia wody.</w:t>
      </w:r>
    </w:p>
    <w:p w14:paraId="57E7FE70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W pkt II.11.f decyzji z 30 grudnia 2025 r. GDOŚ sformułował zasady postępowania z wodami opadowymi i roztopowymi z powierzchni utwardzonych lotniska. W odniesieniu do tego punktu wnioskodawca wystąpił o doprecyzowanie (str. 2 wniosku z 14 marca 2026 r.):</w:t>
      </w:r>
    </w:p>
    <w:p w14:paraId="7A18FC9B" w14:textId="77777777" w:rsidR="00B94906" w:rsidRPr="00B94906" w:rsidRDefault="00B94906" w:rsidP="00B94906">
      <w:pPr>
        <w:pStyle w:val="Tekstpodstawowy"/>
        <w:numPr>
          <w:ilvl w:val="0"/>
          <w:numId w:val="23"/>
        </w:numPr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 xml:space="preserve">czy </w:t>
      </w:r>
      <w:bookmarkStart w:id="5" w:name="_Hlk224905063"/>
      <w:r w:rsidRPr="00B94906">
        <w:rPr>
          <w:rFonts w:asciiTheme="minorHAnsi" w:hAnsiTheme="minorHAnsi" w:cstheme="minorHAnsi"/>
        </w:rPr>
        <w:t>wskazany sposób postępowania z wodami opadowymi i roztopowymi należy rozumieć jako zamknięty katalog działań</w:t>
      </w:r>
      <w:bookmarkEnd w:id="5"/>
      <w:r w:rsidRPr="00B94906">
        <w:rPr>
          <w:rFonts w:asciiTheme="minorHAnsi" w:hAnsiTheme="minorHAnsi" w:cstheme="minorHAnsi"/>
        </w:rPr>
        <w:t>, z których wszystkie należy stosować do każdego typu powierzchni utwardzonych,</w:t>
      </w:r>
    </w:p>
    <w:p w14:paraId="2B9FB20F" w14:textId="77777777" w:rsidR="00B94906" w:rsidRPr="00B94906" w:rsidRDefault="00B94906" w:rsidP="00B94906">
      <w:pPr>
        <w:pStyle w:val="Tekstpodstawowy"/>
        <w:numPr>
          <w:ilvl w:val="0"/>
          <w:numId w:val="23"/>
        </w:numPr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 xml:space="preserve">czy też w zależności od lokalizacji, typu powierzchni, uwarunkowań technicznych i obowiązujących przepisów szczegółowych Projektant ma prawo dobrać odpowiednie rozwiązania i środki ochrony środowiska gruntowo-wodnego. </w:t>
      </w:r>
    </w:p>
    <w:p w14:paraId="287EA4B8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lastRenderedPageBreak/>
        <w:t>W ocenie GDOŚ powyższe pytania zostały postawione w sposób nietrafiony, ponieważ nie zawierają dwóch alternatywnych, wzajemnie wykluczających się, możliwości wyjaśnienia treści warunku zawartego w pkt II.11.f decyzji GDOŚ z 30 grudnia 2025 r. Jednak z tego pytania wynika, że  pkt II.11.f został sformułowany w sposób niejednoznaczny, co utrudniło wnioskodawcy prawidłowe odkodowanie jego treści. Wskazany w tym punkcie sposób postępowania z wodami opadowymi i roztopowymi nie może być bowiem rozumiany jako zamknięty lub otwarty „katalog działań”. Warunek ten w istocie określa przebieg procesu oczyszczania – ciąg czynności, którym należy poddać wody opadowe i roztopowe z powierzchni utwardzonych lotniska, aby wody te osiągnęły takie parametry, że będzie dopuszczalne ich wprowadzenie do wód lub urządzeń wodnych. Zgodnie z § 17 ust. 1 pkt 1 rozporządzenia Ministra Gospodarki Morskiej i Żeglugi Śródlądowej z dnia 12 lipca 2019 r. w sprawie substancji szczególnie szkodliwych dla środowiska wodnego oraz warunków, jakie należy spełnić przy wprowadzaniu do wód lub do ziemi ścieków, a także przy odprowadzaniu wód opadowych lub roztopowych do wód lub do urządzeń wodnych (Dz. U. poz. 1311) wody opadowe lub roztopowe, ujęte w otwarte lub zamknięte systemy kanalizacyjne, pochodzące z zanieczyszczonej powierzchni szczelnej: terenów przemysłowych, składowych, baz transportowych, portów, lotnisk, miast, dróg zaliczanych do kategorii dróg krajowych, wojewódzkich lub powiatowych klasy G, a także parkingów o powierzchni powyżej 0,1 ha, w ilości, jaka powstaje z opadów o natężeniu co najmniej 15 l na sekundę na 1 ha, mogą być wprowadzane do wód lub do urządzeń wodnych, z wyjątkiem przypadków, o których mowa w art. 75a p.w., o ile nie zawierają substancji zanieczyszczających w ilościach przekraczających 100 mg/l zawiesiny ogólnej oraz 15 mg/l węglowodorów ropopochodnych. Ponadto zgodnie z § 17 ust. 2 powyższego rozporządzenia wody opadowe lub roztopowe pochodzące z powierzchni innych niż powierzchnie, o których mowa w ust. 1, mogą być wprowadzane do wód lub do urządzeń wodnych, z wyjątkiem przypadków, o których mowa w art. 75a p.w., bez oczyszczania.</w:t>
      </w:r>
    </w:p>
    <w:p w14:paraId="1D81F452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Zatem istotą warunku zawartego w pkt II.11.f decyzji GDOŚ z 30 grudnia 2025 r. jest obowiązek takiego oczyszczenia wód opadowych i roztopowych z powierzchni utwardzonych lotniska, aby zawierały one mniej niż 100 mg/l zawiesiny ogólnej oraz 15 mg/l węglowodorów ropopochodnych przed odprowadzeniem do odbiorników.</w:t>
      </w:r>
    </w:p>
    <w:p w14:paraId="1D86C096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Jest oczywiste, że w celu spełnienia powyższych wymagań przez wody opadowe i roztopowe, w zależności od rodzaju nawierzchni i innych uwarunkowań, projektant ma prawo „dobrać odpowiednie rozwiązania i środki ochrony środowiska gruntowo-wodnego”. Nie oznacza to jednak, że możliwe jest pominięcie stosowania całości lub części obowiązków określonych w pkt II.11.f decyzji GDOŚ z 30 grudnia 2025 r.</w:t>
      </w:r>
    </w:p>
    <w:p w14:paraId="55970951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Analogiczne ustalenia znajdują zastosowanie do pkt II.11.i decyzji GDOŚ z 30 grudnia 2025 r., który dotyczy wód opadowych i roztopowych z dróg. Stąd też w punktach 2 i 3 niniejszego postanowienia GDOŚ wyjaśnił, że punkty II.11.f i II.11.i określają ciąg czynności, którym należy poddać wody opadowe i roztopowe z powierzchni utwardzonych lotniska lub z dróg, aby wody te osiągnęły takie parametry, że będzie dopuszczalne ich wprowadzenie do wód lub urządzeń wodnych.</w:t>
      </w:r>
    </w:p>
    <w:p w14:paraId="1E4D4590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lastRenderedPageBreak/>
        <w:t xml:space="preserve">W punkcie II.16 na str. 18 decyzji z 30 grudnia 2025 r. GDOŚ nałożył na inwestora obowiązki służące ograniczeniu ryzyka kolizji ptaków z samolotami. W nawiązaniu do tego punktu inwestor wniósł o wyjaśnienie, </w:t>
      </w:r>
      <w:r w:rsidRPr="00B94906">
        <w:rPr>
          <w:rFonts w:asciiTheme="minorHAnsi" w:hAnsiTheme="minorHAnsi" w:cstheme="minorHAnsi"/>
          <w:iCs w:val="0"/>
        </w:rPr>
        <w:t>czy intencją Organu było nałożenie obowiązku stosowania wszystkich wymienionych działań i tylko tych, bez względu na ich skuteczność i zasadność oraz możliwości techniczne ich stosowania? Czy też zapisy dotyczące działań ograniczających ryzyko kolizji ptaków z samolotami należy traktować jako katalog otwarty, umożliwiający operatorowi lotniska elastyczne dostosowywanie stosowanych środków do aktualnych potrzeb bezpieczeństwa ruchu lotniczego. Czy jest możliwość zarówno wprowadzania działań niewymienionych w punkcie II.16, jak i czasowego włączania lub wyłączania działań w nim wskazanych</w:t>
      </w:r>
      <w:r w:rsidRPr="00B94906">
        <w:rPr>
          <w:rFonts w:asciiTheme="minorHAnsi" w:hAnsiTheme="minorHAnsi" w:cstheme="minorHAnsi"/>
          <w:i w:val="0"/>
        </w:rPr>
        <w:t xml:space="preserve"> (str. 3 wniosku z 14 marca 2026 r.).</w:t>
      </w:r>
    </w:p>
    <w:p w14:paraId="157276B0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 xml:space="preserve">W pkt II.16 decyzji GDOŚ z 30 grudnia 2025 r. nie wskazano jednoznacznie, że określone w jego treści obowiązki stanowią katalog zamknięty, stąd też uprawnione są wątpliwości inwestora co do możliwości interpretacji tego punktu. Pkt II.16 nie może być zatem rozumiany w ten sposób, że istnieje możliwość „czasowego włączania lub wyłączania działań w nim wskazanych”. Obowiązki dotyczące zmniejszania ryzyka kolizji ptaków z samolotami zostały sformułowane w oparciu o ustalenia przedstawione w treści raportu, w szczególności w t. V na str. 166. Z ustaleń tych nie wynika, że którekolwiek z tych działań mogą być nieskuteczne, bezzasadne lub z innych względów niemożliwe do realizacji. Co więcej, na str. 116 uzupełnienia raportu z 12 lutego 2024 r. wskazano, że </w:t>
      </w:r>
      <w:r w:rsidRPr="00B94906">
        <w:rPr>
          <w:rFonts w:asciiTheme="minorHAnsi" w:hAnsiTheme="minorHAnsi" w:cstheme="minorHAnsi"/>
          <w:iCs w:val="0"/>
        </w:rPr>
        <w:t>przewidziane środki minimalizujące w Tomie V są adekwatne do przewidywanego zagrożenia oraz zgodne z aktualną wiedzą i praktyką w ograniczaniu śmiertelności ptaków</w:t>
      </w:r>
      <w:r w:rsidRPr="00B94906">
        <w:rPr>
          <w:rFonts w:asciiTheme="minorHAnsi" w:hAnsiTheme="minorHAnsi" w:cstheme="minorHAnsi"/>
          <w:i w:val="0"/>
        </w:rPr>
        <w:t xml:space="preserve">. Stąd też GDOŚ na ich podstawie sformułował pkt II.16 decyzji z 30 grudnia 2025 r., z którego wynika konieczność prowadzenia wszystkich wymienionych w nim działań. Z drugiej strony, warunek ten nie wyklucza jednak możliwości stosowania innych metod ograniczania ryzyka kolizji ptaków z samolotami, które są zgodne z obowiązującymi przepisami prawa. W związku z powyższym w punkcie 4 niniejszego postanowienia GDOŚ wyjaśnił, że wymagane jest stosowanie wszystkich działań, o których mowa w pkt II.16 decyzji GDOŚ z 30 grudnia 2025 r., lecz jednocześnie decyzja ta nie zakazuje stosowania innych sposobów, które mogą służyć ograniczeniu ryzyka kolizji ptaków z samolotami. </w:t>
      </w:r>
    </w:p>
    <w:p w14:paraId="633FFB74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 xml:space="preserve">W punkcie III.12 na str. 46-47 decyzji z 30 grudnia 2025 r. GDOŚ wskazał wymagania projektowe dla obiektów inżynierskich (mostów, przepustów) kolidujących z korytami cieków. W nawiązaniu do pkt III.12.d inwestor wniósł o wyjaśnienie, </w:t>
      </w:r>
      <w:r w:rsidRPr="00B94906">
        <w:rPr>
          <w:rFonts w:asciiTheme="minorHAnsi" w:hAnsiTheme="minorHAnsi" w:cstheme="minorHAnsi"/>
          <w:iCs w:val="0"/>
        </w:rPr>
        <w:t>czy warunek III.12.d odnosi się tylko do cieków naturalnych z wyłączeniem urządzeń wodnych czy też zarówno do jednych i drugich</w:t>
      </w:r>
      <w:r w:rsidRPr="00B94906">
        <w:rPr>
          <w:rFonts w:asciiTheme="minorHAnsi" w:hAnsiTheme="minorHAnsi" w:cstheme="minorHAnsi"/>
          <w:i w:val="0"/>
        </w:rPr>
        <w:t xml:space="preserve"> (str. 3 wniosku z 14 marca 2026 r.).</w:t>
      </w:r>
    </w:p>
    <w:p w14:paraId="289E6FDA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 xml:space="preserve">W pkt III.12 decyzji z 30 grudnia 2025 r. GDOŚ nie sformułował w sposób jednoznaczny, że określone w jego treści obowiązki dotyczą cieków o charakterze zarówno naturalnym, jak i sztucznym. Stąd też kwestia ta zasadnie mogła budzić wątpliwości wnioskodawcy. Warunek określony w pkt III.12.d należy rozpatrywać w kontekście celu, dla którego został ustanowiony. Zaprojektowanie przepustów o wymaganej minimalnej szerokości oraz minimalnej głębokości koryta służyć będzie migracji ryb i minogów wzdłuż cieków, które będą krzyżować się projektowanymi ciągami komunikacyjnymi. Na str. 436-441 erraty do raportu z 2 marca 2023 r. inwestor wskazał, na których odcinkach rzek zidentyfikowano chronione gatunki ryb. Do tych cieków należą rowy melioracyjne: Dopływ z Nowego </w:t>
      </w:r>
      <w:r w:rsidRPr="00B94906">
        <w:rPr>
          <w:rFonts w:asciiTheme="minorHAnsi" w:hAnsiTheme="minorHAnsi" w:cstheme="minorHAnsi"/>
          <w:i w:val="0"/>
        </w:rPr>
        <w:lastRenderedPageBreak/>
        <w:t>Oryszewa (rów PG-31) i Dopływ spod Aleksandrowa (rów PG-3). Rowy te będą podlegać przebudowie w związku z realizacją przedsięwzięcia, zgodnie z warunkami określonymi w pkt III.14 decyzji GDOŚ z 30 grudnia 2025 r. Nie można wykluczyć, że po zakończeniu przebudowy zostaną ponownie zasiedlone przez gatunki ryb bytujących w rzece Pisia Gągolina. Stąd też w punkcie 5 niniejszego postanowienia GDOŚ wyjaśnił, że jego intencją przy określeniu pkt III.12.d było zapewnienie drożności przepustów dla migracji ryb i minogów wzdłuż cieków będących nie tylko ciekami naturalnymi, ale także i rowami melioracyjnymi.</w:t>
      </w:r>
    </w:p>
    <w:p w14:paraId="6135C873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 xml:space="preserve">W nawiązaniu do punktu III.12.e inwestor wniósł o wyjaśnienie, </w:t>
      </w:r>
      <w:r w:rsidRPr="00B94906">
        <w:rPr>
          <w:rFonts w:asciiTheme="minorHAnsi" w:hAnsiTheme="minorHAnsi" w:cstheme="minorHAnsi"/>
          <w:iCs w:val="0"/>
        </w:rPr>
        <w:t xml:space="preserve">jakich przepływów powodziowych dotyczą wymagania, w szczególności w kontekście wpływu piętrzeń na grunty sąsiednie, ponieważ w praktyce projektowej oraz w obowiązujących przepisach technicznych dla przepływów powodziowych o niskim prawdopodobieństwie dopuszcza się niewielkie piętrzenia, bez wpływu na grunty sąsiednie i bez znaczącego wpływu na warunki przepływu </w:t>
      </w:r>
      <w:r w:rsidRPr="00B94906">
        <w:rPr>
          <w:rFonts w:asciiTheme="minorHAnsi" w:hAnsiTheme="minorHAnsi" w:cstheme="minorHAnsi"/>
          <w:i w:val="0"/>
        </w:rPr>
        <w:t>(str. 3-4 wniosku z 14 marca 2026 r.).</w:t>
      </w:r>
    </w:p>
    <w:p w14:paraId="6757BDD7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>W ocenie GDOŚ pkt III.12.e decyzji z 30 grudnia 2025 r. nie zawiera niejasnych wyrażeń, zwrotów czy skrótów. Nie jest też sformułowany ani w sposób niejednoznaczny – co skutkowałoby możliwością odmiennego odczytania jego treści, ani w sposób zawiły – co z kolei uniemożliwiałoby ustalenie jakiegokolwiek jego sensu. Przywołana część decyzji nie rodzi żadnych trudności interpretacyjnych, a zatem brak jest konieczności dokonywania wyjaśnień treści decyzji w tym zakresie. Proponowane we wniosku wyjaśnienie w istocie polegałoby na uzupełnieniu decyzji, co wykracza poza zakres postępowania opartego o art. 113 § 2 k.p.a.  W związku z powyższym w punkcie 6 niniejszego postanowienia GDOŚ odmówił wyjaśnienia wątpliwości co do treści tego punktu.</w:t>
      </w:r>
    </w:p>
    <w:p w14:paraId="2C1AC7AF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</w:rPr>
      </w:pPr>
      <w:r w:rsidRPr="00B94906">
        <w:rPr>
          <w:rFonts w:asciiTheme="minorHAnsi" w:hAnsiTheme="minorHAnsi" w:cstheme="minorHAnsi"/>
          <w:i w:val="0"/>
        </w:rPr>
        <w:t xml:space="preserve">Zgodnie z art. 113 § 2 k.p.a. organ administracji, który wydał decyzję, wyjaśnia w drodze postanowienia na żądanie organu egzekucyjnego lub strony wątpliwości co do treści decyzji. W orzecznictwie sądów administracyjnych podkreśla się, że </w:t>
      </w:r>
      <w:r w:rsidRPr="00B94906">
        <w:rPr>
          <w:rFonts w:asciiTheme="minorHAnsi" w:hAnsiTheme="minorHAnsi" w:cstheme="minorHAnsi"/>
        </w:rPr>
        <w:t>wyjaśnienie wątpliwości co do treści decyzji lub postanowienia jest niezbędne wówczas, gdy są one niejednoznaczne lub dotknięte zawiłością utrudniającą ustalenie sensu rozstrzygnięcia sprawy. Wyznaczone przepisem art. 113 § 2 k.p.a. pole działania organu administracji publicznej jest ograniczone wyłącznie do wyjaśnienia stronie zgłaszanych wątpliwości co do użytych w decyzji wyrażeń, niejasnych sformułowań bądź zastosowanych skrótów utrudniających ustalenie sensu rozstrzygnięcia</w:t>
      </w:r>
      <w:r w:rsidRPr="00B94906">
        <w:rPr>
          <w:rFonts w:asciiTheme="minorHAnsi" w:hAnsiTheme="minorHAnsi" w:cstheme="minorHAnsi"/>
          <w:i w:val="0"/>
        </w:rPr>
        <w:t xml:space="preserve"> (wyrok Naczelnego Sądu Administracyjnego z 15 października 2021 r., sygn. akt: I GSK 532/21). Wyjaśnienie treści decyzji ma zastosowanie przede wszystkim w sytuacji, gdy rozstrzygnięcie jest niejasne lub nie zostało wystarczająco precyzyjnie sformułowane. W punktach 1-5 niniejszego postanowienia, po rozpatrzeniu wniosku Centralnego Portu Komunikacyjnego sp. z o.o. z 14 marca 2026 r., organ drugiej instancji wyjaśnił wątpliwości, w jaki sposób należy rozumieć warunki sformułowane w punktach: II.11.b, II.11.f, II.11.i, II.16, III.12.d decyzji GDOŚ z 30 grudnia 2025 r. Brak było natomiast podstaw do uwzględnienia żądania wnioskodawcy i wyjaśnienia treści tej decyzji w zakresie punktu III.12.e.</w:t>
      </w:r>
    </w:p>
    <w:p w14:paraId="1A6B519A" w14:textId="77777777" w:rsidR="00B94906" w:rsidRPr="00B94906" w:rsidRDefault="00B94906" w:rsidP="00B94906">
      <w:pPr>
        <w:pStyle w:val="Tekstpodstawowy"/>
        <w:spacing w:before="120"/>
        <w:jc w:val="left"/>
        <w:rPr>
          <w:rFonts w:asciiTheme="minorHAnsi" w:hAnsiTheme="minorHAnsi" w:cstheme="minorHAnsi"/>
          <w:i w:val="0"/>
          <w:iCs w:val="0"/>
        </w:rPr>
      </w:pPr>
      <w:r w:rsidRPr="00B94906">
        <w:rPr>
          <w:rFonts w:asciiTheme="minorHAnsi" w:hAnsiTheme="minorHAnsi" w:cstheme="minorHAnsi"/>
          <w:i w:val="0"/>
          <w:iCs w:val="0"/>
        </w:rPr>
        <w:t>W związku z powyższym, GDOŚ orzekł, jak w sentencji.</w:t>
      </w:r>
    </w:p>
    <w:p w14:paraId="2226504C" w14:textId="77777777" w:rsidR="00B94906" w:rsidRPr="00B94906" w:rsidRDefault="00B94906" w:rsidP="00B94906">
      <w:p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B94906">
        <w:rPr>
          <w:rFonts w:asciiTheme="minorHAnsi" w:hAnsiTheme="minorHAnsi" w:cstheme="minorHAnsi"/>
          <w:color w:val="000000"/>
        </w:rPr>
        <w:t>Pouczenie</w:t>
      </w:r>
    </w:p>
    <w:p w14:paraId="32E334CC" w14:textId="77777777" w:rsidR="00B94906" w:rsidRPr="00B94906" w:rsidRDefault="00B94906" w:rsidP="00B94906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firstLine="0"/>
        <w:rPr>
          <w:rFonts w:asciiTheme="minorHAnsi" w:eastAsia="Garamond" w:hAnsiTheme="minorHAnsi" w:cstheme="minorHAnsi"/>
          <w:color w:val="000000"/>
          <w:sz w:val="22"/>
          <w:szCs w:val="22"/>
        </w:rPr>
      </w:pPr>
      <w:r w:rsidRPr="00B94906">
        <w:rPr>
          <w:rFonts w:asciiTheme="minorHAnsi" w:eastAsia="Garamond" w:hAnsiTheme="minorHAnsi" w:cstheme="minorHAnsi"/>
          <w:color w:val="000000"/>
          <w:sz w:val="22"/>
          <w:szCs w:val="22"/>
        </w:rPr>
        <w:lastRenderedPageBreak/>
        <w:t xml:space="preserve">strona niezadowolona z niniejszego postanowienia, zgodnie z art. 113 § 3 w związku z art. 127 § 3 i art. 144 k.p.a., </w:t>
      </w:r>
      <w:r w:rsidRPr="00B94906">
        <w:rPr>
          <w:rFonts w:asciiTheme="minorHAnsi" w:hAnsiTheme="minorHAnsi" w:cstheme="minorHAnsi"/>
          <w:sz w:val="22"/>
          <w:szCs w:val="22"/>
        </w:rPr>
        <w:t>może zwrócić się do GDOŚ z wnioskiem o ponowne rozpatrzenie kwestii wyjaśnienia wątpliwości co do treści decyzji</w:t>
      </w:r>
      <w:r w:rsidRPr="00B94906">
        <w:rPr>
          <w:rFonts w:asciiTheme="minorHAnsi" w:eastAsia="Garamond" w:hAnsiTheme="minorHAnsi" w:cstheme="minorHAnsi"/>
          <w:color w:val="000000"/>
          <w:sz w:val="22"/>
          <w:szCs w:val="22"/>
        </w:rPr>
        <w:t>;</w:t>
      </w:r>
    </w:p>
    <w:p w14:paraId="516D50FF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bookmarkStart w:id="6" w:name="_Hlk196469715"/>
      <w:r w:rsidRPr="00B94906">
        <w:rPr>
          <w:rFonts w:asciiTheme="minorHAnsi" w:hAnsiTheme="minorHAnsi" w:cstheme="minorHAnsi"/>
          <w:lang w:eastAsia="ar-SA"/>
        </w:rPr>
        <w:t xml:space="preserve">zgodnie z art. 127 § 3 w związku z art. 141 § 2 i art. 144 k.p.a. z wnioskiem o ponowne rozpatrzenie kwestii </w:t>
      </w:r>
      <w:r w:rsidRPr="00B94906">
        <w:rPr>
          <w:rFonts w:asciiTheme="minorHAnsi" w:hAnsiTheme="minorHAnsi" w:cstheme="minorHAnsi"/>
          <w:szCs w:val="22"/>
        </w:rPr>
        <w:t>wyjaśnienia wątpliwości co do treści decyzji</w:t>
      </w:r>
      <w:r w:rsidRPr="00B94906">
        <w:rPr>
          <w:rFonts w:asciiTheme="minorHAnsi" w:hAnsiTheme="minorHAnsi" w:cstheme="minorHAnsi"/>
          <w:lang w:eastAsia="ar-SA"/>
        </w:rPr>
        <w:t xml:space="preserve"> należy zwrócić się w terminie siedmiu dni od dnia otrzymania postanowienia;</w:t>
      </w:r>
    </w:p>
    <w:p w14:paraId="69C92D23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r w:rsidRPr="00B94906">
        <w:rPr>
          <w:rFonts w:asciiTheme="minorHAnsi" w:hAnsiTheme="minorHAnsi" w:cstheme="minorHAnsi"/>
          <w:lang w:eastAsia="ar-SA"/>
        </w:rPr>
        <w:t xml:space="preserve">w trakcie biegu terminu do zwrócenia się z wnioskiem o ponowne rozpatrzenie kwestii </w:t>
      </w:r>
      <w:r w:rsidRPr="00B94906">
        <w:rPr>
          <w:rFonts w:asciiTheme="minorHAnsi" w:hAnsiTheme="minorHAnsi" w:cstheme="minorHAnsi"/>
          <w:szCs w:val="22"/>
        </w:rPr>
        <w:t>wyjaśnienia wątpliwości co do treści decyzji</w:t>
      </w:r>
      <w:r w:rsidRPr="00B94906">
        <w:rPr>
          <w:rFonts w:asciiTheme="minorHAnsi" w:hAnsiTheme="minorHAnsi" w:cstheme="minorHAnsi"/>
          <w:lang w:eastAsia="ar-SA"/>
        </w:rPr>
        <w:t xml:space="preserve"> strona, zgodnie z art. 127a § 1 w związku z art. 127 § 3 i art. 144 k.p.a., może zrzec się prawa do zwrócenia się z takim wnioskiem wobec GDOŚ;</w:t>
      </w:r>
    </w:p>
    <w:p w14:paraId="65D58422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r w:rsidRPr="00B94906">
        <w:rPr>
          <w:rFonts w:asciiTheme="minorHAnsi" w:hAnsiTheme="minorHAnsi" w:cstheme="minorHAnsi"/>
          <w:lang w:eastAsia="ar-SA"/>
        </w:rPr>
        <w:t xml:space="preserve">z dniem doręczenia GDOŚ oświadczenia o zrzeczeniu się prawa do zwrócenia się z wnioskiem o ponowne rozpatrzenie kwestii </w:t>
      </w:r>
      <w:r w:rsidRPr="00B94906">
        <w:rPr>
          <w:rFonts w:asciiTheme="minorHAnsi" w:hAnsiTheme="minorHAnsi" w:cstheme="minorHAnsi"/>
          <w:szCs w:val="22"/>
        </w:rPr>
        <w:t>wyjaśnienia wątpliwości co do treści decyzji</w:t>
      </w:r>
      <w:r w:rsidRPr="00B94906">
        <w:rPr>
          <w:rFonts w:asciiTheme="minorHAnsi" w:hAnsiTheme="minorHAnsi" w:cstheme="minorHAnsi"/>
          <w:lang w:eastAsia="ar-SA"/>
        </w:rPr>
        <w:t xml:space="preserve"> przez ostatnią ze stron, zgodnie z art. 127a § 2 w związku z art. 127 § 3 i art. 144 k.p.a., niniejsze postanowienie staje się ostateczne i prawomocne;</w:t>
      </w:r>
    </w:p>
    <w:p w14:paraId="4B3B062F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bookmarkStart w:id="7" w:name="_Hlk97708052"/>
      <w:bookmarkEnd w:id="6"/>
      <w:r w:rsidRPr="00B94906">
        <w:rPr>
          <w:rFonts w:asciiTheme="minorHAnsi" w:hAnsiTheme="minorHAnsi" w:cstheme="minorHAnsi"/>
          <w:lang w:eastAsia="ar-SA"/>
        </w:rPr>
        <w:t xml:space="preserve">zgodnie z art. 50 oraz art. 52 § 1 i 2 w związku z art. 3 § 2 pkt 2 ustawy z dnia 30 sierpnia 2002 r. – Prawo o postępowaniu przed sądami administracyjnymi (Dz. U. z 2026 r. poz. 143, ze zm.), dalej p.p.s.a., na niniejsze postanowienie można wnieść do Wojewódzkiego Sądu Administracyjnego w Warszawie skargę bez konieczności skorzystania z prawa do zwrócenia się z wnioskiem o ponowne rozpatrzenie kwestii </w:t>
      </w:r>
      <w:r w:rsidRPr="00B94906">
        <w:rPr>
          <w:rFonts w:asciiTheme="minorHAnsi" w:hAnsiTheme="minorHAnsi" w:cstheme="minorHAnsi"/>
          <w:szCs w:val="22"/>
        </w:rPr>
        <w:t>wyjaśnienia wątpliwości co do treści decyzji;</w:t>
      </w:r>
    </w:p>
    <w:p w14:paraId="32692040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r w:rsidRPr="00B94906">
        <w:rPr>
          <w:rFonts w:asciiTheme="minorHAnsi" w:hAnsiTheme="minorHAnsi" w:cstheme="minorHAnsi"/>
          <w:lang w:eastAsia="ar-SA"/>
        </w:rPr>
        <w:t>zgodnie z art. 53 § 1 oraz art. 54 § 1 p.p.s.a. skargę należy wnieść, za pośrednictwem GDOŚ, w terminie trzydziestu dni od dnia otrzymania postanowienia;</w:t>
      </w:r>
    </w:p>
    <w:p w14:paraId="060715AA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r w:rsidRPr="00B94906">
        <w:rPr>
          <w:rFonts w:asciiTheme="minorHAnsi" w:hAnsiTheme="minorHAnsi" w:cstheme="minorHAnsi"/>
          <w:lang w:eastAsia="ar-SA"/>
        </w:rPr>
        <w:t>skarżący, zgodnie z art. 230 p.p.s.a., w związku z § 2 ust. 1 pkt 1 rozporządzenia Rady Ministrów z dnia 16 grudnia 2003 r. w sprawie wysokości oraz szczegółowych zasad pobierania wpisu w postępowaniu przed sądami administracyjnymi (Dz. U. z 2021 r. poz. 535), obowiązany jest do uiszczenia wpisu od skargi w kwocie 100 zł. Skarżący, co wynika z art. 239 p.p.s.a., może być zwolniony z obowiązku uiszczenia kosztów sądowych;</w:t>
      </w:r>
    </w:p>
    <w:p w14:paraId="58D6C923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r w:rsidRPr="00B94906">
        <w:rPr>
          <w:rFonts w:asciiTheme="minorHAnsi" w:hAnsiTheme="minorHAnsi" w:cstheme="minorHAnsi"/>
          <w:lang w:eastAsia="ar-SA"/>
        </w:rPr>
        <w:t>skarżącemu, zgodnie z art. 243 p.p.s.a., może być przyznane, na jego wniosek, prawo pomocy. Wniosek ten wolny jest od opłat sądowych;</w:t>
      </w:r>
    </w:p>
    <w:p w14:paraId="42EF2E43" w14:textId="77777777" w:rsidR="00B94906" w:rsidRPr="00B94906" w:rsidRDefault="00B94906" w:rsidP="00B94906">
      <w:pPr>
        <w:pStyle w:val="Akapitzlist"/>
        <w:numPr>
          <w:ilvl w:val="0"/>
          <w:numId w:val="18"/>
        </w:numPr>
        <w:suppressAutoHyphens/>
        <w:spacing w:after="240"/>
        <w:ind w:left="0" w:firstLine="0"/>
        <w:contextualSpacing w:val="0"/>
        <w:jc w:val="left"/>
        <w:rPr>
          <w:rFonts w:asciiTheme="minorHAnsi" w:hAnsiTheme="minorHAnsi" w:cstheme="minorHAnsi"/>
          <w:lang w:eastAsia="ar-SA"/>
        </w:rPr>
      </w:pPr>
      <w:r w:rsidRPr="00B94906">
        <w:rPr>
          <w:rFonts w:asciiTheme="minorHAnsi" w:hAnsiTheme="minorHAnsi" w:cstheme="minorHAnsi"/>
          <w:lang w:eastAsia="ar-SA"/>
        </w:rPr>
        <w:t xml:space="preserve">wniosek o ponowne rozpatrzenie kwestii </w:t>
      </w:r>
      <w:r w:rsidRPr="00B94906">
        <w:rPr>
          <w:rFonts w:asciiTheme="minorHAnsi" w:hAnsiTheme="minorHAnsi" w:cstheme="minorHAnsi"/>
          <w:szCs w:val="22"/>
        </w:rPr>
        <w:t>wyjaśnienia wątpliwości co do treści decyzji</w:t>
      </w:r>
      <w:r w:rsidRPr="00B94906">
        <w:rPr>
          <w:rFonts w:asciiTheme="minorHAnsi" w:hAnsiTheme="minorHAnsi" w:cstheme="minorHAnsi"/>
          <w:lang w:eastAsia="ar-SA"/>
        </w:rPr>
        <w:t xml:space="preserve"> w formie elektronicznej należy wnieść na adres do e-Doręczeń: AE:PL-14966-78422-TRCJH-21, skargę w formie elektronicznej należy wnieść na adres ePUAP: /gdosgovpl/SkrytkaESP, natomiast wniosek i skargę w formie papierowej – na adres siedziby Generalnej Dyrekcji Ochrony Środowiska: Al. Jerozolimskie 136, 02-305 Warszawa.</w:t>
      </w:r>
    </w:p>
    <w:p w14:paraId="6CCEA56A" w14:textId="77777777" w:rsidR="00B94906" w:rsidRPr="00B94906" w:rsidRDefault="00B94906" w:rsidP="00B94906">
      <w:pPr>
        <w:jc w:val="left"/>
        <w:rPr>
          <w:rFonts w:asciiTheme="minorHAnsi" w:hAnsiTheme="minorHAnsi" w:cstheme="minorHAnsi"/>
          <w:highlight w:val="yellow"/>
        </w:rPr>
      </w:pPr>
    </w:p>
    <w:p w14:paraId="4EACD4FC" w14:textId="77777777" w:rsidR="00B94906" w:rsidRPr="00B94906" w:rsidRDefault="00B94906" w:rsidP="00B94906">
      <w:pPr>
        <w:spacing w:line="240" w:lineRule="auto"/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>PIOTR OTAWSKI</w:t>
      </w:r>
    </w:p>
    <w:p w14:paraId="57739C97" w14:textId="77777777" w:rsidR="00B94906" w:rsidRPr="00B94906" w:rsidRDefault="00B94906" w:rsidP="00B94906">
      <w:pPr>
        <w:spacing w:after="120" w:line="240" w:lineRule="auto"/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</w:rPr>
        <w:t>Generalny Dyrektor Ochrony Środowiska</w:t>
      </w:r>
    </w:p>
    <w:p w14:paraId="094B2CEB" w14:textId="77777777" w:rsidR="00B94906" w:rsidRPr="00B94906" w:rsidRDefault="00B94906" w:rsidP="00B94906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B94906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2406E19B" w14:textId="77777777" w:rsidR="00B94906" w:rsidRPr="00B94906" w:rsidRDefault="00B94906" w:rsidP="00B94906">
      <w:pPr>
        <w:jc w:val="left"/>
        <w:rPr>
          <w:rFonts w:asciiTheme="minorHAnsi" w:hAnsiTheme="minorHAnsi" w:cstheme="minorHAnsi"/>
          <w:highlight w:val="yellow"/>
        </w:rPr>
      </w:pPr>
    </w:p>
    <w:p w14:paraId="3709AD8F" w14:textId="77777777" w:rsidR="00B94906" w:rsidRPr="00B94906" w:rsidRDefault="00B94906" w:rsidP="00B94906">
      <w:pPr>
        <w:jc w:val="left"/>
        <w:rPr>
          <w:rFonts w:asciiTheme="minorHAnsi" w:hAnsiTheme="minorHAnsi" w:cstheme="minorHAnsi"/>
          <w:highlight w:val="yellow"/>
        </w:rPr>
      </w:pPr>
    </w:p>
    <w:bookmarkEnd w:id="7"/>
    <w:p w14:paraId="09540DE9" w14:textId="77777777" w:rsidR="00B94906" w:rsidRPr="00B94906" w:rsidRDefault="00B94906" w:rsidP="00B94906">
      <w:pPr>
        <w:jc w:val="left"/>
        <w:rPr>
          <w:rFonts w:asciiTheme="minorHAnsi" w:hAnsiTheme="minorHAnsi" w:cstheme="minorHAnsi"/>
          <w:sz w:val="20"/>
          <w:szCs w:val="22"/>
        </w:rPr>
      </w:pPr>
      <w:r w:rsidRPr="00B94906">
        <w:rPr>
          <w:rFonts w:asciiTheme="minorHAnsi" w:hAnsiTheme="minorHAnsi" w:cstheme="minorHAnsi"/>
          <w:sz w:val="20"/>
          <w:szCs w:val="22"/>
        </w:rPr>
        <w:t>Otrzymują:</w:t>
      </w:r>
    </w:p>
    <w:p w14:paraId="78A657A4" w14:textId="492E0E45" w:rsidR="00B94906" w:rsidRPr="00B94906" w:rsidRDefault="006E37A6" w:rsidP="00B94906">
      <w:pPr>
        <w:pStyle w:val="Akapitzlist"/>
        <w:numPr>
          <w:ilvl w:val="0"/>
          <w:numId w:val="19"/>
        </w:numPr>
        <w:suppressAutoHyphens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(…)</w:t>
      </w:r>
      <w:r w:rsidR="00B94906" w:rsidRPr="00B94906">
        <w:rPr>
          <w:rFonts w:asciiTheme="minorHAnsi" w:hAnsiTheme="minorHAnsi" w:cstheme="minorHAnsi"/>
          <w:sz w:val="20"/>
          <w:szCs w:val="20"/>
        </w:rPr>
        <w:t xml:space="preserve"> – pełnomocnik Centralnego Portu Komunikacyjnego sp. z o.o.; adres do e-Doręczeń: </w:t>
      </w:r>
      <w:r>
        <w:rPr>
          <w:rFonts w:asciiTheme="minorHAnsi" w:hAnsiTheme="minorHAnsi" w:cstheme="minorHAnsi"/>
          <w:sz w:val="20"/>
          <w:szCs w:val="20"/>
        </w:rPr>
        <w:t>(…)</w:t>
      </w:r>
    </w:p>
    <w:p w14:paraId="207D3108" w14:textId="59F812CD" w:rsidR="00B94906" w:rsidRPr="00B94906" w:rsidRDefault="00B94906" w:rsidP="00B94906">
      <w:pPr>
        <w:pStyle w:val="Akapitzlist"/>
        <w:numPr>
          <w:ilvl w:val="0"/>
          <w:numId w:val="19"/>
        </w:numPr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bookmarkStart w:id="8" w:name="_Hlk109976023"/>
      <w:r w:rsidRPr="00B94906">
        <w:rPr>
          <w:rFonts w:asciiTheme="minorHAnsi" w:hAnsiTheme="minorHAnsi" w:cstheme="minorHAnsi"/>
          <w:sz w:val="20"/>
          <w:szCs w:val="20"/>
        </w:rPr>
        <w:t xml:space="preserve">adw. </w:t>
      </w:r>
      <w:r w:rsidR="006E37A6">
        <w:rPr>
          <w:rFonts w:asciiTheme="minorHAnsi" w:hAnsiTheme="minorHAnsi" w:cstheme="minorHAnsi"/>
          <w:sz w:val="20"/>
          <w:szCs w:val="20"/>
        </w:rPr>
        <w:t>(…)</w:t>
      </w:r>
      <w:r w:rsidRPr="00B94906">
        <w:rPr>
          <w:rFonts w:asciiTheme="minorHAnsi" w:hAnsiTheme="minorHAnsi" w:cstheme="minorHAnsi"/>
          <w:sz w:val="20"/>
          <w:szCs w:val="20"/>
        </w:rPr>
        <w:t xml:space="preserve">– pełnomocnik Bakoma-Nieruchomości Sp. z o.o., Bakoma Sp. z o.o., </w:t>
      </w:r>
      <w:r w:rsidR="006E37A6">
        <w:rPr>
          <w:rFonts w:asciiTheme="minorHAnsi" w:hAnsiTheme="minorHAnsi" w:cstheme="minorHAnsi"/>
          <w:sz w:val="20"/>
          <w:szCs w:val="20"/>
        </w:rPr>
        <w:t>(…),</w:t>
      </w:r>
      <w:r w:rsidRPr="00B94906">
        <w:rPr>
          <w:rFonts w:asciiTheme="minorHAnsi" w:hAnsiTheme="minorHAnsi" w:cstheme="minorHAnsi"/>
          <w:sz w:val="20"/>
          <w:szCs w:val="20"/>
        </w:rPr>
        <w:t xml:space="preserve"> </w:t>
      </w:r>
      <w:r w:rsidR="006E37A6">
        <w:rPr>
          <w:rFonts w:asciiTheme="minorHAnsi" w:hAnsiTheme="minorHAnsi" w:cstheme="minorHAnsi"/>
          <w:sz w:val="20"/>
          <w:szCs w:val="20"/>
        </w:rPr>
        <w:t>(…),</w:t>
      </w:r>
      <w:r w:rsidRPr="00B94906">
        <w:rPr>
          <w:rFonts w:asciiTheme="minorHAnsi" w:hAnsiTheme="minorHAnsi" w:cstheme="minorHAnsi"/>
          <w:sz w:val="20"/>
          <w:szCs w:val="20"/>
        </w:rPr>
        <w:t xml:space="preserve"> </w:t>
      </w:r>
      <w:r w:rsidR="006E37A6">
        <w:rPr>
          <w:rFonts w:asciiTheme="minorHAnsi" w:hAnsiTheme="minorHAnsi" w:cstheme="minorHAnsi"/>
          <w:sz w:val="20"/>
          <w:szCs w:val="20"/>
        </w:rPr>
        <w:t>(…)</w:t>
      </w:r>
      <w:r w:rsidRPr="00B94906">
        <w:rPr>
          <w:rFonts w:asciiTheme="minorHAnsi" w:hAnsiTheme="minorHAnsi" w:cstheme="minorHAnsi"/>
          <w:sz w:val="20"/>
          <w:szCs w:val="20"/>
        </w:rPr>
        <w:t xml:space="preserve">, </w:t>
      </w:r>
      <w:r w:rsidR="006E37A6">
        <w:rPr>
          <w:rFonts w:asciiTheme="minorHAnsi" w:hAnsiTheme="minorHAnsi" w:cstheme="minorHAnsi"/>
          <w:sz w:val="20"/>
          <w:szCs w:val="20"/>
        </w:rPr>
        <w:t>(…)</w:t>
      </w:r>
      <w:r w:rsidRPr="00B94906">
        <w:rPr>
          <w:rFonts w:asciiTheme="minorHAnsi" w:hAnsiTheme="minorHAnsi" w:cstheme="minorHAnsi"/>
          <w:sz w:val="20"/>
          <w:szCs w:val="20"/>
        </w:rPr>
        <w:t xml:space="preserve">; adres do e-Doręczeń: </w:t>
      </w:r>
      <w:r w:rsidR="006E37A6">
        <w:rPr>
          <w:rFonts w:asciiTheme="minorHAnsi" w:hAnsiTheme="minorHAnsi" w:cstheme="minorHAnsi"/>
          <w:sz w:val="20"/>
          <w:szCs w:val="20"/>
        </w:rPr>
        <w:t>(…)</w:t>
      </w:r>
    </w:p>
    <w:p w14:paraId="7DCEBC85" w14:textId="4D2953DC" w:rsidR="00B94906" w:rsidRPr="00B94906" w:rsidRDefault="00B94906" w:rsidP="00B94906">
      <w:pPr>
        <w:pStyle w:val="Akapitzlist"/>
        <w:numPr>
          <w:ilvl w:val="0"/>
          <w:numId w:val="19"/>
        </w:numPr>
        <w:ind w:left="0" w:right="-6" w:firstLine="0"/>
        <w:jc w:val="left"/>
        <w:rPr>
          <w:rFonts w:asciiTheme="minorHAnsi" w:hAnsiTheme="minorHAnsi" w:cstheme="minorHAnsi"/>
          <w:sz w:val="20"/>
          <w:szCs w:val="20"/>
        </w:rPr>
      </w:pPr>
      <w:r w:rsidRPr="00B94906">
        <w:rPr>
          <w:rFonts w:asciiTheme="minorHAnsi" w:hAnsiTheme="minorHAnsi" w:cstheme="minorHAnsi"/>
          <w:sz w:val="20"/>
          <w:szCs w:val="20"/>
        </w:rPr>
        <w:t xml:space="preserve">r.pr. </w:t>
      </w:r>
      <w:r w:rsidR="006E37A6">
        <w:rPr>
          <w:rFonts w:asciiTheme="minorHAnsi" w:hAnsiTheme="minorHAnsi" w:cstheme="minorHAnsi"/>
          <w:sz w:val="20"/>
          <w:szCs w:val="20"/>
        </w:rPr>
        <w:t>(…)</w:t>
      </w:r>
      <w:r w:rsidRPr="00B94906">
        <w:rPr>
          <w:rFonts w:asciiTheme="minorHAnsi" w:hAnsiTheme="minorHAnsi" w:cstheme="minorHAnsi"/>
          <w:sz w:val="20"/>
          <w:szCs w:val="20"/>
        </w:rPr>
        <w:t xml:space="preserve">– pełnomocnik Gminy Jaktorów; adres do e-Doręczeń: </w:t>
      </w:r>
      <w:r w:rsidR="006E37A6">
        <w:rPr>
          <w:rFonts w:asciiTheme="minorHAnsi" w:hAnsiTheme="minorHAnsi" w:cstheme="minorHAnsi"/>
          <w:sz w:val="20"/>
          <w:szCs w:val="20"/>
        </w:rPr>
        <w:t>(…)</w:t>
      </w:r>
    </w:p>
    <w:bookmarkEnd w:id="8"/>
    <w:p w14:paraId="7F23387E" w14:textId="77777777" w:rsidR="00B94906" w:rsidRPr="00B94906" w:rsidRDefault="00B94906" w:rsidP="00B94906">
      <w:pPr>
        <w:pStyle w:val="Akapitzlist"/>
        <w:numPr>
          <w:ilvl w:val="0"/>
          <w:numId w:val="19"/>
        </w:numPr>
        <w:spacing w:after="240" w:line="288" w:lineRule="auto"/>
        <w:ind w:left="0" w:firstLine="0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B94906">
        <w:rPr>
          <w:rFonts w:asciiTheme="minorHAnsi" w:hAnsiTheme="minorHAnsi" w:cstheme="minorHAnsi"/>
          <w:sz w:val="20"/>
          <w:szCs w:val="20"/>
        </w:rPr>
        <w:t>pozostałe strony postępowania – na podstawie art. 49 § 1 k.p.a. w związku z art. 74 ust. 3 u.o.o.ś. oraz art. 15 ust. 1 u.z.u.o.o.ś.</w:t>
      </w:r>
    </w:p>
    <w:p w14:paraId="053B357C" w14:textId="77777777" w:rsidR="00B94906" w:rsidRPr="00B94906" w:rsidRDefault="00B94906" w:rsidP="00B94906">
      <w:pPr>
        <w:jc w:val="left"/>
        <w:rPr>
          <w:rFonts w:asciiTheme="minorHAnsi" w:hAnsiTheme="minorHAnsi" w:cstheme="minorHAnsi"/>
          <w:i/>
          <w:sz w:val="20"/>
          <w:szCs w:val="22"/>
        </w:rPr>
      </w:pPr>
      <w:bookmarkStart w:id="9" w:name="_Hlk181895928"/>
      <w:r w:rsidRPr="00B94906">
        <w:rPr>
          <w:rFonts w:asciiTheme="minorHAnsi" w:hAnsiTheme="minorHAnsi" w:cstheme="minorHAnsi"/>
          <w:sz w:val="20"/>
          <w:szCs w:val="22"/>
        </w:rPr>
        <w:t>Do wiadomości:</w:t>
      </w:r>
    </w:p>
    <w:p w14:paraId="4B7F8554" w14:textId="77777777" w:rsidR="00B94906" w:rsidRPr="00B94906" w:rsidRDefault="00B94906" w:rsidP="00B94906">
      <w:pPr>
        <w:pStyle w:val="Akapitzlist"/>
        <w:numPr>
          <w:ilvl w:val="0"/>
          <w:numId w:val="20"/>
        </w:numPr>
        <w:spacing w:line="288" w:lineRule="auto"/>
        <w:ind w:left="0" w:firstLine="0"/>
        <w:jc w:val="left"/>
        <w:rPr>
          <w:rFonts w:asciiTheme="minorHAnsi" w:hAnsiTheme="minorHAnsi" w:cstheme="minorHAnsi"/>
        </w:rPr>
      </w:pPr>
      <w:r w:rsidRPr="00B94906">
        <w:rPr>
          <w:rFonts w:asciiTheme="minorHAnsi" w:hAnsiTheme="minorHAnsi" w:cstheme="minorHAnsi"/>
          <w:sz w:val="20"/>
          <w:szCs w:val="20"/>
        </w:rPr>
        <w:t>Regionalny Dyrektor Ochrony Środowiska w Warszawie</w:t>
      </w:r>
      <w:bookmarkEnd w:id="9"/>
    </w:p>
    <w:sectPr w:rsidR="00B94906" w:rsidRPr="00B94906" w:rsidSect="00435EAB">
      <w:footerReference w:type="default" r:id="rId9"/>
      <w:pgSz w:w="11906" w:h="16838"/>
      <w:pgMar w:top="1418" w:right="1418" w:bottom="1418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9B23" w14:textId="77777777" w:rsidR="00600E9F" w:rsidRDefault="00600E9F">
      <w:pPr>
        <w:spacing w:line="240" w:lineRule="auto"/>
      </w:pPr>
      <w:r>
        <w:separator/>
      </w:r>
    </w:p>
  </w:endnote>
  <w:endnote w:type="continuationSeparator" w:id="0">
    <w:p w14:paraId="45961FAD" w14:textId="77777777" w:rsidR="00600E9F" w:rsidRDefault="00600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445986"/>
      <w:docPartObj>
        <w:docPartGallery w:val="Page Numbers (Bottom of Page)"/>
        <w:docPartUnique/>
      </w:docPartObj>
    </w:sdtPr>
    <w:sdtContent>
      <w:p w14:paraId="4B5215D0" w14:textId="77777777" w:rsidR="00B94906" w:rsidRDefault="00B949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1BA701" w14:textId="77777777" w:rsidR="00B94906" w:rsidRDefault="00B94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D732" w14:textId="77777777" w:rsidR="00600E9F" w:rsidRDefault="00600E9F">
      <w:pPr>
        <w:spacing w:line="240" w:lineRule="auto"/>
      </w:pPr>
      <w:r>
        <w:separator/>
      </w:r>
    </w:p>
  </w:footnote>
  <w:footnote w:type="continuationSeparator" w:id="0">
    <w:p w14:paraId="15460258" w14:textId="77777777" w:rsidR="00600E9F" w:rsidRDefault="00600E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3D8"/>
    <w:multiLevelType w:val="hybridMultilevel"/>
    <w:tmpl w:val="CC58FD80"/>
    <w:lvl w:ilvl="0" w:tplc="DDCA50CE">
      <w:start w:val="1"/>
      <w:numFmt w:val="decimal"/>
      <w:lvlText w:val="%1."/>
      <w:lvlJc w:val="left"/>
      <w:pPr>
        <w:ind w:left="2771" w:hanging="360"/>
      </w:pPr>
      <w:rPr>
        <w:rFonts w:ascii="Garamond" w:hAnsi="Garamond" w:hint="default"/>
        <w:b/>
      </w:rPr>
    </w:lvl>
    <w:lvl w:ilvl="1" w:tplc="7F6253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3B09BB4" w:tentative="1">
      <w:start w:val="1"/>
      <w:numFmt w:val="lowerRoman"/>
      <w:lvlText w:val="%3."/>
      <w:lvlJc w:val="right"/>
      <w:pPr>
        <w:ind w:left="2160" w:hanging="180"/>
      </w:pPr>
    </w:lvl>
    <w:lvl w:ilvl="3" w:tplc="B6CC5918" w:tentative="1">
      <w:start w:val="1"/>
      <w:numFmt w:val="decimal"/>
      <w:lvlText w:val="%4."/>
      <w:lvlJc w:val="left"/>
      <w:pPr>
        <w:ind w:left="2880" w:hanging="360"/>
      </w:pPr>
    </w:lvl>
    <w:lvl w:ilvl="4" w:tplc="5FACD64A" w:tentative="1">
      <w:start w:val="1"/>
      <w:numFmt w:val="lowerLetter"/>
      <w:lvlText w:val="%5."/>
      <w:lvlJc w:val="left"/>
      <w:pPr>
        <w:ind w:left="3600" w:hanging="360"/>
      </w:pPr>
    </w:lvl>
    <w:lvl w:ilvl="5" w:tplc="82D490DA" w:tentative="1">
      <w:start w:val="1"/>
      <w:numFmt w:val="lowerRoman"/>
      <w:lvlText w:val="%6."/>
      <w:lvlJc w:val="right"/>
      <w:pPr>
        <w:ind w:left="4320" w:hanging="180"/>
      </w:pPr>
    </w:lvl>
    <w:lvl w:ilvl="6" w:tplc="93989EF8" w:tentative="1">
      <w:start w:val="1"/>
      <w:numFmt w:val="decimal"/>
      <w:lvlText w:val="%7."/>
      <w:lvlJc w:val="left"/>
      <w:pPr>
        <w:ind w:left="5040" w:hanging="360"/>
      </w:pPr>
    </w:lvl>
    <w:lvl w:ilvl="7" w:tplc="3514B564" w:tentative="1">
      <w:start w:val="1"/>
      <w:numFmt w:val="lowerLetter"/>
      <w:lvlText w:val="%8."/>
      <w:lvlJc w:val="left"/>
      <w:pPr>
        <w:ind w:left="5760" w:hanging="360"/>
      </w:pPr>
    </w:lvl>
    <w:lvl w:ilvl="8" w:tplc="67EC4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413"/>
    <w:multiLevelType w:val="hybridMultilevel"/>
    <w:tmpl w:val="8F1A474C"/>
    <w:lvl w:ilvl="0" w:tplc="23BC4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0E8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6D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F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3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42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3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06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919"/>
    <w:multiLevelType w:val="hybridMultilevel"/>
    <w:tmpl w:val="FD509512"/>
    <w:lvl w:ilvl="0" w:tplc="DE5A9E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8EC7A68" w:tentative="1">
      <w:start w:val="1"/>
      <w:numFmt w:val="lowerLetter"/>
      <w:lvlText w:val="%2."/>
      <w:lvlJc w:val="left"/>
      <w:pPr>
        <w:ind w:left="1440" w:hanging="360"/>
      </w:pPr>
    </w:lvl>
    <w:lvl w:ilvl="2" w:tplc="5F1C4BE2" w:tentative="1">
      <w:start w:val="1"/>
      <w:numFmt w:val="lowerRoman"/>
      <w:lvlText w:val="%3."/>
      <w:lvlJc w:val="right"/>
      <w:pPr>
        <w:ind w:left="2160" w:hanging="180"/>
      </w:pPr>
    </w:lvl>
    <w:lvl w:ilvl="3" w:tplc="A7F258AC" w:tentative="1">
      <w:start w:val="1"/>
      <w:numFmt w:val="decimal"/>
      <w:lvlText w:val="%4."/>
      <w:lvlJc w:val="left"/>
      <w:pPr>
        <w:ind w:left="2880" w:hanging="360"/>
      </w:pPr>
    </w:lvl>
    <w:lvl w:ilvl="4" w:tplc="5A968238" w:tentative="1">
      <w:start w:val="1"/>
      <w:numFmt w:val="lowerLetter"/>
      <w:lvlText w:val="%5."/>
      <w:lvlJc w:val="left"/>
      <w:pPr>
        <w:ind w:left="3600" w:hanging="360"/>
      </w:pPr>
    </w:lvl>
    <w:lvl w:ilvl="5" w:tplc="1252318A" w:tentative="1">
      <w:start w:val="1"/>
      <w:numFmt w:val="lowerRoman"/>
      <w:lvlText w:val="%6."/>
      <w:lvlJc w:val="right"/>
      <w:pPr>
        <w:ind w:left="4320" w:hanging="180"/>
      </w:pPr>
    </w:lvl>
    <w:lvl w:ilvl="6" w:tplc="04B4B19A" w:tentative="1">
      <w:start w:val="1"/>
      <w:numFmt w:val="decimal"/>
      <w:lvlText w:val="%7."/>
      <w:lvlJc w:val="left"/>
      <w:pPr>
        <w:ind w:left="5040" w:hanging="360"/>
      </w:pPr>
    </w:lvl>
    <w:lvl w:ilvl="7" w:tplc="D1740D84" w:tentative="1">
      <w:start w:val="1"/>
      <w:numFmt w:val="lowerLetter"/>
      <w:lvlText w:val="%8."/>
      <w:lvlJc w:val="left"/>
      <w:pPr>
        <w:ind w:left="5760" w:hanging="360"/>
      </w:pPr>
    </w:lvl>
    <w:lvl w:ilvl="8" w:tplc="F7F6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73C3"/>
    <w:multiLevelType w:val="hybridMultilevel"/>
    <w:tmpl w:val="998644A2"/>
    <w:lvl w:ilvl="0" w:tplc="278C9B60">
      <w:start w:val="1"/>
      <w:numFmt w:val="decimal"/>
      <w:lvlText w:val="%1."/>
      <w:lvlJc w:val="left"/>
      <w:pPr>
        <w:ind w:left="720" w:hanging="360"/>
      </w:pPr>
    </w:lvl>
    <w:lvl w:ilvl="1" w:tplc="5366CFC2" w:tentative="1">
      <w:start w:val="1"/>
      <w:numFmt w:val="lowerLetter"/>
      <w:lvlText w:val="%2."/>
      <w:lvlJc w:val="left"/>
      <w:pPr>
        <w:ind w:left="1440" w:hanging="360"/>
      </w:pPr>
    </w:lvl>
    <w:lvl w:ilvl="2" w:tplc="D136C1D6" w:tentative="1">
      <w:start w:val="1"/>
      <w:numFmt w:val="lowerRoman"/>
      <w:lvlText w:val="%3."/>
      <w:lvlJc w:val="right"/>
      <w:pPr>
        <w:ind w:left="2160" w:hanging="180"/>
      </w:pPr>
    </w:lvl>
    <w:lvl w:ilvl="3" w:tplc="DCCAE05A" w:tentative="1">
      <w:start w:val="1"/>
      <w:numFmt w:val="decimal"/>
      <w:lvlText w:val="%4."/>
      <w:lvlJc w:val="left"/>
      <w:pPr>
        <w:ind w:left="2880" w:hanging="360"/>
      </w:pPr>
    </w:lvl>
    <w:lvl w:ilvl="4" w:tplc="64543FBA" w:tentative="1">
      <w:start w:val="1"/>
      <w:numFmt w:val="lowerLetter"/>
      <w:lvlText w:val="%5."/>
      <w:lvlJc w:val="left"/>
      <w:pPr>
        <w:ind w:left="3600" w:hanging="360"/>
      </w:pPr>
    </w:lvl>
    <w:lvl w:ilvl="5" w:tplc="195E84D8" w:tentative="1">
      <w:start w:val="1"/>
      <w:numFmt w:val="lowerRoman"/>
      <w:lvlText w:val="%6."/>
      <w:lvlJc w:val="right"/>
      <w:pPr>
        <w:ind w:left="4320" w:hanging="180"/>
      </w:pPr>
    </w:lvl>
    <w:lvl w:ilvl="6" w:tplc="BA2E0222" w:tentative="1">
      <w:start w:val="1"/>
      <w:numFmt w:val="decimal"/>
      <w:lvlText w:val="%7."/>
      <w:lvlJc w:val="left"/>
      <w:pPr>
        <w:ind w:left="5040" w:hanging="360"/>
      </w:pPr>
    </w:lvl>
    <w:lvl w:ilvl="7" w:tplc="2EAC0B70" w:tentative="1">
      <w:start w:val="1"/>
      <w:numFmt w:val="lowerLetter"/>
      <w:lvlText w:val="%8."/>
      <w:lvlJc w:val="left"/>
      <w:pPr>
        <w:ind w:left="5760" w:hanging="360"/>
      </w:pPr>
    </w:lvl>
    <w:lvl w:ilvl="8" w:tplc="31305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055A"/>
    <w:multiLevelType w:val="hybridMultilevel"/>
    <w:tmpl w:val="D5802290"/>
    <w:lvl w:ilvl="0" w:tplc="7E981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A1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BE4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89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25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C7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0F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6C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8E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92816"/>
    <w:multiLevelType w:val="hybridMultilevel"/>
    <w:tmpl w:val="B96018F8"/>
    <w:lvl w:ilvl="0" w:tplc="C14AE0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A350D6C2" w:tentative="1">
      <w:start w:val="1"/>
      <w:numFmt w:val="lowerLetter"/>
      <w:lvlText w:val="%2."/>
      <w:lvlJc w:val="left"/>
      <w:pPr>
        <w:ind w:left="1440" w:hanging="360"/>
      </w:pPr>
    </w:lvl>
    <w:lvl w:ilvl="2" w:tplc="75E8DD14" w:tentative="1">
      <w:start w:val="1"/>
      <w:numFmt w:val="lowerRoman"/>
      <w:lvlText w:val="%3."/>
      <w:lvlJc w:val="right"/>
      <w:pPr>
        <w:ind w:left="2160" w:hanging="180"/>
      </w:pPr>
    </w:lvl>
    <w:lvl w:ilvl="3" w:tplc="D3527D9A" w:tentative="1">
      <w:start w:val="1"/>
      <w:numFmt w:val="decimal"/>
      <w:lvlText w:val="%4."/>
      <w:lvlJc w:val="left"/>
      <w:pPr>
        <w:ind w:left="2880" w:hanging="360"/>
      </w:pPr>
    </w:lvl>
    <w:lvl w:ilvl="4" w:tplc="F18A01D8" w:tentative="1">
      <w:start w:val="1"/>
      <w:numFmt w:val="lowerLetter"/>
      <w:lvlText w:val="%5."/>
      <w:lvlJc w:val="left"/>
      <w:pPr>
        <w:ind w:left="3600" w:hanging="360"/>
      </w:pPr>
    </w:lvl>
    <w:lvl w:ilvl="5" w:tplc="049E6B8C" w:tentative="1">
      <w:start w:val="1"/>
      <w:numFmt w:val="lowerRoman"/>
      <w:lvlText w:val="%6."/>
      <w:lvlJc w:val="right"/>
      <w:pPr>
        <w:ind w:left="4320" w:hanging="180"/>
      </w:pPr>
    </w:lvl>
    <w:lvl w:ilvl="6" w:tplc="57B63EB4" w:tentative="1">
      <w:start w:val="1"/>
      <w:numFmt w:val="decimal"/>
      <w:lvlText w:val="%7."/>
      <w:lvlJc w:val="left"/>
      <w:pPr>
        <w:ind w:left="5040" w:hanging="360"/>
      </w:pPr>
    </w:lvl>
    <w:lvl w:ilvl="7" w:tplc="FB048DE4" w:tentative="1">
      <w:start w:val="1"/>
      <w:numFmt w:val="lowerLetter"/>
      <w:lvlText w:val="%8."/>
      <w:lvlJc w:val="left"/>
      <w:pPr>
        <w:ind w:left="5760" w:hanging="360"/>
      </w:pPr>
    </w:lvl>
    <w:lvl w:ilvl="8" w:tplc="03E23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2EE6"/>
    <w:multiLevelType w:val="hybridMultilevel"/>
    <w:tmpl w:val="E654B4EE"/>
    <w:lvl w:ilvl="0" w:tplc="2E1A1C0C">
      <w:start w:val="1"/>
      <w:numFmt w:val="decimal"/>
      <w:lvlText w:val="%1."/>
      <w:lvlJc w:val="left"/>
      <w:pPr>
        <w:ind w:left="360" w:hanging="360"/>
      </w:pPr>
    </w:lvl>
    <w:lvl w:ilvl="1" w:tplc="434AE194" w:tentative="1">
      <w:start w:val="1"/>
      <w:numFmt w:val="lowerLetter"/>
      <w:lvlText w:val="%2."/>
      <w:lvlJc w:val="left"/>
      <w:pPr>
        <w:ind w:left="1080" w:hanging="360"/>
      </w:pPr>
    </w:lvl>
    <w:lvl w:ilvl="2" w:tplc="7528D9A8" w:tentative="1">
      <w:start w:val="1"/>
      <w:numFmt w:val="lowerRoman"/>
      <w:lvlText w:val="%3."/>
      <w:lvlJc w:val="right"/>
      <w:pPr>
        <w:ind w:left="1800" w:hanging="180"/>
      </w:pPr>
    </w:lvl>
    <w:lvl w:ilvl="3" w:tplc="91782E62" w:tentative="1">
      <w:start w:val="1"/>
      <w:numFmt w:val="decimal"/>
      <w:lvlText w:val="%4."/>
      <w:lvlJc w:val="left"/>
      <w:pPr>
        <w:ind w:left="2520" w:hanging="360"/>
      </w:pPr>
    </w:lvl>
    <w:lvl w:ilvl="4" w:tplc="D0947BBC" w:tentative="1">
      <w:start w:val="1"/>
      <w:numFmt w:val="lowerLetter"/>
      <w:lvlText w:val="%5."/>
      <w:lvlJc w:val="left"/>
      <w:pPr>
        <w:ind w:left="3240" w:hanging="360"/>
      </w:pPr>
    </w:lvl>
    <w:lvl w:ilvl="5" w:tplc="693EFA2C" w:tentative="1">
      <w:start w:val="1"/>
      <w:numFmt w:val="lowerRoman"/>
      <w:lvlText w:val="%6."/>
      <w:lvlJc w:val="right"/>
      <w:pPr>
        <w:ind w:left="3960" w:hanging="180"/>
      </w:pPr>
    </w:lvl>
    <w:lvl w:ilvl="6" w:tplc="12BE5114" w:tentative="1">
      <w:start w:val="1"/>
      <w:numFmt w:val="decimal"/>
      <w:lvlText w:val="%7."/>
      <w:lvlJc w:val="left"/>
      <w:pPr>
        <w:ind w:left="4680" w:hanging="360"/>
      </w:pPr>
    </w:lvl>
    <w:lvl w:ilvl="7" w:tplc="EE7CB422" w:tentative="1">
      <w:start w:val="1"/>
      <w:numFmt w:val="lowerLetter"/>
      <w:lvlText w:val="%8."/>
      <w:lvlJc w:val="left"/>
      <w:pPr>
        <w:ind w:left="5400" w:hanging="360"/>
      </w:pPr>
    </w:lvl>
    <w:lvl w:ilvl="8" w:tplc="EE328F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6086A"/>
    <w:multiLevelType w:val="hybridMultilevel"/>
    <w:tmpl w:val="F75C20A6"/>
    <w:lvl w:ilvl="0" w:tplc="B436F44A">
      <w:start w:val="1"/>
      <w:numFmt w:val="decimal"/>
      <w:lvlText w:val="%1."/>
      <w:lvlJc w:val="left"/>
      <w:pPr>
        <w:ind w:left="720" w:hanging="360"/>
      </w:pPr>
    </w:lvl>
    <w:lvl w:ilvl="1" w:tplc="4A3AF160" w:tentative="1">
      <w:start w:val="1"/>
      <w:numFmt w:val="lowerLetter"/>
      <w:lvlText w:val="%2."/>
      <w:lvlJc w:val="left"/>
      <w:pPr>
        <w:ind w:left="1440" w:hanging="360"/>
      </w:pPr>
    </w:lvl>
    <w:lvl w:ilvl="2" w:tplc="B8D2D9D2" w:tentative="1">
      <w:start w:val="1"/>
      <w:numFmt w:val="lowerRoman"/>
      <w:lvlText w:val="%3."/>
      <w:lvlJc w:val="right"/>
      <w:pPr>
        <w:ind w:left="2160" w:hanging="180"/>
      </w:pPr>
    </w:lvl>
    <w:lvl w:ilvl="3" w:tplc="E75AE774" w:tentative="1">
      <w:start w:val="1"/>
      <w:numFmt w:val="decimal"/>
      <w:lvlText w:val="%4."/>
      <w:lvlJc w:val="left"/>
      <w:pPr>
        <w:ind w:left="2880" w:hanging="360"/>
      </w:pPr>
    </w:lvl>
    <w:lvl w:ilvl="4" w:tplc="CDC221B4" w:tentative="1">
      <w:start w:val="1"/>
      <w:numFmt w:val="lowerLetter"/>
      <w:lvlText w:val="%5."/>
      <w:lvlJc w:val="left"/>
      <w:pPr>
        <w:ind w:left="3600" w:hanging="360"/>
      </w:pPr>
    </w:lvl>
    <w:lvl w:ilvl="5" w:tplc="4BBE4F0C" w:tentative="1">
      <w:start w:val="1"/>
      <w:numFmt w:val="lowerRoman"/>
      <w:lvlText w:val="%6."/>
      <w:lvlJc w:val="right"/>
      <w:pPr>
        <w:ind w:left="4320" w:hanging="180"/>
      </w:pPr>
    </w:lvl>
    <w:lvl w:ilvl="6" w:tplc="0806423E" w:tentative="1">
      <w:start w:val="1"/>
      <w:numFmt w:val="decimal"/>
      <w:lvlText w:val="%7."/>
      <w:lvlJc w:val="left"/>
      <w:pPr>
        <w:ind w:left="5040" w:hanging="360"/>
      </w:pPr>
    </w:lvl>
    <w:lvl w:ilvl="7" w:tplc="8FC2768A" w:tentative="1">
      <w:start w:val="1"/>
      <w:numFmt w:val="lowerLetter"/>
      <w:lvlText w:val="%8."/>
      <w:lvlJc w:val="left"/>
      <w:pPr>
        <w:ind w:left="5760" w:hanging="360"/>
      </w:pPr>
    </w:lvl>
    <w:lvl w:ilvl="8" w:tplc="EFCE6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4881"/>
    <w:multiLevelType w:val="hybridMultilevel"/>
    <w:tmpl w:val="70528570"/>
    <w:lvl w:ilvl="0" w:tplc="EAF43D0C">
      <w:start w:val="1"/>
      <w:numFmt w:val="decimal"/>
      <w:lvlText w:val="%1."/>
      <w:lvlJc w:val="left"/>
      <w:pPr>
        <w:ind w:left="720" w:hanging="360"/>
      </w:pPr>
    </w:lvl>
    <w:lvl w:ilvl="1" w:tplc="867A8670" w:tentative="1">
      <w:start w:val="1"/>
      <w:numFmt w:val="lowerLetter"/>
      <w:lvlText w:val="%2."/>
      <w:lvlJc w:val="left"/>
      <w:pPr>
        <w:ind w:left="1440" w:hanging="360"/>
      </w:pPr>
    </w:lvl>
    <w:lvl w:ilvl="2" w:tplc="E5BE2FCC" w:tentative="1">
      <w:start w:val="1"/>
      <w:numFmt w:val="lowerRoman"/>
      <w:lvlText w:val="%3."/>
      <w:lvlJc w:val="right"/>
      <w:pPr>
        <w:ind w:left="2160" w:hanging="180"/>
      </w:pPr>
    </w:lvl>
    <w:lvl w:ilvl="3" w:tplc="2CE47F76" w:tentative="1">
      <w:start w:val="1"/>
      <w:numFmt w:val="decimal"/>
      <w:lvlText w:val="%4."/>
      <w:lvlJc w:val="left"/>
      <w:pPr>
        <w:ind w:left="2880" w:hanging="360"/>
      </w:pPr>
    </w:lvl>
    <w:lvl w:ilvl="4" w:tplc="58E6F3BE" w:tentative="1">
      <w:start w:val="1"/>
      <w:numFmt w:val="lowerLetter"/>
      <w:lvlText w:val="%5."/>
      <w:lvlJc w:val="left"/>
      <w:pPr>
        <w:ind w:left="3600" w:hanging="360"/>
      </w:pPr>
    </w:lvl>
    <w:lvl w:ilvl="5" w:tplc="6ACA26EE" w:tentative="1">
      <w:start w:val="1"/>
      <w:numFmt w:val="lowerRoman"/>
      <w:lvlText w:val="%6."/>
      <w:lvlJc w:val="right"/>
      <w:pPr>
        <w:ind w:left="4320" w:hanging="180"/>
      </w:pPr>
    </w:lvl>
    <w:lvl w:ilvl="6" w:tplc="CCB0010E" w:tentative="1">
      <w:start w:val="1"/>
      <w:numFmt w:val="decimal"/>
      <w:lvlText w:val="%7."/>
      <w:lvlJc w:val="left"/>
      <w:pPr>
        <w:ind w:left="5040" w:hanging="360"/>
      </w:pPr>
    </w:lvl>
    <w:lvl w:ilvl="7" w:tplc="D4427D92" w:tentative="1">
      <w:start w:val="1"/>
      <w:numFmt w:val="lowerLetter"/>
      <w:lvlText w:val="%8."/>
      <w:lvlJc w:val="left"/>
      <w:pPr>
        <w:ind w:left="5760" w:hanging="360"/>
      </w:pPr>
    </w:lvl>
    <w:lvl w:ilvl="8" w:tplc="B694F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A6C12"/>
    <w:multiLevelType w:val="hybridMultilevel"/>
    <w:tmpl w:val="B67E956E"/>
    <w:lvl w:ilvl="0" w:tplc="46BABB38">
      <w:start w:val="1"/>
      <w:numFmt w:val="lowerLetter"/>
      <w:lvlText w:val="%1)"/>
      <w:lvlJc w:val="left"/>
      <w:pPr>
        <w:ind w:left="1429" w:hanging="360"/>
      </w:pPr>
      <w:rPr>
        <w:rFonts w:eastAsia="Calibri" w:cs="Arial" w:hint="default"/>
      </w:rPr>
    </w:lvl>
    <w:lvl w:ilvl="1" w:tplc="09182074">
      <w:start w:val="1"/>
      <w:numFmt w:val="lowerLetter"/>
      <w:lvlText w:val="%2."/>
      <w:lvlJc w:val="left"/>
      <w:pPr>
        <w:ind w:left="2149" w:hanging="360"/>
      </w:pPr>
    </w:lvl>
    <w:lvl w:ilvl="2" w:tplc="44FE186A" w:tentative="1">
      <w:start w:val="1"/>
      <w:numFmt w:val="lowerRoman"/>
      <w:lvlText w:val="%3."/>
      <w:lvlJc w:val="right"/>
      <w:pPr>
        <w:ind w:left="2869" w:hanging="180"/>
      </w:pPr>
    </w:lvl>
    <w:lvl w:ilvl="3" w:tplc="093476EA" w:tentative="1">
      <w:start w:val="1"/>
      <w:numFmt w:val="decimal"/>
      <w:lvlText w:val="%4."/>
      <w:lvlJc w:val="left"/>
      <w:pPr>
        <w:ind w:left="3589" w:hanging="360"/>
      </w:pPr>
    </w:lvl>
    <w:lvl w:ilvl="4" w:tplc="60BC6F92" w:tentative="1">
      <w:start w:val="1"/>
      <w:numFmt w:val="lowerLetter"/>
      <w:lvlText w:val="%5."/>
      <w:lvlJc w:val="left"/>
      <w:pPr>
        <w:ind w:left="4309" w:hanging="360"/>
      </w:pPr>
    </w:lvl>
    <w:lvl w:ilvl="5" w:tplc="B120C67A" w:tentative="1">
      <w:start w:val="1"/>
      <w:numFmt w:val="lowerRoman"/>
      <w:lvlText w:val="%6."/>
      <w:lvlJc w:val="right"/>
      <w:pPr>
        <w:ind w:left="5029" w:hanging="180"/>
      </w:pPr>
    </w:lvl>
    <w:lvl w:ilvl="6" w:tplc="D7DCA074" w:tentative="1">
      <w:start w:val="1"/>
      <w:numFmt w:val="decimal"/>
      <w:lvlText w:val="%7."/>
      <w:lvlJc w:val="left"/>
      <w:pPr>
        <w:ind w:left="5749" w:hanging="360"/>
      </w:pPr>
    </w:lvl>
    <w:lvl w:ilvl="7" w:tplc="22600EC0" w:tentative="1">
      <w:start w:val="1"/>
      <w:numFmt w:val="lowerLetter"/>
      <w:lvlText w:val="%8."/>
      <w:lvlJc w:val="left"/>
      <w:pPr>
        <w:ind w:left="6469" w:hanging="360"/>
      </w:pPr>
    </w:lvl>
    <w:lvl w:ilvl="8" w:tplc="3F3E8E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66369A"/>
    <w:multiLevelType w:val="hybridMultilevel"/>
    <w:tmpl w:val="F0544B6A"/>
    <w:lvl w:ilvl="0" w:tplc="13A85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182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20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E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4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8B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4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6A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2899"/>
    <w:multiLevelType w:val="hybridMultilevel"/>
    <w:tmpl w:val="4B3003A6"/>
    <w:lvl w:ilvl="0" w:tplc="29AAA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B76A99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210036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46A95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366068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388C9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A0576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EC80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5E0FA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3419CB"/>
    <w:multiLevelType w:val="hybridMultilevel"/>
    <w:tmpl w:val="D9BEED78"/>
    <w:lvl w:ilvl="0" w:tplc="27AEC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218A6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6B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AD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6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05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8D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47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81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A555C"/>
    <w:multiLevelType w:val="hybridMultilevel"/>
    <w:tmpl w:val="321607AC"/>
    <w:lvl w:ilvl="0" w:tplc="315279BE">
      <w:start w:val="1"/>
      <w:numFmt w:val="decimal"/>
      <w:lvlText w:val="%1."/>
      <w:lvlJc w:val="left"/>
      <w:pPr>
        <w:ind w:left="720" w:hanging="360"/>
      </w:pPr>
    </w:lvl>
    <w:lvl w:ilvl="1" w:tplc="CF86F668" w:tentative="1">
      <w:start w:val="1"/>
      <w:numFmt w:val="lowerLetter"/>
      <w:lvlText w:val="%2."/>
      <w:lvlJc w:val="left"/>
      <w:pPr>
        <w:ind w:left="1440" w:hanging="360"/>
      </w:pPr>
    </w:lvl>
    <w:lvl w:ilvl="2" w:tplc="763C6A50" w:tentative="1">
      <w:start w:val="1"/>
      <w:numFmt w:val="lowerRoman"/>
      <w:lvlText w:val="%3."/>
      <w:lvlJc w:val="right"/>
      <w:pPr>
        <w:ind w:left="2160" w:hanging="180"/>
      </w:pPr>
    </w:lvl>
    <w:lvl w:ilvl="3" w:tplc="12E8B766" w:tentative="1">
      <w:start w:val="1"/>
      <w:numFmt w:val="decimal"/>
      <w:lvlText w:val="%4."/>
      <w:lvlJc w:val="left"/>
      <w:pPr>
        <w:ind w:left="2880" w:hanging="360"/>
      </w:pPr>
    </w:lvl>
    <w:lvl w:ilvl="4" w:tplc="50427128" w:tentative="1">
      <w:start w:val="1"/>
      <w:numFmt w:val="lowerLetter"/>
      <w:lvlText w:val="%5."/>
      <w:lvlJc w:val="left"/>
      <w:pPr>
        <w:ind w:left="3600" w:hanging="360"/>
      </w:pPr>
    </w:lvl>
    <w:lvl w:ilvl="5" w:tplc="63BC7F02" w:tentative="1">
      <w:start w:val="1"/>
      <w:numFmt w:val="lowerRoman"/>
      <w:lvlText w:val="%6."/>
      <w:lvlJc w:val="right"/>
      <w:pPr>
        <w:ind w:left="4320" w:hanging="180"/>
      </w:pPr>
    </w:lvl>
    <w:lvl w:ilvl="6" w:tplc="FFC0F6F4" w:tentative="1">
      <w:start w:val="1"/>
      <w:numFmt w:val="decimal"/>
      <w:lvlText w:val="%7."/>
      <w:lvlJc w:val="left"/>
      <w:pPr>
        <w:ind w:left="5040" w:hanging="360"/>
      </w:pPr>
    </w:lvl>
    <w:lvl w:ilvl="7" w:tplc="9BA2235E" w:tentative="1">
      <w:start w:val="1"/>
      <w:numFmt w:val="lowerLetter"/>
      <w:lvlText w:val="%8."/>
      <w:lvlJc w:val="left"/>
      <w:pPr>
        <w:ind w:left="5760" w:hanging="360"/>
      </w:pPr>
    </w:lvl>
    <w:lvl w:ilvl="8" w:tplc="1298A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D7B6C"/>
    <w:multiLevelType w:val="hybridMultilevel"/>
    <w:tmpl w:val="7C7AEC4A"/>
    <w:lvl w:ilvl="0" w:tplc="148211E0">
      <w:start w:val="1"/>
      <w:numFmt w:val="decimal"/>
      <w:lvlText w:val="%1."/>
      <w:lvlJc w:val="left"/>
      <w:pPr>
        <w:ind w:left="1146" w:hanging="360"/>
      </w:pPr>
    </w:lvl>
    <w:lvl w:ilvl="1" w:tplc="451CDA16" w:tentative="1">
      <w:start w:val="1"/>
      <w:numFmt w:val="lowerLetter"/>
      <w:lvlText w:val="%2."/>
      <w:lvlJc w:val="left"/>
      <w:pPr>
        <w:ind w:left="1866" w:hanging="360"/>
      </w:pPr>
    </w:lvl>
    <w:lvl w:ilvl="2" w:tplc="18C48BC4" w:tentative="1">
      <w:start w:val="1"/>
      <w:numFmt w:val="lowerRoman"/>
      <w:lvlText w:val="%3."/>
      <w:lvlJc w:val="right"/>
      <w:pPr>
        <w:ind w:left="2586" w:hanging="180"/>
      </w:pPr>
    </w:lvl>
    <w:lvl w:ilvl="3" w:tplc="46C2E814" w:tentative="1">
      <w:start w:val="1"/>
      <w:numFmt w:val="decimal"/>
      <w:lvlText w:val="%4."/>
      <w:lvlJc w:val="left"/>
      <w:pPr>
        <w:ind w:left="3306" w:hanging="360"/>
      </w:pPr>
    </w:lvl>
    <w:lvl w:ilvl="4" w:tplc="D5522BEA" w:tentative="1">
      <w:start w:val="1"/>
      <w:numFmt w:val="lowerLetter"/>
      <w:lvlText w:val="%5."/>
      <w:lvlJc w:val="left"/>
      <w:pPr>
        <w:ind w:left="4026" w:hanging="360"/>
      </w:pPr>
    </w:lvl>
    <w:lvl w:ilvl="5" w:tplc="0FE8B574" w:tentative="1">
      <w:start w:val="1"/>
      <w:numFmt w:val="lowerRoman"/>
      <w:lvlText w:val="%6."/>
      <w:lvlJc w:val="right"/>
      <w:pPr>
        <w:ind w:left="4746" w:hanging="180"/>
      </w:pPr>
    </w:lvl>
    <w:lvl w:ilvl="6" w:tplc="CF8002AE" w:tentative="1">
      <w:start w:val="1"/>
      <w:numFmt w:val="decimal"/>
      <w:lvlText w:val="%7."/>
      <w:lvlJc w:val="left"/>
      <w:pPr>
        <w:ind w:left="5466" w:hanging="360"/>
      </w:pPr>
    </w:lvl>
    <w:lvl w:ilvl="7" w:tplc="11BCA626" w:tentative="1">
      <w:start w:val="1"/>
      <w:numFmt w:val="lowerLetter"/>
      <w:lvlText w:val="%8."/>
      <w:lvlJc w:val="left"/>
      <w:pPr>
        <w:ind w:left="6186" w:hanging="360"/>
      </w:pPr>
    </w:lvl>
    <w:lvl w:ilvl="8" w:tplc="85964F9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BAD350A"/>
    <w:multiLevelType w:val="hybridMultilevel"/>
    <w:tmpl w:val="08DE92AA"/>
    <w:lvl w:ilvl="0" w:tplc="37807A6E">
      <w:start w:val="1"/>
      <w:numFmt w:val="decimal"/>
      <w:lvlText w:val="%1."/>
      <w:lvlJc w:val="left"/>
      <w:pPr>
        <w:ind w:left="720" w:hanging="360"/>
      </w:pPr>
    </w:lvl>
    <w:lvl w:ilvl="1" w:tplc="4D842858" w:tentative="1">
      <w:start w:val="1"/>
      <w:numFmt w:val="lowerLetter"/>
      <w:lvlText w:val="%2."/>
      <w:lvlJc w:val="left"/>
      <w:pPr>
        <w:ind w:left="1440" w:hanging="360"/>
      </w:pPr>
    </w:lvl>
    <w:lvl w:ilvl="2" w:tplc="403CBD8C" w:tentative="1">
      <w:start w:val="1"/>
      <w:numFmt w:val="lowerRoman"/>
      <w:lvlText w:val="%3."/>
      <w:lvlJc w:val="right"/>
      <w:pPr>
        <w:ind w:left="2160" w:hanging="180"/>
      </w:pPr>
    </w:lvl>
    <w:lvl w:ilvl="3" w:tplc="16702690" w:tentative="1">
      <w:start w:val="1"/>
      <w:numFmt w:val="decimal"/>
      <w:lvlText w:val="%4."/>
      <w:lvlJc w:val="left"/>
      <w:pPr>
        <w:ind w:left="2880" w:hanging="360"/>
      </w:pPr>
    </w:lvl>
    <w:lvl w:ilvl="4" w:tplc="C7D85E10" w:tentative="1">
      <w:start w:val="1"/>
      <w:numFmt w:val="lowerLetter"/>
      <w:lvlText w:val="%5."/>
      <w:lvlJc w:val="left"/>
      <w:pPr>
        <w:ind w:left="3600" w:hanging="360"/>
      </w:pPr>
    </w:lvl>
    <w:lvl w:ilvl="5" w:tplc="05060176" w:tentative="1">
      <w:start w:val="1"/>
      <w:numFmt w:val="lowerRoman"/>
      <w:lvlText w:val="%6."/>
      <w:lvlJc w:val="right"/>
      <w:pPr>
        <w:ind w:left="4320" w:hanging="180"/>
      </w:pPr>
    </w:lvl>
    <w:lvl w:ilvl="6" w:tplc="53EE2B12" w:tentative="1">
      <w:start w:val="1"/>
      <w:numFmt w:val="decimal"/>
      <w:lvlText w:val="%7."/>
      <w:lvlJc w:val="left"/>
      <w:pPr>
        <w:ind w:left="5040" w:hanging="360"/>
      </w:pPr>
    </w:lvl>
    <w:lvl w:ilvl="7" w:tplc="D1B8FEAA" w:tentative="1">
      <w:start w:val="1"/>
      <w:numFmt w:val="lowerLetter"/>
      <w:lvlText w:val="%8."/>
      <w:lvlJc w:val="left"/>
      <w:pPr>
        <w:ind w:left="5760" w:hanging="360"/>
      </w:pPr>
    </w:lvl>
    <w:lvl w:ilvl="8" w:tplc="6AFE0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7863"/>
    <w:multiLevelType w:val="hybridMultilevel"/>
    <w:tmpl w:val="EBF2533E"/>
    <w:lvl w:ilvl="0" w:tplc="8E8AE634">
      <w:start w:val="1"/>
      <w:numFmt w:val="bullet"/>
      <w:lvlText w:val="-"/>
      <w:lvlJc w:val="left"/>
      <w:rPr>
        <w:rFonts w:ascii="Courier New" w:hAnsi="Courier New" w:hint="default"/>
      </w:rPr>
    </w:lvl>
    <w:lvl w:ilvl="1" w:tplc="FB161E7C">
      <w:numFmt w:val="decimal"/>
      <w:lvlText w:val=""/>
      <w:lvlJc w:val="left"/>
    </w:lvl>
    <w:lvl w:ilvl="2" w:tplc="D05284EA">
      <w:numFmt w:val="decimal"/>
      <w:lvlText w:val=""/>
      <w:lvlJc w:val="left"/>
    </w:lvl>
    <w:lvl w:ilvl="3" w:tplc="7556D36C">
      <w:numFmt w:val="decimal"/>
      <w:lvlText w:val=""/>
      <w:lvlJc w:val="left"/>
    </w:lvl>
    <w:lvl w:ilvl="4" w:tplc="917CE14E">
      <w:numFmt w:val="decimal"/>
      <w:lvlText w:val=""/>
      <w:lvlJc w:val="left"/>
    </w:lvl>
    <w:lvl w:ilvl="5" w:tplc="F8848386">
      <w:numFmt w:val="decimal"/>
      <w:lvlText w:val=""/>
      <w:lvlJc w:val="left"/>
    </w:lvl>
    <w:lvl w:ilvl="6" w:tplc="200A9458">
      <w:numFmt w:val="decimal"/>
      <w:lvlText w:val=""/>
      <w:lvlJc w:val="left"/>
    </w:lvl>
    <w:lvl w:ilvl="7" w:tplc="9CF6216C">
      <w:numFmt w:val="decimal"/>
      <w:lvlText w:val=""/>
      <w:lvlJc w:val="left"/>
    </w:lvl>
    <w:lvl w:ilvl="8" w:tplc="82B8747C">
      <w:numFmt w:val="decimal"/>
      <w:lvlText w:val=""/>
      <w:lvlJc w:val="left"/>
    </w:lvl>
  </w:abstractNum>
  <w:abstractNum w:abstractNumId="17" w15:restartNumberingAfterBreak="0">
    <w:nsid w:val="65A834A0"/>
    <w:multiLevelType w:val="hybridMultilevel"/>
    <w:tmpl w:val="E904E022"/>
    <w:lvl w:ilvl="0" w:tplc="245AD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DDBAB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ED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27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4B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88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8F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0F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2D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80C72"/>
    <w:multiLevelType w:val="hybridMultilevel"/>
    <w:tmpl w:val="9CD661F2"/>
    <w:lvl w:ilvl="0" w:tplc="AEAC9C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F16ED16" w:tentative="1">
      <w:start w:val="1"/>
      <w:numFmt w:val="lowerLetter"/>
      <w:lvlText w:val="%2."/>
      <w:lvlJc w:val="left"/>
      <w:pPr>
        <w:ind w:left="1440" w:hanging="360"/>
      </w:pPr>
    </w:lvl>
    <w:lvl w:ilvl="2" w:tplc="277AE976" w:tentative="1">
      <w:start w:val="1"/>
      <w:numFmt w:val="lowerRoman"/>
      <w:lvlText w:val="%3."/>
      <w:lvlJc w:val="right"/>
      <w:pPr>
        <w:ind w:left="2160" w:hanging="180"/>
      </w:pPr>
    </w:lvl>
    <w:lvl w:ilvl="3" w:tplc="E138B0EE" w:tentative="1">
      <w:start w:val="1"/>
      <w:numFmt w:val="decimal"/>
      <w:lvlText w:val="%4."/>
      <w:lvlJc w:val="left"/>
      <w:pPr>
        <w:ind w:left="2880" w:hanging="360"/>
      </w:pPr>
    </w:lvl>
    <w:lvl w:ilvl="4" w:tplc="0EAE925C" w:tentative="1">
      <w:start w:val="1"/>
      <w:numFmt w:val="lowerLetter"/>
      <w:lvlText w:val="%5."/>
      <w:lvlJc w:val="left"/>
      <w:pPr>
        <w:ind w:left="3600" w:hanging="360"/>
      </w:pPr>
    </w:lvl>
    <w:lvl w:ilvl="5" w:tplc="35B02ABA" w:tentative="1">
      <w:start w:val="1"/>
      <w:numFmt w:val="lowerRoman"/>
      <w:lvlText w:val="%6."/>
      <w:lvlJc w:val="right"/>
      <w:pPr>
        <w:ind w:left="4320" w:hanging="180"/>
      </w:pPr>
    </w:lvl>
    <w:lvl w:ilvl="6" w:tplc="9EEAFB9C" w:tentative="1">
      <w:start w:val="1"/>
      <w:numFmt w:val="decimal"/>
      <w:lvlText w:val="%7."/>
      <w:lvlJc w:val="left"/>
      <w:pPr>
        <w:ind w:left="5040" w:hanging="360"/>
      </w:pPr>
    </w:lvl>
    <w:lvl w:ilvl="7" w:tplc="38824AFC" w:tentative="1">
      <w:start w:val="1"/>
      <w:numFmt w:val="lowerLetter"/>
      <w:lvlText w:val="%8."/>
      <w:lvlJc w:val="left"/>
      <w:pPr>
        <w:ind w:left="5760" w:hanging="360"/>
      </w:pPr>
    </w:lvl>
    <w:lvl w:ilvl="8" w:tplc="2224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9981"/>
    <w:multiLevelType w:val="hybridMultilevel"/>
    <w:tmpl w:val="FFFFFFFF"/>
    <w:lvl w:ilvl="0" w:tplc="B6B861AA">
      <w:start w:val="1"/>
      <w:numFmt w:val="decimal"/>
      <w:lvlText w:val=""/>
      <w:lvlJc w:val="left"/>
    </w:lvl>
    <w:lvl w:ilvl="1" w:tplc="3128294C">
      <w:numFmt w:val="decimal"/>
      <w:lvlText w:val=""/>
      <w:lvlJc w:val="left"/>
    </w:lvl>
    <w:lvl w:ilvl="2" w:tplc="AA66846C">
      <w:numFmt w:val="decimal"/>
      <w:lvlText w:val=""/>
      <w:lvlJc w:val="left"/>
    </w:lvl>
    <w:lvl w:ilvl="3" w:tplc="8620E266">
      <w:numFmt w:val="decimal"/>
      <w:lvlText w:val=""/>
      <w:lvlJc w:val="left"/>
    </w:lvl>
    <w:lvl w:ilvl="4" w:tplc="0018D7C2">
      <w:numFmt w:val="decimal"/>
      <w:lvlText w:val=""/>
      <w:lvlJc w:val="left"/>
    </w:lvl>
    <w:lvl w:ilvl="5" w:tplc="D2A45308">
      <w:numFmt w:val="decimal"/>
      <w:lvlText w:val=""/>
      <w:lvlJc w:val="left"/>
    </w:lvl>
    <w:lvl w:ilvl="6" w:tplc="AC2C8DD6">
      <w:numFmt w:val="decimal"/>
      <w:lvlText w:val=""/>
      <w:lvlJc w:val="left"/>
    </w:lvl>
    <w:lvl w:ilvl="7" w:tplc="F3F4A2B8">
      <w:numFmt w:val="decimal"/>
      <w:lvlText w:val=""/>
      <w:lvlJc w:val="left"/>
    </w:lvl>
    <w:lvl w:ilvl="8" w:tplc="E1F6522E">
      <w:numFmt w:val="decimal"/>
      <w:lvlText w:val=""/>
      <w:lvlJc w:val="left"/>
    </w:lvl>
  </w:abstractNum>
  <w:abstractNum w:abstractNumId="20" w15:restartNumberingAfterBreak="0">
    <w:nsid w:val="78E70FB7"/>
    <w:multiLevelType w:val="hybridMultilevel"/>
    <w:tmpl w:val="0A829D94"/>
    <w:lvl w:ilvl="0" w:tplc="AE9413A6">
      <w:start w:val="1"/>
      <w:numFmt w:val="decimal"/>
      <w:lvlText w:val="%1."/>
      <w:lvlJc w:val="left"/>
      <w:pPr>
        <w:ind w:left="1429" w:hanging="360"/>
      </w:pPr>
    </w:lvl>
    <w:lvl w:ilvl="1" w:tplc="29CA7774" w:tentative="1">
      <w:start w:val="1"/>
      <w:numFmt w:val="lowerLetter"/>
      <w:lvlText w:val="%2."/>
      <w:lvlJc w:val="left"/>
      <w:pPr>
        <w:ind w:left="2149" w:hanging="360"/>
      </w:pPr>
    </w:lvl>
    <w:lvl w:ilvl="2" w:tplc="13D09426" w:tentative="1">
      <w:start w:val="1"/>
      <w:numFmt w:val="lowerRoman"/>
      <w:lvlText w:val="%3."/>
      <w:lvlJc w:val="right"/>
      <w:pPr>
        <w:ind w:left="2869" w:hanging="180"/>
      </w:pPr>
    </w:lvl>
    <w:lvl w:ilvl="3" w:tplc="1A42B750" w:tentative="1">
      <w:start w:val="1"/>
      <w:numFmt w:val="decimal"/>
      <w:lvlText w:val="%4."/>
      <w:lvlJc w:val="left"/>
      <w:pPr>
        <w:ind w:left="3589" w:hanging="360"/>
      </w:pPr>
    </w:lvl>
    <w:lvl w:ilvl="4" w:tplc="277AF446" w:tentative="1">
      <w:start w:val="1"/>
      <w:numFmt w:val="lowerLetter"/>
      <w:lvlText w:val="%5."/>
      <w:lvlJc w:val="left"/>
      <w:pPr>
        <w:ind w:left="4309" w:hanging="360"/>
      </w:pPr>
    </w:lvl>
    <w:lvl w:ilvl="5" w:tplc="A7FACE36" w:tentative="1">
      <w:start w:val="1"/>
      <w:numFmt w:val="lowerRoman"/>
      <w:lvlText w:val="%6."/>
      <w:lvlJc w:val="right"/>
      <w:pPr>
        <w:ind w:left="5029" w:hanging="180"/>
      </w:pPr>
    </w:lvl>
    <w:lvl w:ilvl="6" w:tplc="9712FB16" w:tentative="1">
      <w:start w:val="1"/>
      <w:numFmt w:val="decimal"/>
      <w:lvlText w:val="%7."/>
      <w:lvlJc w:val="left"/>
      <w:pPr>
        <w:ind w:left="5749" w:hanging="360"/>
      </w:pPr>
    </w:lvl>
    <w:lvl w:ilvl="7" w:tplc="312E3BA4" w:tentative="1">
      <w:start w:val="1"/>
      <w:numFmt w:val="lowerLetter"/>
      <w:lvlText w:val="%8."/>
      <w:lvlJc w:val="left"/>
      <w:pPr>
        <w:ind w:left="6469" w:hanging="360"/>
      </w:pPr>
    </w:lvl>
    <w:lvl w:ilvl="8" w:tplc="580C1F1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8D5B45"/>
    <w:multiLevelType w:val="hybridMultilevel"/>
    <w:tmpl w:val="56CA1506"/>
    <w:lvl w:ilvl="0" w:tplc="D968F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D5A5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65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28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21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FCE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6A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4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A1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2699A"/>
    <w:multiLevelType w:val="hybridMultilevel"/>
    <w:tmpl w:val="FB8A931C"/>
    <w:lvl w:ilvl="0" w:tplc="9FB2EAA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6CC2BD5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A10FF1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10D5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4EB5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07A56E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77A0C4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7C039F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B25F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0873336">
    <w:abstractNumId w:val="13"/>
  </w:num>
  <w:num w:numId="2" w16cid:durableId="15620348">
    <w:abstractNumId w:val="6"/>
  </w:num>
  <w:num w:numId="3" w16cid:durableId="1065295991">
    <w:abstractNumId w:val="11"/>
  </w:num>
  <w:num w:numId="4" w16cid:durableId="231621097">
    <w:abstractNumId w:val="14"/>
  </w:num>
  <w:num w:numId="5" w16cid:durableId="1028871825">
    <w:abstractNumId w:val="4"/>
  </w:num>
  <w:num w:numId="6" w16cid:durableId="832529370">
    <w:abstractNumId w:val="3"/>
  </w:num>
  <w:num w:numId="7" w16cid:durableId="790898280">
    <w:abstractNumId w:val="2"/>
  </w:num>
  <w:num w:numId="8" w16cid:durableId="1742292065">
    <w:abstractNumId w:val="9"/>
  </w:num>
  <w:num w:numId="9" w16cid:durableId="1594583512">
    <w:abstractNumId w:val="21"/>
  </w:num>
  <w:num w:numId="10" w16cid:durableId="1640694084">
    <w:abstractNumId w:val="0"/>
  </w:num>
  <w:num w:numId="11" w16cid:durableId="1633291043">
    <w:abstractNumId w:val="18"/>
  </w:num>
  <w:num w:numId="12" w16cid:durableId="183591842">
    <w:abstractNumId w:val="20"/>
  </w:num>
  <w:num w:numId="13" w16cid:durableId="1572540382">
    <w:abstractNumId w:val="15"/>
  </w:num>
  <w:num w:numId="14" w16cid:durableId="783500955">
    <w:abstractNumId w:val="10"/>
  </w:num>
  <w:num w:numId="15" w16cid:durableId="147285897">
    <w:abstractNumId w:val="12"/>
  </w:num>
  <w:num w:numId="16" w16cid:durableId="1820996600">
    <w:abstractNumId w:val="17"/>
  </w:num>
  <w:num w:numId="17" w16cid:durableId="1652709838">
    <w:abstractNumId w:val="22"/>
  </w:num>
  <w:num w:numId="18" w16cid:durableId="595285351">
    <w:abstractNumId w:val="1"/>
  </w:num>
  <w:num w:numId="19" w16cid:durableId="980379104">
    <w:abstractNumId w:val="7"/>
  </w:num>
  <w:num w:numId="20" w16cid:durableId="1110470774">
    <w:abstractNumId w:val="5"/>
  </w:num>
  <w:num w:numId="21" w16cid:durableId="428039059">
    <w:abstractNumId w:val="8"/>
  </w:num>
  <w:num w:numId="22" w16cid:durableId="1598563781">
    <w:abstractNumId w:val="19"/>
  </w:num>
  <w:num w:numId="23" w16cid:durableId="235088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C6"/>
    <w:rsid w:val="00067000"/>
    <w:rsid w:val="00600E9F"/>
    <w:rsid w:val="006B0B05"/>
    <w:rsid w:val="006E37A6"/>
    <w:rsid w:val="00A310C6"/>
    <w:rsid w:val="00B9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C50F"/>
  <w15:docId w15:val="{D222D574-2971-4B4D-ACC1-B515EBED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DDB"/>
    <w:pPr>
      <w:spacing w:after="0" w:line="312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6F54"/>
    <w:pPr>
      <w:keepNext/>
      <w:jc w:val="center"/>
      <w:outlineLvl w:val="1"/>
    </w:pPr>
    <w:rPr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6F54"/>
    <w:rPr>
      <w:rFonts w:ascii="Garamond" w:eastAsia="Times New Roman" w:hAnsi="Garamond" w:cs="Times New Roman"/>
      <w:b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816F54"/>
    <w:rPr>
      <w:rFonts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6F54"/>
    <w:rPr>
      <w:rFonts w:ascii="Garamond" w:eastAsia="Times New Roman" w:hAnsi="Garamond" w:cs="Arial"/>
      <w:i/>
      <w:iCs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816F54"/>
  </w:style>
  <w:style w:type="character" w:styleId="Tekstzastpczy">
    <w:name w:val="Placeholder Text"/>
    <w:basedOn w:val="Domylnaczcionkaakapitu"/>
    <w:uiPriority w:val="99"/>
    <w:semiHidden/>
    <w:rsid w:val="005E169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69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2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aliases w:val="A_wyliczenie,Akapit z listą1,Akapit z listą31,Akapit z listą5,BulletC,K-P_odwolanie,L1,List Paragraph_0,List Paragraph_0_0,Liste à puces retrait droite,Nagłówek_JP,Numerowanie,Obiekt,Wyliczanie,maz_wyliczenie,normalny tekst,opis dzialania"/>
    <w:basedOn w:val="Normalny"/>
    <w:link w:val="AkapitzlistZnak"/>
    <w:uiPriority w:val="34"/>
    <w:qFormat/>
    <w:rsid w:val="007965F1"/>
    <w:pPr>
      <w:ind w:left="720"/>
      <w:contextualSpacing/>
    </w:pPr>
  </w:style>
  <w:style w:type="character" w:customStyle="1" w:styleId="AkapitzlistZnak">
    <w:name w:val="Akapit z listą Znak"/>
    <w:aliases w:val="A_wyliczenie Znak,Akapit z listą1 Znak,Akapit z listą31 Znak,Akapit z listą5 Znak,BulletC Znak,K-P_odwolanie Znak,L1 Znak,List Paragraph_0 Znak,List Paragraph_0_0 Znak,Liste à puces retrait droite Znak,Nagłówek_JP Znak,Obiekt Znak"/>
    <w:link w:val="Akapitzlist"/>
    <w:uiPriority w:val="34"/>
    <w:qFormat/>
    <w:rsid w:val="007965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435F53"/>
    <w:rPr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5F53"/>
    <w:pPr>
      <w:widowControl w:val="0"/>
      <w:shd w:val="clear" w:color="auto" w:fill="FFFFFF"/>
      <w:spacing w:line="240" w:lineRule="auto"/>
      <w:ind w:firstLine="300"/>
      <w:jc w:val="lef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ormalny1">
    <w:name w:val="Normalny1"/>
    <w:uiPriority w:val="99"/>
    <w:qFormat/>
    <w:rsid w:val="00435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enfont">
    <w:name w:val="men font"/>
    <w:basedOn w:val="Normalny"/>
    <w:rsid w:val="00435F53"/>
    <w:pPr>
      <w:spacing w:line="240" w:lineRule="auto"/>
      <w:jc w:val="left"/>
    </w:pPr>
    <w:rPr>
      <w:rFonts w:cs="Arial"/>
    </w:rPr>
  </w:style>
  <w:style w:type="paragraph" w:styleId="Poprawka">
    <w:name w:val="Revision"/>
    <w:hidden/>
    <w:uiPriority w:val="99"/>
    <w:semiHidden/>
    <w:rsid w:val="0007155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DA1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DA1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73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3E8"/>
    <w:rPr>
      <w:rFonts w:ascii="Garamond" w:eastAsia="Times New Roman" w:hAnsi="Garamond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3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3E8"/>
    <w:rPr>
      <w:rFonts w:ascii="Garamond" w:eastAsia="Times New Roman" w:hAnsi="Garamond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95C75"/>
    <w:pPr>
      <w:spacing w:after="120" w:line="240" w:lineRule="auto"/>
    </w:pPr>
    <w:rPr>
      <w:rFonts w:ascii="Times New Roman" w:hAnsi="Times New Roman"/>
      <w:iCs/>
      <w:color w:val="000000" w:themeColor="text1"/>
      <w:szCs w:val="18"/>
    </w:rPr>
  </w:style>
  <w:style w:type="character" w:styleId="Hipercze">
    <w:name w:val="Hyperlink"/>
    <w:basedOn w:val="Domylnaczcionkaakapitu"/>
    <w:uiPriority w:val="99"/>
    <w:unhideWhenUsed/>
    <w:rsid w:val="00C04B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04B3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A4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A4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A42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rsid w:val="0014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7043-348B-462A-A2D4-FD233F32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2647</Words>
  <Characters>15882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mlonc</dc:creator>
  <cp:lastModifiedBy>Aleksandra Bączek</cp:lastModifiedBy>
  <cp:revision>5</cp:revision>
  <cp:lastPrinted>2011-10-12T12:08:00Z</cp:lastPrinted>
  <dcterms:created xsi:type="dcterms:W3CDTF">2026-04-03T09:33:00Z</dcterms:created>
  <dcterms:modified xsi:type="dcterms:W3CDTF">2026-04-07T12:15:00Z</dcterms:modified>
</cp:coreProperties>
</file>