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FCCB86" w14:textId="6187699A" w:rsidR="00EB5068" w:rsidRPr="00C45469" w:rsidRDefault="00EB5068" w:rsidP="00EB5068">
      <w:pPr>
        <w:spacing w:after="120"/>
        <w:rPr>
          <w:rFonts w:ascii="Lato" w:hAnsi="Lato" w:cs="Arial"/>
          <w:bCs/>
          <w:sz w:val="20"/>
          <w:szCs w:val="20"/>
        </w:rPr>
      </w:pPr>
      <w:bookmarkStart w:id="0" w:name="_Hlk157262471"/>
      <w:r w:rsidRPr="00C45469">
        <w:rPr>
          <w:rFonts w:ascii="Lato" w:hAnsi="Lato" w:cs="Arial"/>
          <w:bCs/>
          <w:sz w:val="20"/>
          <w:szCs w:val="20"/>
        </w:rPr>
        <w:t xml:space="preserve">Załącznik </w:t>
      </w:r>
      <w:r>
        <w:rPr>
          <w:rFonts w:ascii="Lato" w:hAnsi="Lato" w:cs="Arial"/>
          <w:bCs/>
          <w:sz w:val="20"/>
          <w:szCs w:val="20"/>
        </w:rPr>
        <w:t>3</w:t>
      </w:r>
    </w:p>
    <w:p w14:paraId="33A1953E" w14:textId="5A9B84B0" w:rsidR="00EB5068" w:rsidRPr="00EB5068" w:rsidRDefault="00EB5068" w:rsidP="00EB5068">
      <w:pPr>
        <w:pStyle w:val="Nagwek"/>
        <w:spacing w:after="120"/>
        <w:jc w:val="center"/>
        <w:rPr>
          <w:rFonts w:ascii="Lato" w:hAnsi="Lato" w:cs="Arial"/>
          <w:bCs/>
          <w:iCs/>
          <w:noProof/>
          <w:sz w:val="20"/>
          <w:szCs w:val="20"/>
        </w:rPr>
      </w:pPr>
      <w:r w:rsidRPr="00EB5068">
        <w:rPr>
          <w:rFonts w:ascii="Lato" w:hAnsi="Lato"/>
          <w:sz w:val="20"/>
          <w:szCs w:val="20"/>
        </w:rPr>
        <w:t xml:space="preserve">Wyciąg z </w:t>
      </w:r>
      <w:r>
        <w:rPr>
          <w:rFonts w:ascii="Lato" w:hAnsi="Lato"/>
          <w:sz w:val="20"/>
          <w:szCs w:val="20"/>
        </w:rPr>
        <w:t>Z</w:t>
      </w:r>
      <w:r w:rsidRPr="00EB5068">
        <w:rPr>
          <w:rFonts w:ascii="Lato" w:hAnsi="Lato"/>
          <w:sz w:val="20"/>
          <w:szCs w:val="20"/>
        </w:rPr>
        <w:t xml:space="preserve">ałącznika nr 7 do </w:t>
      </w:r>
      <w:r>
        <w:rPr>
          <w:rFonts w:ascii="Lato" w:hAnsi="Lato"/>
          <w:sz w:val="20"/>
          <w:szCs w:val="20"/>
        </w:rPr>
        <w:t>R</w:t>
      </w:r>
      <w:r w:rsidRPr="00EB5068">
        <w:rPr>
          <w:rFonts w:ascii="Lato" w:hAnsi="Lato"/>
          <w:sz w:val="20"/>
          <w:szCs w:val="20"/>
        </w:rPr>
        <w:t xml:space="preserve">egulaminu </w:t>
      </w:r>
      <w:r>
        <w:rPr>
          <w:rFonts w:ascii="Lato" w:hAnsi="Lato"/>
          <w:sz w:val="20"/>
          <w:szCs w:val="20"/>
        </w:rPr>
        <w:t>K</w:t>
      </w:r>
      <w:r w:rsidRPr="00EB5068">
        <w:rPr>
          <w:rFonts w:ascii="Lato" w:hAnsi="Lato"/>
          <w:sz w:val="20"/>
          <w:szCs w:val="20"/>
        </w:rPr>
        <w:t xml:space="preserve">onkursu </w:t>
      </w:r>
      <w:r w:rsidRPr="00EB5068">
        <w:rPr>
          <w:rFonts w:ascii="Lato" w:hAnsi="Lato" w:cs="Arial"/>
          <w:bCs/>
          <w:iCs/>
          <w:noProof/>
          <w:sz w:val="20"/>
          <w:szCs w:val="20"/>
        </w:rPr>
        <w:t>dwuetapow</w:t>
      </w:r>
      <w:r>
        <w:rPr>
          <w:rFonts w:ascii="Lato" w:hAnsi="Lato" w:cs="Arial"/>
          <w:bCs/>
          <w:iCs/>
          <w:noProof/>
          <w:sz w:val="20"/>
          <w:szCs w:val="20"/>
        </w:rPr>
        <w:t>ego</w:t>
      </w:r>
      <w:r w:rsidRPr="00EB5068">
        <w:rPr>
          <w:rFonts w:ascii="Lato" w:hAnsi="Lato" w:cs="Arial"/>
          <w:bCs/>
          <w:iCs/>
          <w:noProof/>
          <w:sz w:val="20"/>
          <w:szCs w:val="20"/>
        </w:rPr>
        <w:t xml:space="preserve"> </w:t>
      </w:r>
      <w:bookmarkStart w:id="1" w:name="_Hlk116893380"/>
      <w:r w:rsidRPr="00EB5068">
        <w:rPr>
          <w:rFonts w:ascii="Lato" w:hAnsi="Lato" w:cs="Arial"/>
          <w:bCs/>
          <w:iCs/>
          <w:noProof/>
          <w:sz w:val="20"/>
          <w:szCs w:val="20"/>
        </w:rPr>
        <w:t>na koncepcję architektoniczną wielorodzinnego budynku mieszkalnego o obniżonej energochłonności</w:t>
      </w:r>
      <w:bookmarkEnd w:id="1"/>
    </w:p>
    <w:p w14:paraId="1A4EAA4C" w14:textId="77777777" w:rsidR="00EB5068" w:rsidRDefault="00EB5068" w:rsidP="00EB5068">
      <w:pPr>
        <w:pStyle w:val="Nagwek"/>
        <w:spacing w:after="120"/>
        <w:rPr>
          <w:rFonts w:ascii="Lato" w:hAnsi="Lato" w:cs="Arial"/>
          <w:bCs/>
          <w:iCs/>
          <w:noProof/>
          <w:sz w:val="20"/>
          <w:szCs w:val="20"/>
        </w:rPr>
      </w:pPr>
    </w:p>
    <w:p w14:paraId="02610F1E" w14:textId="3EC1EB67" w:rsidR="00EB5068" w:rsidRPr="00EB5068" w:rsidRDefault="00EB5068" w:rsidP="00EB5068">
      <w:pPr>
        <w:pStyle w:val="Nagwek"/>
        <w:spacing w:after="120"/>
        <w:rPr>
          <w:rFonts w:ascii="Lato" w:hAnsi="Lato"/>
          <w:sz w:val="20"/>
          <w:szCs w:val="20"/>
        </w:rPr>
      </w:pPr>
      <w:r>
        <w:rPr>
          <w:rFonts w:ascii="Lato" w:hAnsi="Lato" w:cs="Arial"/>
          <w:bCs/>
          <w:iCs/>
          <w:noProof/>
          <w:sz w:val="20"/>
          <w:szCs w:val="20"/>
        </w:rPr>
        <w:t>(…)</w:t>
      </w:r>
    </w:p>
    <w:p w14:paraId="13691311" w14:textId="77777777" w:rsidR="00EB5068" w:rsidRDefault="00EB5068" w:rsidP="00EB5068">
      <w:pPr>
        <w:pStyle w:val="Akapitzlist"/>
        <w:numPr>
          <w:ilvl w:val="0"/>
          <w:numId w:val="1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 xml:space="preserve">Zgodnie z wymaganiami wynikającymi z Krajowego Planu Odbudowy i Zwiększania Odporności, czerwiec 2022 r. (str. 408), oraz ustawy z dnia 29 września 2022 r. o zmianie niektórych ustaw wspierających poprawę warunków mieszkaniowych (Dz. U. z 2022 r. poz. 2456), wartość wskaźnika rocznego zapotrzebowania na nieodnawialną energię pierwotną EP w budynku powstałym w ramach przedsięwzięcia nie może przekraczać </w:t>
      </w:r>
      <w:r w:rsidRPr="00EB5068">
        <w:rPr>
          <w:rFonts w:ascii="Lato" w:hAnsi="Lato" w:cstheme="minorHAnsi"/>
          <w:b/>
          <w:bCs/>
          <w:sz w:val="20"/>
          <w:szCs w:val="20"/>
        </w:rPr>
        <w:t>52 kWh/(m2·rok)</w:t>
      </w:r>
      <w:r w:rsidRPr="00EB5068">
        <w:rPr>
          <w:rFonts w:ascii="Lato" w:hAnsi="Lato" w:cstheme="minorHAnsi"/>
          <w:sz w:val="20"/>
          <w:szCs w:val="20"/>
        </w:rPr>
        <w:t>.</w:t>
      </w:r>
    </w:p>
    <w:p w14:paraId="1D6C0912" w14:textId="77777777" w:rsidR="00EB5068" w:rsidRDefault="00EB5068" w:rsidP="00EB5068">
      <w:pPr>
        <w:pStyle w:val="Akapitzlist"/>
        <w:numPr>
          <w:ilvl w:val="0"/>
          <w:numId w:val="1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Zalecane jest, aby Eu - jednostkowe zapotrzebowanie energii użytkowej na cele ogrzewania i wentylacji wynosiło nie więcej niż 15 kWh/m2*rok.</w:t>
      </w:r>
    </w:p>
    <w:p w14:paraId="01197581" w14:textId="7E7D066A" w:rsidR="00EB5068" w:rsidRPr="00EB5068" w:rsidRDefault="00EB5068" w:rsidP="00EB5068">
      <w:pPr>
        <w:pStyle w:val="Akapitzlist"/>
        <w:numPr>
          <w:ilvl w:val="0"/>
          <w:numId w:val="1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Podczas projektowania należy uwzględnić wymagania DNSH (zasada nieczynienia poważnej szkody środowisku) wynikające z przepisów Rozporządzenia delegowanego Komisji (UE) 2021/2139 z dnia 4 czerwca 2021 r. uzupełniające rozporządzenie Parlamentu Europejskiego i Rady (UE) 2020/852 poprzez ustanowienie technicznych kryteriów kwalifikacji służących określeniu warunków, na jakich dana działalność gospodarcza kwalifikuje się jako wnosząca istotny wkład w łagodzenie zmian klimatu lub w adaptację do zmian klimatu, a także określeniu, czy ta działalność gospodarcza nie wyrządza poważnych szkód względem żadnego z pozostałych celów środowiskowych, a w szczególności z załączniku I pkt 7.1 do tego rozporządzenia tj.:</w:t>
      </w:r>
    </w:p>
    <w:p w14:paraId="48BD9374" w14:textId="77777777" w:rsidR="00EB5068" w:rsidRPr="00EB5068" w:rsidRDefault="00EB5068" w:rsidP="00EB5068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Załącznik nr 1 ust. 7.1. pkt 3</w:t>
      </w:r>
    </w:p>
    <w:p w14:paraId="2BCEAED2" w14:textId="77777777" w:rsidR="00EB5068" w:rsidRPr="00EB5068" w:rsidRDefault="00EB5068" w:rsidP="00EB5068">
      <w:pPr>
        <w:pStyle w:val="Akapitzlist"/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 wyjątkiem instalacji w lokalach mieszkalnych w przypadku zainstalowanych następujących urządzeń związanych z wodą, zużycie wody powinno być potwierdzone kartą charakterystyki produktu, certyfikatem budynku lub obowiązującym w Unii oznakowaniem produktu, zgodnie ze specyfikacją techniczną określoną w dodatku E do załącznika I do niniejszego rozporządzenia:</w:t>
      </w:r>
    </w:p>
    <w:p w14:paraId="33157FE3" w14:textId="77777777" w:rsidR="00EB5068" w:rsidRPr="00EB5068" w:rsidRDefault="00EB5068" w:rsidP="00EB5068">
      <w:pPr>
        <w:pStyle w:val="Akapitzlist"/>
        <w:numPr>
          <w:ilvl w:val="0"/>
          <w:numId w:val="5"/>
        </w:numPr>
        <w:spacing w:after="120" w:line="240" w:lineRule="auto"/>
        <w:ind w:left="1077" w:hanging="357"/>
        <w:jc w:val="both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maksymalny przepływ wody w kranach umywalek i kranach zlewów powinien wynosić 6 litrów/min;</w:t>
      </w:r>
    </w:p>
    <w:p w14:paraId="5AD7F9E2" w14:textId="77777777" w:rsidR="00EB5068" w:rsidRPr="00EB5068" w:rsidRDefault="00EB5068" w:rsidP="00EB5068">
      <w:pPr>
        <w:pStyle w:val="Akapitzlist"/>
        <w:numPr>
          <w:ilvl w:val="0"/>
          <w:numId w:val="5"/>
        </w:numPr>
        <w:spacing w:after="120" w:line="240" w:lineRule="auto"/>
        <w:ind w:left="1077" w:hanging="357"/>
        <w:jc w:val="both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maksymalny przepływ wody w prysznicach powinien wynosić 8 litrów/min;</w:t>
      </w:r>
    </w:p>
    <w:p w14:paraId="2A9A4BD0" w14:textId="77777777" w:rsidR="00EB5068" w:rsidRPr="00EB5068" w:rsidRDefault="00EB5068" w:rsidP="00EB5068">
      <w:pPr>
        <w:pStyle w:val="Akapitzlist"/>
        <w:numPr>
          <w:ilvl w:val="0"/>
          <w:numId w:val="5"/>
        </w:numPr>
        <w:spacing w:after="120" w:line="240" w:lineRule="auto"/>
        <w:ind w:left="1077" w:hanging="357"/>
        <w:jc w:val="both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w toaletach, w tym kompaktach, muszlach i spłuczkach całkowita objętość wody wykorzystywanej do spłukiwania nie może przekraczać 6 litrów, a średnia objętość wody wykorzystywanej do spłukiwania nie może przekraczać 3,5 litra;</w:t>
      </w:r>
    </w:p>
    <w:p w14:paraId="7C5B35F0" w14:textId="77777777" w:rsidR="00EB5068" w:rsidRPr="00EB5068" w:rsidRDefault="00EB5068" w:rsidP="00EB5068">
      <w:pPr>
        <w:pStyle w:val="Akapitzlist"/>
        <w:numPr>
          <w:ilvl w:val="0"/>
          <w:numId w:val="5"/>
        </w:numPr>
        <w:spacing w:after="120" w:line="240" w:lineRule="auto"/>
        <w:ind w:left="1077" w:hanging="357"/>
        <w:contextualSpacing w:val="0"/>
        <w:jc w:val="both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zużycie wody w pisuarach powinno wynosić maksymalnie 2 litry na muszlę na godzinę. W pisuarach ze spłukiwaniem całkowita objętość wody wykorzystywanej do spłukiwania nie może przekraczać 1 litra.</w:t>
      </w:r>
    </w:p>
    <w:p w14:paraId="52312E0D" w14:textId="77777777" w:rsidR="00EB5068" w:rsidRPr="00EB5068" w:rsidRDefault="00EB5068" w:rsidP="00EB5068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Załącznik nr 1 ust. 7.1. pkt 4)</w:t>
      </w:r>
    </w:p>
    <w:p w14:paraId="43C077EC" w14:textId="77777777" w:rsidR="00EB5068" w:rsidRPr="00EB5068" w:rsidRDefault="00EB5068" w:rsidP="00EB5068">
      <w:pPr>
        <w:pStyle w:val="Akapitzlist"/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 xml:space="preserve">Projekty budynków i techniki konstrukcyjne powinny wspomagać obieg zamknięty, a w szczególności wskazywać – z uwzględnieniem odniesienia do normy ISO 20887 lub innych norm w zakresie oceny możliwości demontażu lub dostosowania budynków – w jaki sposób w ramach projektu zapewniono wyższy poziom </w:t>
      </w:r>
      <w:proofErr w:type="spellStart"/>
      <w:r w:rsidRPr="00EB5068">
        <w:rPr>
          <w:rFonts w:ascii="Lato" w:hAnsi="Lato" w:cstheme="minorHAnsi"/>
          <w:sz w:val="20"/>
          <w:szCs w:val="20"/>
        </w:rPr>
        <w:t>zasobooszczędności</w:t>
      </w:r>
      <w:proofErr w:type="spellEnd"/>
      <w:r w:rsidRPr="00EB5068">
        <w:rPr>
          <w:rFonts w:ascii="Lato" w:hAnsi="Lato" w:cstheme="minorHAnsi"/>
          <w:sz w:val="20"/>
          <w:szCs w:val="20"/>
        </w:rPr>
        <w:t>, możliwości dostosowania, elastyczności i możliwości demontażu w celu umożliwienia ponownego użycia i recyklingu.</w:t>
      </w:r>
    </w:p>
    <w:p w14:paraId="49C57259" w14:textId="77777777" w:rsidR="00EB5068" w:rsidRPr="00EB5068" w:rsidRDefault="00EB5068" w:rsidP="00EB5068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Załącznik nr 1 ust. 7.1. pkt 5</w:t>
      </w:r>
    </w:p>
    <w:p w14:paraId="36C0A377" w14:textId="77777777" w:rsidR="00EB5068" w:rsidRPr="00EB5068" w:rsidRDefault="00EB5068" w:rsidP="00EB5068">
      <w:pPr>
        <w:pStyle w:val="Akapitzlist"/>
        <w:spacing w:after="120" w:line="240" w:lineRule="auto"/>
        <w:contextualSpacing w:val="0"/>
        <w:rPr>
          <w:rFonts w:ascii="Lato" w:hAnsi="Lato" w:cstheme="minorHAnsi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Elementy budynków i materiały budowlane wykorzystane przy budowie, z którymi mieszkańcy mogą mieć kontakt, powinny emitować mniej niż 0,06 mg formaldehydu na m3 materiału lub elementu na podstawie badania zgodnie z warunkami określonymi w załączniku XVII do rozporządzenia (WE) nr 1907/2006 oraz mniej niż 0,001 mg innych rakotwórczych lotnych związków organicznych kategorii 1A i 1B na m3 materiału lub elementu, co należy ustalić w ramach badań przeprowadzonych zgodnie z normą CEN/EN 16516 i ISO 16000-3:2011 lub innymi równoważnymi znormalizowanymi warunkami badania i metodami oznaczania.</w:t>
      </w:r>
    </w:p>
    <w:p w14:paraId="3DCD849F" w14:textId="301C0628" w:rsidR="00EB5068" w:rsidRPr="00EB5068" w:rsidRDefault="00EB5068" w:rsidP="00EB5068">
      <w:pPr>
        <w:pStyle w:val="Akapitzlist"/>
        <w:spacing w:after="120" w:line="240" w:lineRule="auto"/>
        <w:contextualSpacing w:val="0"/>
        <w:rPr>
          <w:rFonts w:ascii="Lato" w:hAnsi="Lato"/>
          <w:sz w:val="20"/>
          <w:szCs w:val="20"/>
        </w:rPr>
      </w:pPr>
      <w:r w:rsidRPr="00EB5068">
        <w:rPr>
          <w:rFonts w:ascii="Lato" w:hAnsi="Lato" w:cstheme="minorHAnsi"/>
          <w:sz w:val="20"/>
          <w:szCs w:val="20"/>
        </w:rPr>
        <w:t>Wprowadzono środki służące redukcji emisji hałasu, kurzu i zanieczyszczeń w trakcie robót budowlanych lub konserwacyjnych.</w:t>
      </w:r>
      <w:bookmarkEnd w:id="0"/>
    </w:p>
    <w:sectPr w:rsidR="00EB5068" w:rsidRPr="00EB5068" w:rsidSect="0020438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411C9E" w14:textId="77777777" w:rsidR="00204389" w:rsidRDefault="00204389" w:rsidP="00EB5068">
      <w:r>
        <w:separator/>
      </w:r>
    </w:p>
  </w:endnote>
  <w:endnote w:type="continuationSeparator" w:id="0">
    <w:p w14:paraId="18D14C9D" w14:textId="77777777" w:rsidR="00204389" w:rsidRDefault="00204389" w:rsidP="00EB5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inorHAnsi" w:hAnsiTheme="minorHAnsi" w:cstheme="minorHAnsi"/>
        <w:sz w:val="20"/>
        <w:szCs w:val="20"/>
      </w:rPr>
      <w:id w:val="1296109357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Content>
          <w:p w14:paraId="48CEE9B2" w14:textId="77777777" w:rsidR="00EB5068" w:rsidRPr="000B2DC6" w:rsidRDefault="00EB5068">
            <w:pPr>
              <w:pStyle w:val="Stopk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B2DC6">
              <w:rPr>
                <w:rFonts w:asciiTheme="minorHAnsi" w:hAnsiTheme="minorHAnsi" w:cstheme="minorHAnsi"/>
                <w:sz w:val="20"/>
                <w:szCs w:val="20"/>
              </w:rPr>
              <w:t xml:space="preserve">Strona </w:t>
            </w:r>
            <w:r w:rsidRPr="000B2DC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Pr="000B2DC6">
              <w:rPr>
                <w:rFonts w:asciiTheme="minorHAnsi" w:hAnsiTheme="minorHAnsi" w:cstheme="minorHAnsi"/>
                <w:sz w:val="20"/>
                <w:szCs w:val="20"/>
              </w:rPr>
              <w:t xml:space="preserve"> z </w:t>
            </w:r>
            <w:r w:rsidRPr="000B2DC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sdtContent>
      </w:sdt>
    </w:sdtContent>
  </w:sdt>
  <w:p w14:paraId="44E84079" w14:textId="77777777" w:rsidR="00EB5068" w:rsidRDefault="00EB50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DBAD79" w14:textId="77777777" w:rsidR="00204389" w:rsidRDefault="00204389" w:rsidP="00EB5068">
      <w:r>
        <w:separator/>
      </w:r>
    </w:p>
  </w:footnote>
  <w:footnote w:type="continuationSeparator" w:id="0">
    <w:p w14:paraId="3FF4550C" w14:textId="77777777" w:rsidR="00204389" w:rsidRDefault="00204389" w:rsidP="00EB5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D64621"/>
    <w:multiLevelType w:val="hybridMultilevel"/>
    <w:tmpl w:val="418E69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8A1A7B"/>
    <w:multiLevelType w:val="hybridMultilevel"/>
    <w:tmpl w:val="0D7E112C"/>
    <w:lvl w:ilvl="0" w:tplc="04150001">
      <w:start w:val="1"/>
      <w:numFmt w:val="bullet"/>
      <w:lvlText w:val=""/>
      <w:lvlJc w:val="left"/>
      <w:pPr>
        <w:ind w:left="13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2" w:hanging="360"/>
      </w:pPr>
      <w:rPr>
        <w:rFonts w:ascii="Wingdings" w:hAnsi="Wingdings" w:hint="default"/>
      </w:rPr>
    </w:lvl>
  </w:abstractNum>
  <w:abstractNum w:abstractNumId="2" w15:restartNumberingAfterBreak="0">
    <w:nsid w:val="68026E31"/>
    <w:multiLevelType w:val="hybridMultilevel"/>
    <w:tmpl w:val="7AFA4BD0"/>
    <w:lvl w:ilvl="0" w:tplc="39AC05AE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5102646"/>
    <w:multiLevelType w:val="hybridMultilevel"/>
    <w:tmpl w:val="FDC4FBF8"/>
    <w:lvl w:ilvl="0" w:tplc="04150017">
      <w:start w:val="1"/>
      <w:numFmt w:val="lowerLetter"/>
      <w:lvlText w:val="%1)"/>
      <w:lvlJc w:val="left"/>
      <w:pPr>
        <w:ind w:left="884" w:hanging="360"/>
      </w:pPr>
    </w:lvl>
    <w:lvl w:ilvl="1" w:tplc="04150019" w:tentative="1">
      <w:start w:val="1"/>
      <w:numFmt w:val="lowerLetter"/>
      <w:lvlText w:val="%2."/>
      <w:lvlJc w:val="left"/>
      <w:pPr>
        <w:ind w:left="1604" w:hanging="360"/>
      </w:pPr>
    </w:lvl>
    <w:lvl w:ilvl="2" w:tplc="0415001B" w:tentative="1">
      <w:start w:val="1"/>
      <w:numFmt w:val="lowerRoman"/>
      <w:lvlText w:val="%3."/>
      <w:lvlJc w:val="right"/>
      <w:pPr>
        <w:ind w:left="2324" w:hanging="180"/>
      </w:pPr>
    </w:lvl>
    <w:lvl w:ilvl="3" w:tplc="0415000F" w:tentative="1">
      <w:start w:val="1"/>
      <w:numFmt w:val="decimal"/>
      <w:lvlText w:val="%4."/>
      <w:lvlJc w:val="left"/>
      <w:pPr>
        <w:ind w:left="3044" w:hanging="360"/>
      </w:pPr>
    </w:lvl>
    <w:lvl w:ilvl="4" w:tplc="04150019" w:tentative="1">
      <w:start w:val="1"/>
      <w:numFmt w:val="lowerLetter"/>
      <w:lvlText w:val="%5."/>
      <w:lvlJc w:val="left"/>
      <w:pPr>
        <w:ind w:left="3764" w:hanging="360"/>
      </w:pPr>
    </w:lvl>
    <w:lvl w:ilvl="5" w:tplc="0415001B" w:tentative="1">
      <w:start w:val="1"/>
      <w:numFmt w:val="lowerRoman"/>
      <w:lvlText w:val="%6."/>
      <w:lvlJc w:val="right"/>
      <w:pPr>
        <w:ind w:left="4484" w:hanging="180"/>
      </w:pPr>
    </w:lvl>
    <w:lvl w:ilvl="6" w:tplc="0415000F" w:tentative="1">
      <w:start w:val="1"/>
      <w:numFmt w:val="decimal"/>
      <w:lvlText w:val="%7."/>
      <w:lvlJc w:val="left"/>
      <w:pPr>
        <w:ind w:left="5204" w:hanging="360"/>
      </w:pPr>
    </w:lvl>
    <w:lvl w:ilvl="7" w:tplc="04150019" w:tentative="1">
      <w:start w:val="1"/>
      <w:numFmt w:val="lowerLetter"/>
      <w:lvlText w:val="%8."/>
      <w:lvlJc w:val="left"/>
      <w:pPr>
        <w:ind w:left="5924" w:hanging="360"/>
      </w:pPr>
    </w:lvl>
    <w:lvl w:ilvl="8" w:tplc="0415001B" w:tentative="1">
      <w:start w:val="1"/>
      <w:numFmt w:val="lowerRoman"/>
      <w:lvlText w:val="%9."/>
      <w:lvlJc w:val="right"/>
      <w:pPr>
        <w:ind w:left="6644" w:hanging="180"/>
      </w:pPr>
    </w:lvl>
  </w:abstractNum>
  <w:abstractNum w:abstractNumId="4" w15:restartNumberingAfterBreak="0">
    <w:nsid w:val="7C872C60"/>
    <w:multiLevelType w:val="hybridMultilevel"/>
    <w:tmpl w:val="29B0A16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93321558">
    <w:abstractNumId w:val="2"/>
  </w:num>
  <w:num w:numId="2" w16cid:durableId="1931617350">
    <w:abstractNumId w:val="1"/>
  </w:num>
  <w:num w:numId="3" w16cid:durableId="478812225">
    <w:abstractNumId w:val="3"/>
  </w:num>
  <w:num w:numId="4" w16cid:durableId="261108864">
    <w:abstractNumId w:val="0"/>
  </w:num>
  <w:num w:numId="5" w16cid:durableId="10365399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068"/>
    <w:rsid w:val="00204389"/>
    <w:rsid w:val="00321D3F"/>
    <w:rsid w:val="00390298"/>
    <w:rsid w:val="00EB5068"/>
    <w:rsid w:val="00F97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2FEC6"/>
  <w15:chartTrackingRefBased/>
  <w15:docId w15:val="{1A1CD850-FD32-4A37-BDAC-589A53F89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B5068"/>
    <w:pPr>
      <w:suppressAutoHyphens/>
      <w:spacing w:after="0" w:line="240" w:lineRule="auto"/>
    </w:pPr>
    <w:rPr>
      <w:rFonts w:ascii="Times New Roman" w:eastAsia="Times New Roman" w:hAnsi="Times New Roman" w:cs="Calibri"/>
      <w:kern w:val="0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B5068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068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B5068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B5068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B5068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B5068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B5068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B5068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B5068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B50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B50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B50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B506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B506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B506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B506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B506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B506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B5068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EB50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B5068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EB50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B5068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EB506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B5068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EB506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B50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B506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B5068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EB506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B5068"/>
    <w:rPr>
      <w:rFonts w:ascii="Times New Roman" w:eastAsia="Times New Roman" w:hAnsi="Times New Roman" w:cs="Calibri"/>
      <w:kern w:val="0"/>
      <w:sz w:val="24"/>
      <w:szCs w:val="24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EB506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B5068"/>
    <w:rPr>
      <w:rFonts w:ascii="Times New Roman" w:eastAsia="Times New Roman" w:hAnsi="Times New Roman" w:cs="Calibri"/>
      <w:kern w:val="0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3114</Characters>
  <Application>Microsoft Office Word</Application>
  <DocSecurity>0</DocSecurity>
  <Lines>25</Lines>
  <Paragraphs>7</Paragraphs>
  <ScaleCrop>false</ScaleCrop>
  <Company>HP Inc.</Company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Wilde Justyna</dc:creator>
  <cp:keywords/>
  <dc:description/>
  <cp:lastModifiedBy>Morawiec Joanna</cp:lastModifiedBy>
  <cp:revision>2</cp:revision>
  <dcterms:created xsi:type="dcterms:W3CDTF">2024-02-19T13:10:00Z</dcterms:created>
  <dcterms:modified xsi:type="dcterms:W3CDTF">2024-02-19T13:10:00Z</dcterms:modified>
</cp:coreProperties>
</file>