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E652D" w14:textId="77777777" w:rsidR="00FF0A73" w:rsidRPr="00A72B38" w:rsidRDefault="00FF0A73">
      <w:pPr>
        <w:pStyle w:val="Tekstpodstawowy"/>
        <w:ind w:left="0"/>
      </w:pPr>
    </w:p>
    <w:p w14:paraId="343C5241" w14:textId="77777777" w:rsidR="00FF0A73" w:rsidRPr="00A72B38" w:rsidRDefault="00FF0A73" w:rsidP="00B66F69">
      <w:pPr>
        <w:pStyle w:val="Tekstpodstawowy"/>
        <w:ind w:left="0"/>
      </w:pPr>
    </w:p>
    <w:tbl>
      <w:tblPr>
        <w:tblW w:w="8711" w:type="dxa"/>
        <w:jc w:val="right"/>
        <w:tblLayout w:type="fixed"/>
        <w:tblCellMar>
          <w:left w:w="0" w:type="dxa"/>
          <w:right w:w="0" w:type="dxa"/>
        </w:tblCellMar>
        <w:tblLook w:val="04A0" w:firstRow="1" w:lastRow="0" w:firstColumn="1" w:lastColumn="0" w:noHBand="0" w:noVBand="1"/>
      </w:tblPr>
      <w:tblGrid>
        <w:gridCol w:w="8711"/>
      </w:tblGrid>
      <w:tr w:rsidR="00DE3C09" w14:paraId="67042A88" w14:textId="77777777" w:rsidTr="00E0286C">
        <w:trPr>
          <w:jc w:val="right"/>
        </w:trPr>
        <w:tc>
          <w:tcPr>
            <w:tcW w:w="8711" w:type="dxa"/>
          </w:tcPr>
          <w:p w14:paraId="092C5877" w14:textId="77777777" w:rsidR="00FF0A73" w:rsidRPr="00A72B38" w:rsidRDefault="00FF0A73" w:rsidP="00E0286C">
            <w:pPr>
              <w:pStyle w:val="Zawartotabeli"/>
              <w:ind w:left="0"/>
            </w:pPr>
            <w:bookmarkStart w:id="0" w:name="ezdSprawaZnak"/>
            <w:r w:rsidRPr="00A72B38">
              <w:t>KR.51.286.2026</w:t>
            </w:r>
            <w:bookmarkEnd w:id="0"/>
            <w:r>
              <w:t>.KPE</w:t>
            </w:r>
          </w:p>
          <w:p w14:paraId="054A8056" w14:textId="77777777" w:rsidR="00FF0A73" w:rsidRPr="00A72B38" w:rsidRDefault="00FF0A73" w:rsidP="00E0286C">
            <w:pPr>
              <w:pStyle w:val="Zawartotabeli"/>
              <w:ind w:left="0"/>
            </w:pPr>
            <w:r w:rsidRPr="00A72B38">
              <w:t xml:space="preserve">Warszawa, </w:t>
            </w:r>
            <w:bookmarkStart w:id="1" w:name="ezdDataPodpisu"/>
            <w:r w:rsidRPr="00A72B38">
              <w:t>12 sierpnia 2026</w:t>
            </w:r>
            <w:bookmarkEnd w:id="1"/>
            <w:r w:rsidRPr="00A72B38">
              <w:t xml:space="preserve"> roku</w:t>
            </w:r>
          </w:p>
          <w:p w14:paraId="162A1213" w14:textId="77777777" w:rsidR="00FF0A73" w:rsidRPr="00A72B38" w:rsidRDefault="00FF0A73" w:rsidP="00E0286C">
            <w:pPr>
              <w:pStyle w:val="Zawartotabeli"/>
              <w:ind w:left="0"/>
            </w:pPr>
          </w:p>
        </w:tc>
      </w:tr>
      <w:tr w:rsidR="00DE3C09" w14:paraId="33EC00A0" w14:textId="77777777" w:rsidTr="00E0286C">
        <w:trPr>
          <w:jc w:val="right"/>
        </w:trPr>
        <w:tc>
          <w:tcPr>
            <w:tcW w:w="8711" w:type="dxa"/>
          </w:tcPr>
          <w:p w14:paraId="25E09620" w14:textId="77777777" w:rsidR="00FF0A73" w:rsidRPr="00A72B38" w:rsidRDefault="00FF0A73" w:rsidP="00E0286C">
            <w:pPr>
              <w:pStyle w:val="Zawartotabeli"/>
              <w:ind w:left="0"/>
            </w:pPr>
          </w:p>
        </w:tc>
      </w:tr>
      <w:tr w:rsidR="00DE3C09" w14:paraId="6B4DE926" w14:textId="77777777" w:rsidTr="00E0286C">
        <w:trPr>
          <w:jc w:val="right"/>
        </w:trPr>
        <w:tc>
          <w:tcPr>
            <w:tcW w:w="8711" w:type="dxa"/>
          </w:tcPr>
          <w:p w14:paraId="7FE0BA09" w14:textId="77777777" w:rsidR="00FF0A73" w:rsidRPr="00A72B38" w:rsidRDefault="00FF0A73" w:rsidP="00E0286C">
            <w:pPr>
              <w:pStyle w:val="Zawartotabeli"/>
              <w:ind w:left="0"/>
            </w:pPr>
          </w:p>
        </w:tc>
      </w:tr>
      <w:tr w:rsidR="00DE3C09" w14:paraId="56BBE9A4" w14:textId="77777777" w:rsidTr="00E0286C">
        <w:trPr>
          <w:trHeight w:val="1350"/>
          <w:jc w:val="right"/>
        </w:trPr>
        <w:tc>
          <w:tcPr>
            <w:tcW w:w="8711" w:type="dxa"/>
          </w:tcPr>
          <w:p w14:paraId="26F636A4" w14:textId="77777777" w:rsidR="00FF0A73" w:rsidRPr="004A560C" w:rsidRDefault="00FF0A73" w:rsidP="004A560C">
            <w:pPr>
              <w:tabs>
                <w:tab w:val="right" w:pos="9072"/>
              </w:tabs>
              <w:ind w:left="0"/>
              <w:rPr>
                <w:b/>
                <w:bCs/>
              </w:rPr>
            </w:pPr>
            <w:r w:rsidRPr="004A560C">
              <w:rPr>
                <w:b/>
                <w:bCs/>
              </w:rPr>
              <w:t>Pan</w:t>
            </w:r>
          </w:p>
          <w:p w14:paraId="4E9AF157" w14:textId="77777777" w:rsidR="00FF0A73" w:rsidRPr="004A560C" w:rsidRDefault="00FF0A73" w:rsidP="004A560C">
            <w:pPr>
              <w:tabs>
                <w:tab w:val="right" w:pos="9072"/>
              </w:tabs>
              <w:ind w:left="0"/>
              <w:rPr>
                <w:b/>
                <w:bCs/>
              </w:rPr>
            </w:pPr>
            <w:r w:rsidRPr="004A560C">
              <w:rPr>
                <w:b/>
                <w:bCs/>
              </w:rPr>
              <w:t>Dariusz Standerski</w:t>
            </w:r>
          </w:p>
          <w:p w14:paraId="2929868D" w14:textId="77777777" w:rsidR="00FF0A73" w:rsidRDefault="00FF0A73" w:rsidP="004A560C">
            <w:pPr>
              <w:tabs>
                <w:tab w:val="right" w:pos="9072"/>
              </w:tabs>
              <w:ind w:left="0"/>
            </w:pPr>
            <w:r>
              <w:t>Sekretarz Stanu</w:t>
            </w:r>
          </w:p>
          <w:p w14:paraId="391B90EF" w14:textId="77777777" w:rsidR="00FF0A73" w:rsidRPr="00A72B38" w:rsidRDefault="00FF0A73" w:rsidP="00E0286C">
            <w:pPr>
              <w:pStyle w:val="Zawartotabeli"/>
              <w:ind w:left="0"/>
            </w:pPr>
            <w:r>
              <w:t>Ministerstwo Cyfryzacji</w:t>
            </w:r>
          </w:p>
          <w:p w14:paraId="71940620" w14:textId="77777777" w:rsidR="00FF0A73" w:rsidRPr="00A72B38" w:rsidRDefault="00FF0A73" w:rsidP="00E0286C">
            <w:pPr>
              <w:pStyle w:val="Zawartotabeli"/>
              <w:ind w:left="0"/>
            </w:pPr>
          </w:p>
        </w:tc>
      </w:tr>
    </w:tbl>
    <w:p w14:paraId="01FF27B3" w14:textId="77777777" w:rsidR="00FF0A73" w:rsidRDefault="00FF0A73" w:rsidP="004A560C">
      <w:pPr>
        <w:spacing w:after="240" w:line="276" w:lineRule="auto"/>
        <w:jc w:val="both"/>
      </w:pPr>
      <w:r>
        <w:t>Szanowny Panie Ministrze,</w:t>
      </w:r>
    </w:p>
    <w:p w14:paraId="34A2BFD1" w14:textId="77777777" w:rsidR="00FF0A73" w:rsidRDefault="00FF0A73" w:rsidP="004A560C">
      <w:pPr>
        <w:spacing w:after="120" w:line="276" w:lineRule="auto"/>
        <w:jc w:val="both"/>
      </w:pPr>
      <w:r>
        <w:t>w odpowiedzi na pismo z 23 lipca 2026 r. (</w:t>
      </w:r>
      <w:r w:rsidRPr="004A560C">
        <w:t>DP.MC.WLA.0211.49.2025</w:t>
      </w:r>
      <w:r>
        <w:t>) dotyczące projektu rozporządzenia Rady Ministrów w sprawie repozytorium interoperacyjności (RD309) Prokuratoria Generalna przedstawia następujące uwagi.</w:t>
      </w:r>
    </w:p>
    <w:p w14:paraId="62A57AD6" w14:textId="77777777" w:rsidR="00FF0A73" w:rsidRDefault="00FF0A73" w:rsidP="00E51FC7">
      <w:pPr>
        <w:pStyle w:val="Akapitzlist"/>
        <w:numPr>
          <w:ilvl w:val="0"/>
          <w:numId w:val="1"/>
        </w:numPr>
        <w:spacing w:after="120" w:line="276" w:lineRule="auto"/>
        <w:ind w:left="1418" w:hanging="425"/>
        <w:jc w:val="both"/>
      </w:pPr>
      <w:r>
        <w:t>W odniesieniu do projektowanych § 8-10 nie jest jasne</w:t>
      </w:r>
      <w:r w:rsidRPr="006D787E">
        <w:t>, czy</w:t>
      </w:r>
      <w:r>
        <w:t xml:space="preserve"> intencją projektodawcy jest, aby</w:t>
      </w:r>
      <w:r w:rsidRPr="006D787E">
        <w:t xml:space="preserve"> role administratora podmiotu, reprezentanta </w:t>
      </w:r>
      <w:r>
        <w:t>i</w:t>
      </w:r>
      <w:r w:rsidRPr="006D787E">
        <w:t xml:space="preserve"> akceptującego mog</w:t>
      </w:r>
      <w:r>
        <w:t>ły</w:t>
      </w:r>
      <w:r w:rsidRPr="006D787E">
        <w:t xml:space="preserve"> być łączone przez jednego użytkownika.</w:t>
      </w:r>
      <w:r>
        <w:t xml:space="preserve"> </w:t>
      </w:r>
      <w:r w:rsidRPr="006D787E">
        <w:t xml:space="preserve">W podmiotach o </w:t>
      </w:r>
      <w:r>
        <w:t>mniej licznych</w:t>
      </w:r>
      <w:r w:rsidRPr="006D787E">
        <w:t xml:space="preserve"> zasobach kadrowych brak możliwości łączenia ról może powodować trudności organizacyjne</w:t>
      </w:r>
      <w:r>
        <w:t>, w tym w zakresie zapewnienia zastępstw</w:t>
      </w:r>
      <w:r w:rsidRPr="006D787E">
        <w:t xml:space="preserve">. </w:t>
      </w:r>
      <w:r>
        <w:t>Z drugiej strony m</w:t>
      </w:r>
      <w:r w:rsidRPr="006D787E">
        <w:t>ożliwość łączenia roli osoby wprowadzającej i akceptującej informacje może</w:t>
      </w:r>
      <w:r>
        <w:t xml:space="preserve"> budzić w praktyce wątpliwości pod kątem</w:t>
      </w:r>
      <w:r w:rsidRPr="006D787E">
        <w:t xml:space="preserve"> </w:t>
      </w:r>
      <w:r>
        <w:t>ewentualnej potrzeby zachowania</w:t>
      </w:r>
      <w:r w:rsidRPr="006D787E">
        <w:t xml:space="preserve"> zasad</w:t>
      </w:r>
      <w:r>
        <w:t>y</w:t>
      </w:r>
      <w:r w:rsidRPr="006D787E">
        <w:t xml:space="preserve"> rozdzielenia czynności. Jednoznaczne określenie zasad jest potrzebne do prawidłowego nadania uprawnień oraz ustanowienia wewnętrznej odpowiedzialności za publikowane informacje.</w:t>
      </w:r>
      <w:r>
        <w:t xml:space="preserve"> </w:t>
      </w:r>
      <w:r w:rsidRPr="006D787E">
        <w:t>Proponujemy jednoznaczne wskazanie, które role mogą być łączone, a które powinny pozostać rozdzielone. W szczególności należy rozważyć rozdzielenie roli reprezentanta wprowadzającego informacj</w:t>
      </w:r>
      <w:r>
        <w:t>e</w:t>
      </w:r>
      <w:r w:rsidRPr="006D787E">
        <w:t xml:space="preserve"> od roli akceptującego.</w:t>
      </w:r>
    </w:p>
    <w:p w14:paraId="01664048" w14:textId="77777777" w:rsidR="00FF0A73" w:rsidRDefault="00FF0A73" w:rsidP="001C0F76">
      <w:pPr>
        <w:pStyle w:val="Akapitzlist"/>
        <w:numPr>
          <w:ilvl w:val="0"/>
          <w:numId w:val="1"/>
        </w:numPr>
        <w:spacing w:after="120" w:line="276" w:lineRule="auto"/>
        <w:ind w:left="1418" w:hanging="425"/>
        <w:jc w:val="both"/>
      </w:pPr>
      <w:r w:rsidRPr="00E51FC7">
        <w:t xml:space="preserve">Art. 12k ust. 4 pkt 1 ustawy </w:t>
      </w:r>
      <w:r>
        <w:t xml:space="preserve">o informatyzacji działalności podmiotów realizujących zadania publiczne </w:t>
      </w:r>
      <w:r w:rsidRPr="00E51FC7">
        <w:t>przewiduje, że podmiot publikuje informacje w repozytorium albo wskazuje podstawę prawną, z której wynika obowiązek zachowania ich niejawności. Ma</w:t>
      </w:r>
      <w:r>
        <w:t> </w:t>
      </w:r>
      <w:r w:rsidRPr="00E51FC7">
        <w:t>to szczególne znaczenie w odniesieniu do informacji technicznych dotyczących punktów dostępowych API, dokumentacji integracyjnej, stosowanych protokołów, poziomu dostępności oraz sposobów dostępu do danych w sytuacji niedostępności systemu.</w:t>
      </w:r>
      <w:r>
        <w:t xml:space="preserve"> Projektowane</w:t>
      </w:r>
      <w:r w:rsidRPr="00E51FC7">
        <w:t xml:space="preserve"> § </w:t>
      </w:r>
      <w:r>
        <w:t xml:space="preserve">9 ust. 2, § </w:t>
      </w:r>
      <w:r w:rsidRPr="00E51FC7">
        <w:t>11 i § 12 zostały sformułowane jako bezwarunkowy obowiązek publikacji</w:t>
      </w:r>
      <w:r>
        <w:t>, co – z uwagi na specyfikę projektowanej regulacji – może być mylące dla jej adresatów. Proponujemy rozważenie uzupełnienia projektowanych przepisów o treść wskazującą na ustawowy obowiązek podania podstawy prawnej</w:t>
      </w:r>
      <w:r w:rsidRPr="00E51FC7">
        <w:t>, z</w:t>
      </w:r>
      <w:r>
        <w:t> </w:t>
      </w:r>
      <w:r w:rsidRPr="00E51FC7">
        <w:t>której wynika obowiązek zachowania niejawności</w:t>
      </w:r>
      <w:r>
        <w:t xml:space="preserve"> informacji, ewentualnie szersze wyjaśnienie tej kwestii w uzasadnieniu projektu.</w:t>
      </w:r>
    </w:p>
    <w:p w14:paraId="4ABCCA25" w14:textId="77777777" w:rsidR="00FF0A73" w:rsidRDefault="00FF0A73" w:rsidP="00E51FC7">
      <w:pPr>
        <w:pStyle w:val="Akapitzlist"/>
        <w:numPr>
          <w:ilvl w:val="0"/>
          <w:numId w:val="1"/>
        </w:numPr>
        <w:spacing w:after="120" w:line="276" w:lineRule="auto"/>
        <w:ind w:left="1418" w:hanging="425"/>
        <w:jc w:val="both"/>
      </w:pPr>
      <w:r>
        <w:t xml:space="preserve">W zakresie obowiązków wynikających z </w:t>
      </w:r>
      <w:r w:rsidRPr="00E51FC7">
        <w:t>§ 11 ust. 1</w:t>
      </w:r>
      <w:r>
        <w:t xml:space="preserve"> i</w:t>
      </w:r>
      <w:r w:rsidRPr="00E51FC7">
        <w:t xml:space="preserve"> § 12 ust. 1 </w:t>
      </w:r>
      <w:r>
        <w:t>może nie być jasn</w:t>
      </w:r>
      <w:r>
        <w:t>a intencja projektodawcy co do</w:t>
      </w:r>
      <w:r>
        <w:t xml:space="preserve"> </w:t>
      </w:r>
      <w:r w:rsidRPr="00E51FC7">
        <w:t>termin</w:t>
      </w:r>
      <w:r>
        <w:t>u</w:t>
      </w:r>
      <w:r w:rsidRPr="00E51FC7">
        <w:t xml:space="preserve"> pierwszego opublikowania informacji dotyczących rejestrów publicznych i API systemów istniejących przed wejści</w:t>
      </w:r>
      <w:r>
        <w:t>em</w:t>
      </w:r>
      <w:r w:rsidRPr="00E51FC7">
        <w:t xml:space="preserve"> w życie rozporządzenia</w:t>
      </w:r>
      <w:r>
        <w:t xml:space="preserve">. Projektowane przepisy </w:t>
      </w:r>
      <w:r w:rsidRPr="00E51FC7">
        <w:t xml:space="preserve">wiążą obowiązek publikacji z powstaniem albo </w:t>
      </w:r>
      <w:r w:rsidRPr="00E51FC7">
        <w:lastRenderedPageBreak/>
        <w:t>zmianą informacji. Nie wynika z nich jednoznacznie, w jakim terminie należy opublikować informacje dotyczące rejestrów i systemów już funkcjonujących 23 lutego 2027 r. Może to powodować rozbieżności interpretacyjne oraz wątpliwoś</w:t>
      </w:r>
      <w:r>
        <w:t>ci</w:t>
      </w:r>
      <w:r w:rsidRPr="00E51FC7">
        <w:t>, czy obowiązek ma być wykonany w dniu wejścia w życie rozporządzenia, przy pierwszej późniejszej zmianie, czy w innym terminie. Podmioty publiczne będą musiały wcześniej zinwentaryzować rejestry i systemy, przygotować dokumentację API, wyznaczyć użytkowników repozytorium oraz ustanowić wewnętrzny proces weryfikacji i</w:t>
      </w:r>
      <w:r>
        <w:t> </w:t>
      </w:r>
      <w:r w:rsidRPr="00E51FC7">
        <w:t>akceptacji publikowanych informacji.</w:t>
      </w:r>
      <w:r>
        <w:t xml:space="preserve"> Proponujemy rozważenie przepisów dostosowujących, ewentualnie szersze wyjaśnienie tych kwestii w uzasadnieniu projektu.</w:t>
      </w:r>
    </w:p>
    <w:p w14:paraId="47A3CBED" w14:textId="77777777" w:rsidR="00FF0A73" w:rsidRDefault="00FF0A73" w:rsidP="00E51FC7">
      <w:pPr>
        <w:pStyle w:val="Akapitzlist"/>
        <w:numPr>
          <w:ilvl w:val="0"/>
          <w:numId w:val="1"/>
        </w:numPr>
        <w:spacing w:after="120" w:line="276" w:lineRule="auto"/>
        <w:ind w:left="1418" w:hanging="425"/>
        <w:jc w:val="both"/>
      </w:pPr>
      <w:r>
        <w:t xml:space="preserve">W </w:t>
      </w:r>
      <w:r>
        <w:t xml:space="preserve">odniesieniu do </w:t>
      </w:r>
      <w:r>
        <w:t>projektowa</w:t>
      </w:r>
      <w:r>
        <w:t>nego</w:t>
      </w:r>
      <w:r>
        <w:t xml:space="preserve"> § 12 ust. 3 proponujemy</w:t>
      </w:r>
      <w:r w:rsidRPr="00FE0C27">
        <w:t xml:space="preserve"> doprecyzować, kiedy powstaje obowiązek publikacji informacji o nieprzewidzianej niedostępności API.</w:t>
      </w:r>
      <w:r w:rsidRPr="00FE0C27">
        <w:tab/>
        <w:t>Obecne brzmienie nie określa, czy obowiązek dotyczy każdej, nawet krótkotrwałej przerwy, czy dopiero niedostępności przekraczającej gwarantowany poziom dostępności API. Nie określono również, od którego momentu biegnie obowiązek „niezwłocznej” publikacji, jaki powinien być zakres komunikatu ani czy informacja może być przekazywana automatycznie.</w:t>
      </w:r>
      <w:r>
        <w:t xml:space="preserve"> Wyrażona w projekcie zasada całodobowego dostępu do repozytorium (§ 7) może prowadzić do wniosku o konieczności</w:t>
      </w:r>
      <w:r w:rsidRPr="00762EAD">
        <w:t xml:space="preserve"> całodobowego monitorowania API oraz zapewnienia całodobowej gotowości pracowników</w:t>
      </w:r>
      <w:r>
        <w:t xml:space="preserve"> podmiotu</w:t>
      </w:r>
      <w:r w:rsidRPr="00762EAD">
        <w:t>.</w:t>
      </w:r>
      <w:r>
        <w:t xml:space="preserve"> </w:t>
      </w:r>
      <w:r w:rsidRPr="00FE0C27">
        <w:t>Proponujemy określenie, że informacja jest publikowana po</w:t>
      </w:r>
      <w:r>
        <w:t> </w:t>
      </w:r>
      <w:r w:rsidRPr="00FE0C27">
        <w:t>potwierdzeniu niedostępności API, jeżeli przewidywany albo rzeczywisty czas niedostępności przekracza poziom wynikający z opublikowanej informacji o</w:t>
      </w:r>
      <w:r>
        <w:t> </w:t>
      </w:r>
      <w:r w:rsidRPr="00FE0C27">
        <w:t xml:space="preserve">gwarantowanej dostępności. </w:t>
      </w:r>
      <w:r>
        <w:t>Zasadne wydaje się także, aby określić</w:t>
      </w:r>
      <w:r w:rsidRPr="00FE0C27">
        <w:t xml:space="preserve"> minimalny zakres komunikatu oraz dopuścić automatyczne przekazywanie informacji do repozytorium.</w:t>
      </w:r>
    </w:p>
    <w:p w14:paraId="71D32A45" w14:textId="77777777" w:rsidR="00FF0A73" w:rsidRDefault="00FF0A73" w:rsidP="00CD30E0">
      <w:pPr>
        <w:pStyle w:val="Akapitzlist"/>
        <w:numPr>
          <w:ilvl w:val="0"/>
          <w:numId w:val="1"/>
        </w:numPr>
        <w:spacing w:after="120" w:line="276" w:lineRule="auto"/>
        <w:ind w:left="1418" w:hanging="425"/>
        <w:jc w:val="both"/>
      </w:pPr>
      <w:r>
        <w:t xml:space="preserve">W odniesieniu do projektowanego § 12 ust. 4 proponujemy </w:t>
      </w:r>
      <w:r w:rsidRPr="00CD30E0">
        <w:t>określ</w:t>
      </w:r>
      <w:r>
        <w:t>i</w:t>
      </w:r>
      <w:r w:rsidRPr="00CD30E0">
        <w:t>ć minimalny zakres, poziom szczegółowości i format publikowanych statystyk użycia API.</w:t>
      </w:r>
      <w:r w:rsidRPr="00CD30E0">
        <w:tab/>
      </w:r>
      <w:r w:rsidRPr="00CD30E0">
        <w:t>Obowiązek comiesięcznej publikacji statystyk nie wskazuje, jakie informacje mają być publikowane. Brak jednolitego zakresu może prowadzić do nieporównywalności danych oraz do publikowania informacji zbyt szczegółowych z punktu widzenia bezpieczeństwa systemów, np. informacji pozwalających ustalić szczegółowe wzorce ruchu, liczbę zapytań w krótkich przedziałach czasu, użytkowników API albo sposób wykorzystania poszczególnych punktów dostępowych.</w:t>
      </w:r>
      <w:r>
        <w:t xml:space="preserve"> </w:t>
      </w:r>
      <w:r w:rsidRPr="00CD30E0">
        <w:t>Proponuje</w:t>
      </w:r>
      <w:r>
        <w:t>my</w:t>
      </w:r>
      <w:r w:rsidRPr="00CD30E0">
        <w:t xml:space="preserve"> określenie jednolitego zakresu i formatu statystyk, obejmującego wyłącznie dane zagregowane. </w:t>
      </w:r>
      <w:r>
        <w:t>P</w:t>
      </w:r>
      <w:r w:rsidRPr="00CD30E0">
        <w:t>ublikowane statystyki nie mogą umożliwiać identyfikacji użytkowników API ani ujawniać informacji technicznych mogących obniżać bezpieczeństwo systemu.</w:t>
      </w:r>
    </w:p>
    <w:p w14:paraId="4D099DD7" w14:textId="77777777" w:rsidR="00FF0A73" w:rsidRDefault="00FF0A73" w:rsidP="00CD30E0">
      <w:pPr>
        <w:pStyle w:val="Akapitzlist"/>
        <w:numPr>
          <w:ilvl w:val="0"/>
          <w:numId w:val="1"/>
        </w:numPr>
        <w:spacing w:after="120" w:line="276" w:lineRule="auto"/>
        <w:ind w:left="1418" w:hanging="425"/>
        <w:jc w:val="both"/>
      </w:pPr>
      <w:r>
        <w:t xml:space="preserve">W odniesieniu do projektowanego § 13 ust. 1 proponujemy </w:t>
      </w:r>
      <w:r w:rsidRPr="00CD30E0">
        <w:t>doprecyzować techniczny sposób pobierania metadanych oraz informacji o API z systemów podmiotów realizujących zadania publiczne.</w:t>
      </w:r>
      <w:r>
        <w:t xml:space="preserve"> </w:t>
      </w:r>
      <w:r w:rsidRPr="00CD30E0">
        <w:t>Sformułowanie</w:t>
      </w:r>
      <w:r>
        <w:t xml:space="preserve"> </w:t>
      </w:r>
      <w:r w:rsidRPr="00CD30E0">
        <w:t>„umożliwia pobieranie (…) z</w:t>
      </w:r>
      <w:r>
        <w:t> </w:t>
      </w:r>
      <w:r w:rsidRPr="00CD30E0">
        <w:t xml:space="preserve">właściwych rejestrów publicznych lub systemów teleinformatycznych” nie </w:t>
      </w:r>
      <w:r>
        <w:t>wskazuje</w:t>
      </w:r>
      <w:r w:rsidRPr="00CD30E0">
        <w:t>, czy repozytorium ma otrzymać bezpośredni dostęp do systemów podmiotu, czy informacje będą przekazywane za pośrednictwem przygotowanego interfejsu, pliku albo formularza. Nie określono również zasad uwierzytelniania, autoryzacji, zabezpieczenia transmisji, rejestrowania operacji ani zakresu danych dostępnych dla repozytorium.</w:t>
      </w:r>
      <w:r w:rsidRPr="00CD30E0">
        <w:tab/>
        <w:t xml:space="preserve">Proponujemy doprecyzowanie, że pobieranie odbywa się wyłącznie </w:t>
      </w:r>
      <w:r w:rsidRPr="00CD30E0">
        <w:lastRenderedPageBreak/>
        <w:t>w</w:t>
      </w:r>
      <w:r>
        <w:t> </w:t>
      </w:r>
      <w:r w:rsidRPr="00CD30E0">
        <w:t>zakresie informacji świadomie udostępnionych przez obowiązany podmiot, za</w:t>
      </w:r>
      <w:r>
        <w:t> </w:t>
      </w:r>
      <w:r w:rsidRPr="00CD30E0">
        <w:t>pośrednictwem bezpiecznego mechanizmu określonego przez ministra właściwego do spraw informatyzacji. Przepis powinien wykluczać możliwość uzyskania bezpośredniego dostępu do wewnętrznych systemów lub danych podmiotu poza zakresem przeznaczonym do publikacji.</w:t>
      </w:r>
    </w:p>
    <w:p w14:paraId="04F915DA" w14:textId="77777777" w:rsidR="00FF0A73" w:rsidRPr="00A72B38" w:rsidRDefault="00FF0A73" w:rsidP="00B92802">
      <w:pPr>
        <w:pStyle w:val="Akapitzlist"/>
        <w:numPr>
          <w:ilvl w:val="0"/>
          <w:numId w:val="1"/>
        </w:numPr>
        <w:spacing w:after="120" w:line="276" w:lineRule="auto"/>
        <w:ind w:left="1418" w:hanging="425"/>
        <w:jc w:val="both"/>
      </w:pPr>
      <w:r w:rsidRPr="00B92802">
        <w:t>OSR nie przedstawia pełnego wpływu regulacji na koszty i obciążenia organizacyjne podmiotów publicznych.</w:t>
      </w:r>
      <w:r>
        <w:t xml:space="preserve"> </w:t>
      </w:r>
      <w:r w:rsidRPr="00B92802">
        <w:t>Projekt wprowadza obowiązki wymagające inwentaryzacji systemów i rejestrów, przygotowania i aktualizacji dokumentacji API, generowania miesięcznych statystyk, obsługi zmian i awarii, wyznaczenia osób do obsługi repozytorium oraz dostosowania procedur i umów z dostawcami systemów. Stwierdzenie, że wydatki zostały ujęte jako skutek ustawy, nie przedstawia rzeczywistego nakładu organizacyjnego i technicznego wynikającego z częstotliwości oraz sposobu realizacji obowiązków określonych dopiero w projekcie rozpor</w:t>
      </w:r>
      <w:r w:rsidRPr="00B92802">
        <w:t>ządzenia.</w:t>
      </w:r>
      <w:r>
        <w:t xml:space="preserve"> </w:t>
      </w:r>
      <w:r w:rsidRPr="00B92802">
        <w:t>Proponujemy uzupełnienie OSR o analizę kosztów i nakładów po stronie podmiotów publicznych, w tym kosztów dostosowania systemów, dokumentacji, umów serwisowych, monitorowania API, generowania statystyk oraz zapewnienia zasobów osobowych do obsługi repozytorium.</w:t>
      </w:r>
    </w:p>
    <w:p w14:paraId="62C81061" w14:textId="77777777" w:rsidR="00FF0A73" w:rsidRPr="00A72B38" w:rsidRDefault="00FF0A73"/>
    <w:p w14:paraId="30293E51" w14:textId="77777777" w:rsidR="00FF0A73" w:rsidRDefault="00FF0A73" w:rsidP="004A560C">
      <w:pPr>
        <w:rPr>
          <w:spacing w:val="-2"/>
        </w:rPr>
      </w:pPr>
      <w:r w:rsidRPr="00A72B38">
        <w:t xml:space="preserve">Z </w:t>
      </w:r>
      <w:r>
        <w:rPr>
          <w:spacing w:val="-2"/>
        </w:rPr>
        <w:t>szacunkiem</w:t>
      </w:r>
    </w:p>
    <w:p w14:paraId="3948848A" w14:textId="77777777" w:rsidR="00FF0A73" w:rsidRPr="00A72B38" w:rsidRDefault="00FF0A73">
      <w:pPr>
        <w:rPr>
          <w:spacing w:val="-2"/>
        </w:rPr>
      </w:pPr>
    </w:p>
    <w:tbl>
      <w:tblPr>
        <w:tblW w:w="6124" w:type="dxa"/>
        <w:tblInd w:w="964" w:type="dxa"/>
        <w:tblLayout w:type="fixed"/>
        <w:tblCellMar>
          <w:left w:w="0" w:type="dxa"/>
          <w:right w:w="0" w:type="dxa"/>
        </w:tblCellMar>
        <w:tblLook w:val="04A0" w:firstRow="1" w:lastRow="0" w:firstColumn="1" w:lastColumn="0" w:noHBand="0" w:noVBand="1"/>
      </w:tblPr>
      <w:tblGrid>
        <w:gridCol w:w="6124"/>
      </w:tblGrid>
      <w:tr w:rsidR="00DE3C09" w14:paraId="70E8BC3C" w14:textId="77777777" w:rsidTr="00B85222">
        <w:trPr>
          <w:trHeight w:val="900"/>
        </w:trPr>
        <w:tc>
          <w:tcPr>
            <w:tcW w:w="6124" w:type="dxa"/>
          </w:tcPr>
          <w:p w14:paraId="2E11772E" w14:textId="77777777" w:rsidR="00FF0A73" w:rsidRDefault="00FF0A73" w:rsidP="006615D8">
            <w:pPr>
              <w:pStyle w:val="Zawartotabeli"/>
              <w:ind w:left="0"/>
            </w:pPr>
            <w:r>
              <w:t>Marek Miller</w:t>
            </w:r>
          </w:p>
          <w:p w14:paraId="6F15D967" w14:textId="77777777" w:rsidR="00FF0A73" w:rsidRDefault="00FF0A73" w:rsidP="006615D8">
            <w:pPr>
              <w:pStyle w:val="Zawartotabeli"/>
              <w:ind w:left="0"/>
            </w:pPr>
            <w:r w:rsidRPr="00FB4BBB">
              <w:t>Prezes Prokuratorii Generalnej Rzeczypospolitej Polskiej</w:t>
            </w:r>
          </w:p>
          <w:p w14:paraId="34423F60" w14:textId="77777777" w:rsidR="00FF0A73" w:rsidRDefault="00FF0A73" w:rsidP="00691E5D">
            <w:pPr>
              <w:pStyle w:val="Zawartotabeli"/>
              <w:ind w:left="0"/>
            </w:pPr>
          </w:p>
          <w:p w14:paraId="6C86228F" w14:textId="77777777" w:rsidR="00FF0A73" w:rsidRPr="00202E22" w:rsidRDefault="00FF0A73" w:rsidP="00691E5D">
            <w:pPr>
              <w:pStyle w:val="Zawartotabeli"/>
              <w:ind w:left="0"/>
              <w:rPr>
                <w:i/>
                <w:iCs/>
              </w:rPr>
            </w:pPr>
            <w:r w:rsidRPr="00202E22">
              <w:rPr>
                <w:i/>
                <w:iCs/>
              </w:rPr>
              <w:t>/podpisano elektronicznie/</w:t>
            </w:r>
          </w:p>
        </w:tc>
      </w:tr>
    </w:tbl>
    <w:p w14:paraId="2B8A4667" w14:textId="77777777" w:rsidR="00FF0A73" w:rsidRDefault="00FF0A73" w:rsidP="004A560C">
      <w:pPr>
        <w:pStyle w:val="Tekstpodstawowy"/>
        <w:ind w:left="0"/>
      </w:pPr>
    </w:p>
    <w:sectPr w:rsidR="00A0420E">
      <w:headerReference w:type="default" r:id="rId8"/>
      <w:footerReference w:type="default" r:id="rId9"/>
      <w:headerReference w:type="first" r:id="rId10"/>
      <w:footerReference w:type="first" r:id="rId11"/>
      <w:pgSz w:w="11906" w:h="16838"/>
      <w:pgMar w:top="1624" w:right="1200" w:bottom="1329" w:left="1060" w:header="660" w:footer="280" w:gutter="0"/>
      <w:cols w:space="708"/>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26451" w14:textId="77777777" w:rsidR="00FF0A73" w:rsidRDefault="00FF0A73">
      <w:r>
        <w:separator/>
      </w:r>
    </w:p>
  </w:endnote>
  <w:endnote w:type="continuationSeparator" w:id="0">
    <w:p w14:paraId="3B2C725E" w14:textId="77777777" w:rsidR="00FF0A73" w:rsidRDefault="00FF0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ato">
    <w:panose1 w:val="020F0502020204030203"/>
    <w:charset w:val="00"/>
    <w:family w:val="swiss"/>
    <w:pitch w:val="variable"/>
    <w:sig w:usb0="E10002FF" w:usb1="5000ECFF" w:usb2="00000021" w:usb3="00000000" w:csb0="0000019F" w:csb1="00000000"/>
    <w:embedRegular r:id="rId1" w:fontKey="{C11214DF-B448-4617-AB08-3BFC8FC38EF9}"/>
    <w:embedBold r:id="rId2" w:fontKey="{31BC8D19-F948-4D4A-9E7E-5B1899BAA8CB}"/>
    <w:embedItalic r:id="rId3" w:fontKey="{5A4BA07C-4138-4CAC-9A80-2EAEDC81EC02}"/>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152454"/>
      <w:docPartObj>
        <w:docPartGallery w:val="Page Numbers (Bottom of Page)"/>
        <w:docPartUnique/>
      </w:docPartObj>
    </w:sdtPr>
    <w:sdtEndPr/>
    <w:sdtContent>
      <w:p w14:paraId="791B0E76" w14:textId="77777777" w:rsidR="00FF0A73" w:rsidRDefault="00FF0A73">
        <w:pPr>
          <w:pStyle w:val="Stopka"/>
          <w:jc w:val="right"/>
        </w:pPr>
        <w:r>
          <w:fldChar w:fldCharType="begin"/>
        </w:r>
        <w:r>
          <w:instrText>PAGE   \* MERGEFORMAT</w:instrText>
        </w:r>
        <w:r>
          <w:fldChar w:fldCharType="separate"/>
        </w:r>
        <w:r>
          <w:t>2</w:t>
        </w:r>
        <w:r>
          <w:fldChar w:fldCharType="end"/>
        </w:r>
      </w:p>
    </w:sdtContent>
  </w:sdt>
  <w:p w14:paraId="1E06BE41" w14:textId="77777777" w:rsidR="00FF0A73" w:rsidRPr="00A72B38" w:rsidRDefault="00FF0A73">
    <w:pPr>
      <w:pStyle w:val="Stopka"/>
      <w:ind w:left="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89" w:type="dxa"/>
      <w:jc w:val="right"/>
      <w:tblLayout w:type="fixed"/>
      <w:tblCellMar>
        <w:left w:w="0" w:type="dxa"/>
        <w:right w:w="0" w:type="dxa"/>
      </w:tblCellMar>
      <w:tblLook w:val="0000" w:firstRow="0" w:lastRow="0" w:firstColumn="0" w:lastColumn="0" w:noHBand="0" w:noVBand="0"/>
    </w:tblPr>
    <w:tblGrid>
      <w:gridCol w:w="6708"/>
      <w:gridCol w:w="1981"/>
    </w:tblGrid>
    <w:tr w:rsidR="00DE3C09" w14:paraId="1A11467B" w14:textId="77777777">
      <w:trPr>
        <w:trHeight w:val="113"/>
        <w:jc w:val="right"/>
      </w:trPr>
      <w:tc>
        <w:tcPr>
          <w:tcW w:w="6707" w:type="dxa"/>
        </w:tcPr>
        <w:p w14:paraId="64938F33" w14:textId="77777777" w:rsidR="00FF0A73" w:rsidRPr="00E25B3B" w:rsidRDefault="00FF0A73">
          <w:pPr>
            <w:pStyle w:val="Zawartotabeli"/>
            <w:ind w:left="0"/>
            <w:rPr>
              <w:sz w:val="16"/>
              <w:szCs w:val="16"/>
              <w:lang w:val="en-US"/>
            </w:rPr>
          </w:pPr>
          <w:r w:rsidRPr="00E25B3B">
            <w:rPr>
              <w:sz w:val="16"/>
              <w:szCs w:val="16"/>
              <w:lang w:val="en-US"/>
            </w:rPr>
            <w:t>tel. +48 22 392 31 09</w:t>
          </w:r>
        </w:p>
        <w:p w14:paraId="0BE991AA" w14:textId="77777777" w:rsidR="00FF0A73" w:rsidRPr="00E25B3B" w:rsidRDefault="00FF0A73">
          <w:pPr>
            <w:pStyle w:val="Zawartotabeli"/>
            <w:ind w:left="0"/>
            <w:rPr>
              <w:sz w:val="16"/>
              <w:szCs w:val="16"/>
              <w:lang w:val="en-US"/>
            </w:rPr>
          </w:pPr>
          <w:proofErr w:type="spellStart"/>
          <w:r w:rsidRPr="00E25B3B">
            <w:rPr>
              <w:sz w:val="16"/>
              <w:szCs w:val="16"/>
              <w:lang w:val="en-US"/>
            </w:rPr>
            <w:t>kancelaria@prokuratoria.gov.pl</w:t>
          </w:r>
          <w:proofErr w:type="spellEnd"/>
        </w:p>
        <w:p w14:paraId="1A85DD15" w14:textId="77777777" w:rsidR="00FF0A73" w:rsidRPr="00E25B3B" w:rsidRDefault="00FF0A73">
          <w:pPr>
            <w:pStyle w:val="Zawartotabeli"/>
            <w:ind w:left="0"/>
            <w:rPr>
              <w:sz w:val="16"/>
              <w:szCs w:val="16"/>
              <w:lang w:val="en-US"/>
            </w:rPr>
          </w:pPr>
          <w:r w:rsidRPr="00A72B38">
            <w:rPr>
              <w:noProof/>
            </w:rPr>
            <mc:AlternateContent>
              <mc:Choice Requires="wps">
                <w:drawing>
                  <wp:anchor distT="0" distB="0" distL="0" distR="0" simplePos="0" relativeHeight="251662336" behindDoc="1" locked="0" layoutInCell="1" allowOverlap="1" wp14:anchorId="5B96447C" wp14:editId="2ECE21FD">
                    <wp:simplePos x="0" y="0"/>
                    <wp:positionH relativeFrom="column">
                      <wp:posOffset>-8255</wp:posOffset>
                    </wp:positionH>
                    <wp:positionV relativeFrom="paragraph">
                      <wp:posOffset>-368300</wp:posOffset>
                    </wp:positionV>
                    <wp:extent cx="5527040" cy="1270"/>
                    <wp:effectExtent l="0" t="0" r="0" b="0"/>
                    <wp:wrapNone/>
                    <wp:docPr id="3" name="Kształt2"/>
                    <wp:cNvGraphicFramePr/>
                    <a:graphic xmlns:a="http://schemas.openxmlformats.org/drawingml/2006/main">
                      <a:graphicData uri="http://schemas.microsoft.com/office/word/2010/wordprocessingShape">
                        <wps:wsp>
                          <wps:cNvCnPr/>
                          <wps:spPr>
                            <a:xfrm>
                              <a:off x="0" y="0"/>
                              <a:ext cx="5526360" cy="0"/>
                            </a:xfrm>
                            <a:prstGeom prst="line">
                              <a:avLst/>
                            </a:prstGeom>
                            <a:ln>
                              <a:solidFill>
                                <a:srgbClr val="808080"/>
                              </a:solidFill>
                            </a:ln>
                          </wps:spPr>
                          <wps:style>
                            <a:lnRef idx="0">
                              <a:scrgbClr r="0" g="0" b="0"/>
                            </a:lnRef>
                            <a:fillRef idx="0">
                              <a:scrgbClr r="0" g="0" b="0"/>
                            </a:fillRef>
                            <a:effectRef idx="0">
                              <a:scrgbClr r="0" g="0" b="0"/>
                            </a:effectRef>
                            <a:fontRef idx="minor"/>
                          </wps:style>
                          <wps:bodyPr/>
                        </wps:wsp>
                      </a:graphicData>
                    </a:graphic>
                  </wp:anchor>
                </w:drawing>
              </mc:Choice>
              <mc:Fallback>
                <w:pict>
                  <v:line id="_x0000_s2050" style="position:absolute;z-index:251660288" from="-0.65pt,-29pt" to="434.45pt,-29pt" stroked="t" strokecolor="gray">
                    <v:fill o:detectmouseclick="t"/>
                    <v:stroke joinstyle="round" endcap="flat"/>
                  </v:line>
                </w:pict>
              </mc:Fallback>
            </mc:AlternateContent>
          </w:r>
          <w:proofErr w:type="spellStart"/>
          <w:r w:rsidRPr="00E25B3B">
            <w:rPr>
              <w:sz w:val="16"/>
              <w:szCs w:val="16"/>
              <w:lang w:val="en-US"/>
            </w:rPr>
            <w:t>gov.pl</w:t>
          </w:r>
          <w:proofErr w:type="spellEnd"/>
          <w:r w:rsidRPr="00E25B3B">
            <w:rPr>
              <w:sz w:val="16"/>
              <w:szCs w:val="16"/>
              <w:lang w:val="en-US"/>
            </w:rPr>
            <w:t>/</w:t>
          </w:r>
          <w:proofErr w:type="spellStart"/>
          <w:r w:rsidRPr="00E25B3B">
            <w:rPr>
              <w:sz w:val="16"/>
              <w:szCs w:val="16"/>
              <w:lang w:val="en-US"/>
            </w:rPr>
            <w:t>prokuratoria</w:t>
          </w:r>
          <w:proofErr w:type="spellEnd"/>
        </w:p>
      </w:tc>
      <w:tc>
        <w:tcPr>
          <w:tcW w:w="1981" w:type="dxa"/>
        </w:tcPr>
        <w:p w14:paraId="1C7F3C8F" w14:textId="77777777" w:rsidR="00FF0A73" w:rsidRPr="00A72B38" w:rsidRDefault="00FF0A73">
          <w:pPr>
            <w:pStyle w:val="Zawartotabeli"/>
            <w:ind w:left="0"/>
            <w:rPr>
              <w:sz w:val="16"/>
              <w:szCs w:val="16"/>
            </w:rPr>
          </w:pPr>
          <w:r w:rsidRPr="00A72B38">
            <w:rPr>
              <w:sz w:val="16"/>
              <w:szCs w:val="16"/>
            </w:rPr>
            <w:t>ul. Hoża 76/78,</w:t>
          </w:r>
        </w:p>
        <w:p w14:paraId="5842E9D4" w14:textId="77777777" w:rsidR="00FF0A73" w:rsidRPr="00A72B38" w:rsidRDefault="00FF0A73">
          <w:pPr>
            <w:pStyle w:val="Zawartotabeli"/>
            <w:ind w:left="0"/>
            <w:rPr>
              <w:sz w:val="16"/>
              <w:szCs w:val="16"/>
            </w:rPr>
          </w:pPr>
          <w:r w:rsidRPr="00A72B38">
            <w:rPr>
              <w:sz w:val="16"/>
              <w:szCs w:val="16"/>
            </w:rPr>
            <w:t>00-682 Warszawa</w:t>
          </w:r>
        </w:p>
      </w:tc>
    </w:tr>
  </w:tbl>
  <w:p w14:paraId="23C995B5" w14:textId="77777777" w:rsidR="00FF0A73" w:rsidRPr="00A72B38" w:rsidRDefault="00FF0A73">
    <w:pPr>
      <w:pStyle w:val="Stopka"/>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A78F0" w14:textId="77777777" w:rsidR="00FF0A73" w:rsidRDefault="00FF0A73">
      <w:r>
        <w:separator/>
      </w:r>
    </w:p>
  </w:footnote>
  <w:footnote w:type="continuationSeparator" w:id="0">
    <w:p w14:paraId="572769C1" w14:textId="77777777" w:rsidR="00FF0A73" w:rsidRDefault="00FF0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3D1EE" w14:textId="77777777" w:rsidR="00FF0A73" w:rsidRPr="00A72B38" w:rsidRDefault="00FF0A73">
    <w:pPr>
      <w:pStyle w:val="Tekstpodstawowy"/>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EDF6" w14:textId="77777777" w:rsidR="00FF0A73" w:rsidRPr="00A72B38" w:rsidRDefault="00FF0A73">
    <w:pPr>
      <w:pStyle w:val="Tekstpodstawowy"/>
      <w:ind w:left="0"/>
    </w:pPr>
    <w:r w:rsidRPr="00A72B38">
      <w:rPr>
        <w:noProof/>
      </w:rPr>
      <w:drawing>
        <wp:anchor distT="0" distB="0" distL="0" distR="0" simplePos="0" relativeHeight="251661312" behindDoc="0" locked="0" layoutInCell="0" allowOverlap="1" wp14:anchorId="33974368" wp14:editId="4D01C0A0">
          <wp:simplePos x="0" y="0"/>
          <wp:positionH relativeFrom="column">
            <wp:posOffset>1270</wp:posOffset>
          </wp:positionH>
          <wp:positionV relativeFrom="paragraph">
            <wp:posOffset>-53975</wp:posOffset>
          </wp:positionV>
          <wp:extent cx="2339975" cy="694690"/>
          <wp:effectExtent l="0" t="0" r="0" b="0"/>
          <wp:wrapSquare wrapText="largest"/>
          <wp:docPr id="1" name="Obraz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3"/>
                  <pic:cNvPicPr>
                    <a:picLocks noChangeAspect="1" noChangeArrowheads="1"/>
                  </pic:cNvPicPr>
                </pic:nvPicPr>
                <pic:blipFill>
                  <a:blip r:embed="rId1"/>
                  <a:stretch>
                    <a:fillRect/>
                  </a:stretch>
                </pic:blipFill>
                <pic:spPr bwMode="auto">
                  <a:xfrm>
                    <a:off x="0" y="0"/>
                    <a:ext cx="2339975" cy="694690"/>
                  </a:xfrm>
                  <a:prstGeom prst="rect">
                    <a:avLst/>
                  </a:prstGeom>
                </pic:spPr>
              </pic:pic>
            </a:graphicData>
          </a:graphic>
        </wp:anchor>
      </w:drawing>
    </w:r>
  </w:p>
  <w:p w14:paraId="4FFAA280" w14:textId="77777777" w:rsidR="00FF0A73" w:rsidRPr="00A72B38" w:rsidRDefault="00FF0A73">
    <w:pPr>
      <w:pStyle w:val="Tekstpodstawowy"/>
      <w:ind w:left="0"/>
    </w:pPr>
    <w:r w:rsidRPr="00A72B38">
      <w:rPr>
        <w:noProof/>
      </w:rPr>
      <mc:AlternateContent>
        <mc:Choice Requires="wps">
          <w:drawing>
            <wp:anchor distT="0" distB="0" distL="0" distR="0" simplePos="0" relativeHeight="251659264" behindDoc="1" locked="0" layoutInCell="0" allowOverlap="1" wp14:anchorId="57479DC7" wp14:editId="717CCB75">
              <wp:simplePos x="0" y="0"/>
              <wp:positionH relativeFrom="column">
                <wp:posOffset>2560320</wp:posOffset>
              </wp:positionH>
              <wp:positionV relativeFrom="paragraph">
                <wp:posOffset>25400</wp:posOffset>
              </wp:positionV>
              <wp:extent cx="4333240" cy="227330"/>
              <wp:effectExtent l="0" t="0" r="0" b="0"/>
              <wp:wrapNone/>
              <wp:docPr id="2" name="Kształt1_1"/>
              <wp:cNvGraphicFramePr/>
              <a:graphic xmlns:a="http://schemas.openxmlformats.org/drawingml/2006/main">
                <a:graphicData uri="http://schemas.microsoft.com/office/word/2010/wordprocessingShape">
                  <wps:wsp>
                    <wps:cNvSpPr/>
                    <wps:spPr>
                      <a:xfrm>
                        <a:off x="0" y="0"/>
                        <a:ext cx="4332600" cy="226800"/>
                      </a:xfrm>
                      <a:prstGeom prst="rect">
                        <a:avLst/>
                      </a:prstGeom>
                      <a:solidFill>
                        <a:srgbClr val="BCBABA"/>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id="_x0000_s2049" style="height:17.8pt;margin-left:201.6pt;margin-top:2pt;mso-wrap-style:none;position:absolute;v-text-anchor:middle;width:341.1pt;z-index:251658240" path="m,l-2147483645,l-2147483645,-2147483646l,-2147483646xe" fillcolor="#bcbaba" stroked="f" strokecolor="#3465a4">
              <v:fill color2="#434545" type="solid" o:detectmouseclick="t"/>
              <v:stroke joinstyle="round" endcap="flat"/>
            </v:rect>
          </w:pict>
        </mc:Fallback>
      </mc:AlternateContent>
    </w:r>
  </w:p>
  <w:p w14:paraId="5D38E1D0" w14:textId="77777777" w:rsidR="00FF0A73" w:rsidRPr="00A72B38" w:rsidRDefault="00FF0A73">
    <w:pPr>
      <w:pStyle w:val="Tekstpodstawowy"/>
      <w:ind w:left="0"/>
    </w:pPr>
  </w:p>
  <w:p w14:paraId="6A3BD62E" w14:textId="77777777" w:rsidR="00FF0A73" w:rsidRPr="00A72B38" w:rsidRDefault="00FF0A73">
    <w:pPr>
      <w:pStyle w:val="Tekstpodstawowy"/>
      <w:ind w:left="0"/>
    </w:pPr>
  </w:p>
  <w:p w14:paraId="149498F3" w14:textId="77777777" w:rsidR="00FF0A73" w:rsidRPr="00A72B38" w:rsidRDefault="00FF0A73">
    <w:pPr>
      <w:pStyle w:val="Tekstpodstawowy"/>
      <w:ind w:left="0"/>
    </w:pPr>
  </w:p>
  <w:p w14:paraId="23BC6DE2" w14:textId="77777777" w:rsidR="00FF0A73" w:rsidRPr="00A72B38" w:rsidRDefault="00FF0A73">
    <w:pPr>
      <w:pStyle w:val="Tekstpodstawowy"/>
      <w:ind w:left="964"/>
      <w:rPr>
        <w:sz w:val="22"/>
        <w:szCs w:val="22"/>
      </w:rPr>
    </w:pPr>
    <w:r w:rsidRPr="00A72B38">
      <w:rPr>
        <w:sz w:val="22"/>
        <w:szCs w:val="22"/>
      </w:rPr>
      <w:t>Prezes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1551BF"/>
    <w:multiLevelType w:val="hybridMultilevel"/>
    <w:tmpl w:val="BCA80440"/>
    <w:lvl w:ilvl="0" w:tplc="1BDC50BA">
      <w:start w:val="1"/>
      <w:numFmt w:val="decimal"/>
      <w:lvlText w:val="%1."/>
      <w:lvlJc w:val="left"/>
      <w:pPr>
        <w:ind w:left="1627" w:hanging="360"/>
      </w:pPr>
    </w:lvl>
    <w:lvl w:ilvl="1" w:tplc="7DC6A67A" w:tentative="1">
      <w:start w:val="1"/>
      <w:numFmt w:val="lowerLetter"/>
      <w:lvlText w:val="%2."/>
      <w:lvlJc w:val="left"/>
      <w:pPr>
        <w:ind w:left="2347" w:hanging="360"/>
      </w:pPr>
    </w:lvl>
    <w:lvl w:ilvl="2" w:tplc="3FFE6B90" w:tentative="1">
      <w:start w:val="1"/>
      <w:numFmt w:val="lowerRoman"/>
      <w:lvlText w:val="%3."/>
      <w:lvlJc w:val="right"/>
      <w:pPr>
        <w:ind w:left="3067" w:hanging="180"/>
      </w:pPr>
    </w:lvl>
    <w:lvl w:ilvl="3" w:tplc="07686960" w:tentative="1">
      <w:start w:val="1"/>
      <w:numFmt w:val="decimal"/>
      <w:lvlText w:val="%4."/>
      <w:lvlJc w:val="left"/>
      <w:pPr>
        <w:ind w:left="3787" w:hanging="360"/>
      </w:pPr>
    </w:lvl>
    <w:lvl w:ilvl="4" w:tplc="1DA8F7FC" w:tentative="1">
      <w:start w:val="1"/>
      <w:numFmt w:val="lowerLetter"/>
      <w:lvlText w:val="%5."/>
      <w:lvlJc w:val="left"/>
      <w:pPr>
        <w:ind w:left="4507" w:hanging="360"/>
      </w:pPr>
    </w:lvl>
    <w:lvl w:ilvl="5" w:tplc="1ACC7BCE" w:tentative="1">
      <w:start w:val="1"/>
      <w:numFmt w:val="lowerRoman"/>
      <w:lvlText w:val="%6."/>
      <w:lvlJc w:val="right"/>
      <w:pPr>
        <w:ind w:left="5227" w:hanging="180"/>
      </w:pPr>
    </w:lvl>
    <w:lvl w:ilvl="6" w:tplc="FD60EA9C" w:tentative="1">
      <w:start w:val="1"/>
      <w:numFmt w:val="decimal"/>
      <w:lvlText w:val="%7."/>
      <w:lvlJc w:val="left"/>
      <w:pPr>
        <w:ind w:left="5947" w:hanging="360"/>
      </w:pPr>
    </w:lvl>
    <w:lvl w:ilvl="7" w:tplc="27F65C24" w:tentative="1">
      <w:start w:val="1"/>
      <w:numFmt w:val="lowerLetter"/>
      <w:lvlText w:val="%8."/>
      <w:lvlJc w:val="left"/>
      <w:pPr>
        <w:ind w:left="6667" w:hanging="360"/>
      </w:pPr>
    </w:lvl>
    <w:lvl w:ilvl="8" w:tplc="3950073A" w:tentative="1">
      <w:start w:val="1"/>
      <w:numFmt w:val="lowerRoman"/>
      <w:lvlText w:val="%9."/>
      <w:lvlJc w:val="right"/>
      <w:pPr>
        <w:ind w:left="7387" w:hanging="180"/>
      </w:pPr>
    </w:lvl>
  </w:abstractNum>
  <w:num w:numId="1" w16cid:durableId="161118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trackRevisions/>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805E5F12-FAB1-41A7-A0B1-FB49527CCF22}"/>
  </w:docVars>
  <w:rsids>
    <w:rsidRoot w:val="00DE3C09"/>
    <w:rsid w:val="00B638BB"/>
    <w:rsid w:val="00DE3C09"/>
    <w:rsid w:val="00F86B9D"/>
    <w:rsid w:val="00FF0A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E0699"/>
  <w15:docId w15:val="{D8BD8AF0-273E-428B-8815-96800DCEC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pPr>
      <w:widowControl w:val="0"/>
      <w:overflowPunct w:val="0"/>
      <w:ind w:left="907"/>
    </w:pPr>
    <w:rPr>
      <w:rFonts w:ascii="Lato" w:eastAsia="Arial" w:hAnsi="Lato" w:cs="Arial"/>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rPr>
      <w:color w:val="0000FF"/>
      <w:u w:val="single"/>
    </w:rPr>
  </w:style>
  <w:style w:type="character" w:customStyle="1" w:styleId="Nierozpoznanawzmianka1">
    <w:name w:val="Nierozpoznana wzmianka1"/>
    <w:basedOn w:val="Domylnaczcionkaakapitu"/>
    <w:qFormat/>
    <w:rPr>
      <w:color w:val="605E5C"/>
      <w:shd w:val="clear" w:color="auto" w:fill="E1DFDD"/>
    </w:rPr>
  </w:style>
  <w:style w:type="character" w:styleId="Odwoaniedokomentarza">
    <w:name w:val="annotation reference"/>
    <w:basedOn w:val="Domylnaczcionkaakapitu"/>
    <w:qFormat/>
    <w:rPr>
      <w:sz w:val="16"/>
      <w:szCs w:val="16"/>
    </w:rPr>
  </w:style>
  <w:style w:type="character" w:customStyle="1" w:styleId="TekstkomentarzaZnak">
    <w:name w:val="Tekst komentarza Znak"/>
    <w:basedOn w:val="Domylnaczcionkaakapitu"/>
    <w:qFormat/>
    <w:rPr>
      <w:rFonts w:ascii="Arial" w:eastAsia="Arial" w:hAnsi="Arial" w:cs="Arial"/>
      <w:sz w:val="20"/>
      <w:szCs w:val="20"/>
      <w:lang w:val="pl-PL"/>
    </w:rPr>
  </w:style>
  <w:style w:type="character" w:customStyle="1" w:styleId="TematkomentarzaZnak">
    <w:name w:val="Temat komentarza Znak"/>
    <w:basedOn w:val="TekstkomentarzaZnak"/>
    <w:qFormat/>
    <w:rPr>
      <w:rFonts w:ascii="Arial" w:eastAsia="Arial" w:hAnsi="Arial" w:cs="Arial"/>
      <w:b/>
      <w:bCs/>
      <w:sz w:val="20"/>
      <w:szCs w:val="20"/>
      <w:lang w:val="pl-PL"/>
    </w:rPr>
  </w:style>
  <w:style w:type="paragraph" w:styleId="Nagwek">
    <w:name w:val="header"/>
    <w:basedOn w:val="Normalny"/>
    <w:next w:val="Tekstpodstawowy"/>
    <w:pPr>
      <w:keepNext/>
      <w:spacing w:before="240" w:after="120"/>
      <w:ind w:left="0"/>
    </w:pPr>
    <w:rPr>
      <w:rFonts w:eastAsia="Microsoft YaHei"/>
    </w:rPr>
  </w:style>
  <w:style w:type="paragraph" w:styleId="Tekstpodstawowy">
    <w:name w:val="Body Text"/>
    <w:basedOn w:val="Normalny"/>
    <w:rPr>
      <w:sz w:val="17"/>
      <w:szCs w:val="17"/>
    </w:rPr>
  </w:style>
  <w:style w:type="paragraph" w:styleId="Lista">
    <w:name w:val="List"/>
    <w:basedOn w:val="Tekstpodstawowy"/>
  </w:style>
  <w:style w:type="paragraph" w:styleId="Legenda">
    <w:name w:val="caption"/>
    <w:basedOn w:val="Normalny"/>
    <w:qFormat/>
    <w:pPr>
      <w:suppressLineNumbers/>
      <w:spacing w:before="120" w:after="120"/>
    </w:pPr>
    <w:rPr>
      <w:i/>
      <w:iCs/>
      <w:sz w:val="24"/>
      <w:szCs w:val="24"/>
    </w:rPr>
  </w:style>
  <w:style w:type="paragraph" w:customStyle="1" w:styleId="Indeks">
    <w:name w:val="Indeks"/>
    <w:basedOn w:val="Normalny"/>
    <w:qFormat/>
    <w:pPr>
      <w:suppressLineNumbers/>
    </w:pPr>
  </w:style>
  <w:style w:type="paragraph" w:customStyle="1" w:styleId="Gwkaistopka">
    <w:name w:val="Główka i stopka"/>
    <w:basedOn w:val="Normalny"/>
    <w:qFormat/>
  </w:style>
  <w:style w:type="paragraph" w:styleId="Tytu">
    <w:name w:val="Title"/>
    <w:basedOn w:val="Normalny"/>
    <w:uiPriority w:val="10"/>
    <w:qFormat/>
    <w:pPr>
      <w:spacing w:before="225" w:line="434" w:lineRule="auto"/>
      <w:ind w:left="865" w:right="5837"/>
      <w:jc w:val="both"/>
    </w:pPr>
  </w:style>
  <w:style w:type="paragraph" w:styleId="Akapitzlist">
    <w:name w:val="List Paragraph"/>
    <w:basedOn w:val="Normalny"/>
    <w:qFormat/>
  </w:style>
  <w:style w:type="paragraph" w:customStyle="1" w:styleId="TableParagraph">
    <w:name w:val="Table Paragraph"/>
    <w:basedOn w:val="Normalny"/>
    <w:qFormat/>
  </w:style>
  <w:style w:type="paragraph" w:customStyle="1" w:styleId="Zawartotabeli">
    <w:name w:val="Zawartość tabeli"/>
    <w:basedOn w:val="Normalny"/>
    <w:qFormat/>
    <w:pPr>
      <w:suppressLineNumbers/>
    </w:pPr>
  </w:style>
  <w:style w:type="paragraph" w:customStyle="1" w:styleId="Daneteleadresowe">
    <w:name w:val="Dane teleadresowe"/>
    <w:basedOn w:val="Tekstpodstawowy"/>
    <w:qFormat/>
    <w:pPr>
      <w:ind w:left="881"/>
    </w:pPr>
    <w:rPr>
      <w:sz w:val="14"/>
      <w:szCs w:val="14"/>
    </w:rPr>
  </w:style>
  <w:style w:type="paragraph" w:customStyle="1" w:styleId="Tre">
    <w:name w:val="Treść"/>
    <w:basedOn w:val="Lista"/>
    <w:qFormat/>
  </w:style>
  <w:style w:type="paragraph" w:styleId="Adreszwrotnynakopercie">
    <w:name w:val="envelope return"/>
    <w:basedOn w:val="Normalny"/>
    <w:qFormat/>
    <w:pPr>
      <w:suppressLineNumbers/>
      <w:spacing w:after="60"/>
    </w:pPr>
    <w:rPr>
      <w:sz w:val="14"/>
      <w:szCs w:val="14"/>
    </w:rPr>
  </w:style>
  <w:style w:type="paragraph" w:styleId="Podtytu">
    <w:name w:val="Subtitle"/>
    <w:basedOn w:val="Nagwek"/>
    <w:next w:val="Tekstpodstawowy"/>
    <w:uiPriority w:val="11"/>
    <w:qFormat/>
    <w:pPr>
      <w:spacing w:before="60"/>
      <w:jc w:val="center"/>
    </w:pPr>
    <w:rPr>
      <w:sz w:val="36"/>
      <w:szCs w:val="36"/>
    </w:rPr>
  </w:style>
  <w:style w:type="paragraph" w:styleId="Tekstkomentarza">
    <w:name w:val="annotation text"/>
    <w:basedOn w:val="Normalny"/>
    <w:qFormat/>
    <w:rPr>
      <w:sz w:val="20"/>
      <w:szCs w:val="20"/>
    </w:rPr>
  </w:style>
  <w:style w:type="paragraph" w:styleId="Tematkomentarza">
    <w:name w:val="annotation subject"/>
    <w:basedOn w:val="Tekstkomentarza"/>
    <w:next w:val="Tekstkomentarza"/>
    <w:qFormat/>
    <w:rPr>
      <w:b/>
      <w:bCs/>
    </w:rPr>
  </w:style>
  <w:style w:type="paragraph" w:customStyle="1" w:styleId="Nagwektabeli">
    <w:name w:val="Nagłówek tabeli"/>
    <w:basedOn w:val="Zawartotabeli"/>
    <w:qFormat/>
    <w:pPr>
      <w:jc w:val="center"/>
    </w:pPr>
    <w:rPr>
      <w:b/>
      <w:bCs/>
    </w:rPr>
  </w:style>
  <w:style w:type="paragraph" w:styleId="Stopka">
    <w:name w:val="footer"/>
    <w:basedOn w:val="Gwkaistopka"/>
    <w:link w:val="StopkaZnak"/>
    <w:uiPriority w:val="99"/>
    <w:pPr>
      <w:suppressLineNumbers/>
      <w:tabs>
        <w:tab w:val="center" w:pos="4823"/>
        <w:tab w:val="right" w:pos="9646"/>
      </w:tabs>
    </w:pPr>
  </w:style>
  <w:style w:type="character" w:customStyle="1" w:styleId="StopkaZnak">
    <w:name w:val="Stopka Znak"/>
    <w:basedOn w:val="Domylnaczcionkaakapitu"/>
    <w:link w:val="Stopka"/>
    <w:uiPriority w:val="99"/>
    <w:rsid w:val="00B92802"/>
    <w:rPr>
      <w:rFonts w:ascii="Lato" w:eastAsia="Arial" w:hAnsi="Lato" w:cs="Arial"/>
      <w:lang w:val="pl-PL"/>
    </w:rPr>
  </w:style>
  <w:style w:type="paragraph" w:styleId="Poprawka">
    <w:name w:val="Revision"/>
    <w:hidden/>
    <w:uiPriority w:val="99"/>
    <w:semiHidden/>
    <w:rsid w:val="00590B92"/>
    <w:pPr>
      <w:suppressAutoHyphens w:val="0"/>
    </w:pPr>
    <w:rPr>
      <w:rFonts w:ascii="Lato" w:eastAsia="Arial" w:hAnsi="Lato" w:cs="Arial"/>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805E5F12-FAB1-41A7-A0B1-FB49527CCF22}">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1032</Words>
  <Characters>6193</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ARIAL CAŁOSĆ Blankiet PGRP Ogólny -dla dyr</vt:lpstr>
    </vt:vector>
  </TitlesOfParts>
  <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ARIAL CAŁOSĆ Blankiet PGRP Ogólny -dla dyr</dc:title>
  <dc:creator>Małgorzata Bartkowska</dc:creator>
  <cp:lastModifiedBy>Jodłowska Dorota</cp:lastModifiedBy>
  <cp:revision>2</cp:revision>
  <cp:lastPrinted>2024-12-17T13:10:00Z</cp:lastPrinted>
  <dcterms:created xsi:type="dcterms:W3CDTF">2026-08-12T13:30:00Z</dcterms:created>
  <dcterms:modified xsi:type="dcterms:W3CDTF">2026-08-12T13:30:00Z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2024-12-12T00:00:00Z</vt:filetime>
  </property>
  <property fmtid="{D5CDD505-2E9C-101B-9397-08002B2CF9AE}" pid="3" name="Creator">
    <vt:lpwstr>Adobe Illustrator 29.1 (Macintosh)</vt:lpwstr>
  </property>
  <property fmtid="{D5CDD505-2E9C-101B-9397-08002B2CF9AE}" pid="4" name="LastSaved">
    <vt:filetime>2024-12-12T00:00:00Z</vt:filetime>
  </property>
  <property fmtid="{D5CDD505-2E9C-101B-9397-08002B2CF9AE}" pid="5" name="Producer">
    <vt:lpwstr>Adobe PDF library 17.00</vt:lpwstr>
  </property>
</Properties>
</file>