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867ED" w14:textId="77777777" w:rsidR="00C37A6C" w:rsidRPr="00987A99" w:rsidRDefault="00C37A6C">
      <w:pPr>
        <w:spacing w:before="240"/>
        <w:jc w:val="center"/>
        <w:rPr>
          <w:rFonts w:cs="Arial"/>
          <w:color w:val="000000" w:themeColor="text1"/>
        </w:rPr>
      </w:pPr>
      <w:r w:rsidRPr="00987A99">
        <w:rPr>
          <w:rFonts w:cs="Arial"/>
          <w:b/>
          <w:bCs/>
          <w:color w:val="000000" w:themeColor="text1"/>
        </w:rPr>
        <w:t>Oświadczenie o stanie kontroli zarządczej</w:t>
      </w:r>
    </w:p>
    <w:p w14:paraId="2813E5D4" w14:textId="30151ECA" w:rsidR="00C37A6C" w:rsidRDefault="007E56EF" w:rsidP="00F37C48">
      <w:pPr>
        <w:spacing w:before="240"/>
        <w:jc w:val="center"/>
        <w:rPr>
          <w:rFonts w:cs="Arial"/>
        </w:rPr>
      </w:pPr>
      <w:r w:rsidRPr="007219C9">
        <w:rPr>
          <w:rFonts w:cs="Arial"/>
          <w:b/>
          <w:bCs/>
        </w:rPr>
        <w:t>Ministra</w:t>
      </w:r>
      <w:r>
        <w:rPr>
          <w:rFonts w:cs="Arial"/>
        </w:rPr>
        <w:t xml:space="preserve"> </w:t>
      </w:r>
      <w:r w:rsidRPr="007219C9">
        <w:rPr>
          <w:rFonts w:cs="Arial"/>
          <w:b/>
          <w:bCs/>
        </w:rPr>
        <w:t>Przemysłu</w:t>
      </w:r>
      <w:r w:rsidR="00C37A6C">
        <w:rPr>
          <w:rFonts w:cs="Arial"/>
          <w:vertAlign w:val="superscript"/>
        </w:rPr>
        <w:t>1</w:t>
      </w:r>
      <w:r w:rsidR="00F37C48">
        <w:rPr>
          <w:rFonts w:cs="Arial"/>
        </w:rPr>
        <w:t xml:space="preserve"> </w:t>
      </w:r>
      <w:r w:rsidR="00C37A6C">
        <w:rPr>
          <w:rFonts w:cs="Arial"/>
          <w:b/>
          <w:bCs/>
        </w:rPr>
        <w:t xml:space="preserve">za rok </w:t>
      </w:r>
      <w:r>
        <w:rPr>
          <w:rFonts w:cs="Arial"/>
          <w:b/>
          <w:bCs/>
        </w:rPr>
        <w:t>2024</w:t>
      </w:r>
    </w:p>
    <w:p w14:paraId="1C309A1D" w14:textId="77777777" w:rsidR="00C37A6C" w:rsidRDefault="00C37A6C">
      <w:pPr>
        <w:spacing w:before="240" w:after="240"/>
        <w:jc w:val="both"/>
        <w:rPr>
          <w:rFonts w:cs="Arial"/>
        </w:rPr>
      </w:pPr>
      <w:r>
        <w:rPr>
          <w:rFonts w:cs="Arial"/>
          <w:b/>
          <w:bCs/>
        </w:rPr>
        <w:t>Dział I</w:t>
      </w:r>
      <w:r>
        <w:rPr>
          <w:rFonts w:cs="Arial"/>
          <w:vertAlign w:val="superscript"/>
        </w:rPr>
        <w:t>2)</w:t>
      </w:r>
    </w:p>
    <w:p w14:paraId="0F95061B" w14:textId="2EFA520A" w:rsidR="00C37A6C" w:rsidRPr="008E01F8" w:rsidRDefault="00C37A6C">
      <w:pPr>
        <w:jc w:val="both"/>
        <w:rPr>
          <w:rFonts w:cs="Arial"/>
          <w:sz w:val="18"/>
          <w:szCs w:val="18"/>
        </w:rPr>
      </w:pPr>
      <w:r w:rsidRPr="008E01F8">
        <w:rPr>
          <w:rFonts w:cs="Arial"/>
          <w:sz w:val="18"/>
          <w:szCs w:val="18"/>
        </w:rPr>
        <w:t>Jako osoba odpowiedzialna za zapewnienie funkcjonowania adekwatnej, skutecznej i efektywnej kontroli zarządczej, tj.</w:t>
      </w:r>
      <w:r w:rsidR="00C9408D">
        <w:rPr>
          <w:rFonts w:cs="Arial"/>
          <w:sz w:val="18"/>
          <w:szCs w:val="18"/>
        </w:rPr>
        <w:t> </w:t>
      </w:r>
      <w:r w:rsidRPr="008E01F8">
        <w:rPr>
          <w:rFonts w:cs="Arial"/>
          <w:sz w:val="18"/>
          <w:szCs w:val="18"/>
        </w:rPr>
        <w:t>działań podejmowanych dla zapewnienia realizacji celów i zadań w sposób zgodny z prawem, efektywny, oszczędny i</w:t>
      </w:r>
      <w:r w:rsidR="00C9408D">
        <w:rPr>
          <w:rFonts w:cs="Arial"/>
          <w:sz w:val="18"/>
          <w:szCs w:val="18"/>
        </w:rPr>
        <w:t> </w:t>
      </w:r>
      <w:r w:rsidRPr="008E01F8">
        <w:rPr>
          <w:rFonts w:cs="Arial"/>
          <w:sz w:val="18"/>
          <w:szCs w:val="18"/>
        </w:rPr>
        <w:t>terminowy, a w szczególności dla zapewnienia:</w:t>
      </w:r>
    </w:p>
    <w:p w14:paraId="6317FCCB" w14:textId="77777777" w:rsidR="00C37A6C" w:rsidRPr="008E01F8" w:rsidRDefault="00C37A6C">
      <w:pPr>
        <w:tabs>
          <w:tab w:val="left" w:pos="709"/>
        </w:tabs>
        <w:ind w:left="709" w:hanging="283"/>
        <w:jc w:val="both"/>
        <w:rPr>
          <w:rFonts w:cs="Arial"/>
          <w:sz w:val="18"/>
          <w:szCs w:val="18"/>
        </w:rPr>
      </w:pPr>
      <w:r w:rsidRPr="008E01F8">
        <w:rPr>
          <w:rFonts w:cs="Arial"/>
          <w:sz w:val="18"/>
          <w:szCs w:val="18"/>
        </w:rPr>
        <w:t>-</w:t>
      </w:r>
      <w:r w:rsidRPr="008E01F8">
        <w:rPr>
          <w:rFonts w:cs="Arial"/>
          <w:sz w:val="18"/>
          <w:szCs w:val="18"/>
        </w:rPr>
        <w:tab/>
        <w:t>zgodności działalności z przepisami prawa oraz procedurami wewnętrznymi,</w:t>
      </w:r>
    </w:p>
    <w:p w14:paraId="2A49E06C" w14:textId="77777777" w:rsidR="00C37A6C" w:rsidRPr="008E01F8" w:rsidRDefault="00C37A6C">
      <w:pPr>
        <w:tabs>
          <w:tab w:val="left" w:pos="709"/>
        </w:tabs>
        <w:ind w:left="709" w:hanging="283"/>
        <w:jc w:val="both"/>
        <w:rPr>
          <w:rFonts w:cs="Arial"/>
          <w:sz w:val="18"/>
          <w:szCs w:val="18"/>
        </w:rPr>
      </w:pPr>
      <w:r w:rsidRPr="008E01F8">
        <w:rPr>
          <w:rFonts w:cs="Arial"/>
          <w:sz w:val="18"/>
          <w:szCs w:val="18"/>
        </w:rPr>
        <w:t>-</w:t>
      </w:r>
      <w:r w:rsidRPr="008E01F8">
        <w:rPr>
          <w:rFonts w:cs="Arial"/>
          <w:sz w:val="18"/>
          <w:szCs w:val="18"/>
        </w:rPr>
        <w:tab/>
        <w:t>skuteczności i efektywności działania,</w:t>
      </w:r>
    </w:p>
    <w:p w14:paraId="6F335F8E" w14:textId="77777777" w:rsidR="00C37A6C" w:rsidRPr="008E01F8" w:rsidRDefault="00C37A6C">
      <w:pPr>
        <w:tabs>
          <w:tab w:val="left" w:pos="709"/>
        </w:tabs>
        <w:ind w:left="709" w:hanging="283"/>
        <w:jc w:val="both"/>
        <w:rPr>
          <w:rFonts w:cs="Arial"/>
          <w:sz w:val="18"/>
          <w:szCs w:val="18"/>
        </w:rPr>
      </w:pPr>
      <w:r w:rsidRPr="008E01F8">
        <w:rPr>
          <w:rFonts w:cs="Arial"/>
          <w:sz w:val="18"/>
          <w:szCs w:val="18"/>
        </w:rPr>
        <w:t>-</w:t>
      </w:r>
      <w:r w:rsidRPr="008E01F8">
        <w:rPr>
          <w:rFonts w:cs="Arial"/>
          <w:sz w:val="18"/>
          <w:szCs w:val="18"/>
        </w:rPr>
        <w:tab/>
        <w:t>wiarygodności sprawozdań,</w:t>
      </w:r>
    </w:p>
    <w:p w14:paraId="20E5C000" w14:textId="77777777" w:rsidR="00C37A6C" w:rsidRPr="008E01F8" w:rsidRDefault="00C37A6C">
      <w:pPr>
        <w:tabs>
          <w:tab w:val="left" w:pos="709"/>
        </w:tabs>
        <w:ind w:left="709" w:hanging="283"/>
        <w:jc w:val="both"/>
        <w:rPr>
          <w:rFonts w:cs="Arial"/>
          <w:sz w:val="18"/>
          <w:szCs w:val="18"/>
        </w:rPr>
      </w:pPr>
      <w:r w:rsidRPr="008E01F8">
        <w:rPr>
          <w:rFonts w:cs="Arial"/>
          <w:sz w:val="18"/>
          <w:szCs w:val="18"/>
        </w:rPr>
        <w:t>-</w:t>
      </w:r>
      <w:r w:rsidRPr="008E01F8">
        <w:rPr>
          <w:rFonts w:cs="Arial"/>
          <w:sz w:val="18"/>
          <w:szCs w:val="18"/>
        </w:rPr>
        <w:tab/>
        <w:t>ochrony zasobów,</w:t>
      </w:r>
    </w:p>
    <w:p w14:paraId="29038BC1" w14:textId="77777777" w:rsidR="00C37A6C" w:rsidRPr="008E01F8" w:rsidRDefault="00C37A6C">
      <w:pPr>
        <w:tabs>
          <w:tab w:val="left" w:pos="709"/>
        </w:tabs>
        <w:ind w:left="709" w:hanging="283"/>
        <w:jc w:val="both"/>
        <w:rPr>
          <w:rFonts w:cs="Arial"/>
          <w:sz w:val="18"/>
          <w:szCs w:val="18"/>
        </w:rPr>
      </w:pPr>
      <w:r w:rsidRPr="008E01F8">
        <w:rPr>
          <w:rFonts w:cs="Arial"/>
          <w:sz w:val="18"/>
          <w:szCs w:val="18"/>
        </w:rPr>
        <w:t>-</w:t>
      </w:r>
      <w:r w:rsidRPr="008E01F8">
        <w:rPr>
          <w:rFonts w:cs="Arial"/>
          <w:sz w:val="18"/>
          <w:szCs w:val="18"/>
        </w:rPr>
        <w:tab/>
        <w:t>przestrzegania i promowania zasad etycznego postępowania,</w:t>
      </w:r>
    </w:p>
    <w:p w14:paraId="08153718" w14:textId="77777777" w:rsidR="00C37A6C" w:rsidRPr="008E01F8" w:rsidRDefault="00C37A6C">
      <w:pPr>
        <w:tabs>
          <w:tab w:val="left" w:pos="709"/>
        </w:tabs>
        <w:ind w:left="709" w:hanging="283"/>
        <w:jc w:val="both"/>
        <w:rPr>
          <w:rFonts w:cs="Arial"/>
          <w:sz w:val="18"/>
          <w:szCs w:val="18"/>
        </w:rPr>
      </w:pPr>
      <w:r w:rsidRPr="008E01F8">
        <w:rPr>
          <w:rFonts w:cs="Arial"/>
          <w:sz w:val="18"/>
          <w:szCs w:val="18"/>
        </w:rPr>
        <w:t>-</w:t>
      </w:r>
      <w:r w:rsidRPr="008E01F8">
        <w:rPr>
          <w:rFonts w:cs="Arial"/>
          <w:sz w:val="18"/>
          <w:szCs w:val="18"/>
        </w:rPr>
        <w:tab/>
        <w:t>efektywności i skuteczności przepływu informacji,</w:t>
      </w:r>
    </w:p>
    <w:p w14:paraId="30EF4E3D" w14:textId="77777777" w:rsidR="00C37A6C" w:rsidRPr="008E01F8" w:rsidRDefault="00C37A6C">
      <w:pPr>
        <w:tabs>
          <w:tab w:val="left" w:pos="709"/>
        </w:tabs>
        <w:ind w:left="709" w:hanging="283"/>
        <w:jc w:val="both"/>
        <w:rPr>
          <w:rFonts w:cs="Arial"/>
          <w:sz w:val="18"/>
          <w:szCs w:val="18"/>
        </w:rPr>
      </w:pPr>
      <w:r w:rsidRPr="008E01F8">
        <w:rPr>
          <w:rFonts w:cs="Arial"/>
          <w:sz w:val="18"/>
          <w:szCs w:val="18"/>
        </w:rPr>
        <w:t>-</w:t>
      </w:r>
      <w:r w:rsidRPr="008E01F8">
        <w:rPr>
          <w:rFonts w:cs="Arial"/>
          <w:sz w:val="18"/>
          <w:szCs w:val="18"/>
        </w:rPr>
        <w:tab/>
        <w:t>zarządzania ryzykiem,</w:t>
      </w:r>
    </w:p>
    <w:p w14:paraId="79EAF6AF" w14:textId="542A2100" w:rsidR="008E01F8" w:rsidRPr="00C9408D" w:rsidRDefault="00C37A6C" w:rsidP="00C9408D">
      <w:pPr>
        <w:spacing w:line="360" w:lineRule="auto"/>
        <w:jc w:val="both"/>
        <w:rPr>
          <w:b/>
          <w:bCs/>
          <w:sz w:val="18"/>
          <w:szCs w:val="18"/>
        </w:rPr>
      </w:pPr>
      <w:r w:rsidRPr="008E01F8">
        <w:rPr>
          <w:rFonts w:cs="Arial"/>
          <w:sz w:val="18"/>
          <w:szCs w:val="18"/>
        </w:rPr>
        <w:t>oświadczam, że w kierowanym przeze mnie dziale</w:t>
      </w:r>
      <w:r w:rsidR="00850B85" w:rsidRPr="008E01F8">
        <w:rPr>
          <w:rFonts w:cs="Arial"/>
          <w:sz w:val="18"/>
          <w:szCs w:val="18"/>
        </w:rPr>
        <w:t xml:space="preserve"> administracji rządowej</w:t>
      </w:r>
      <w:r w:rsidRPr="008E01F8">
        <w:rPr>
          <w:rFonts w:cs="Arial"/>
          <w:sz w:val="18"/>
          <w:szCs w:val="18"/>
          <w:vertAlign w:val="superscript"/>
        </w:rPr>
        <w:t>3)</w:t>
      </w:r>
      <w:r w:rsidR="005C6DC2" w:rsidRPr="008E01F8">
        <w:rPr>
          <w:rStyle w:val="Teksttreci"/>
          <w:sz w:val="18"/>
          <w:szCs w:val="18"/>
        </w:rPr>
        <w:t xml:space="preserve">: </w:t>
      </w:r>
      <w:r w:rsidR="005C6DC2" w:rsidRPr="008E01F8">
        <w:rPr>
          <w:rStyle w:val="Teksttreci"/>
          <w:b/>
          <w:bCs/>
          <w:sz w:val="18"/>
          <w:szCs w:val="18"/>
        </w:rPr>
        <w:t>g</w:t>
      </w:r>
      <w:r w:rsidR="006C0F10" w:rsidRPr="008E01F8">
        <w:rPr>
          <w:rStyle w:val="Teksttreci"/>
          <w:b/>
          <w:bCs/>
          <w:sz w:val="18"/>
          <w:szCs w:val="18"/>
        </w:rPr>
        <w:t>ospodarka surowcami energetycznymi</w:t>
      </w:r>
    </w:p>
    <w:p w14:paraId="77A1A15A" w14:textId="69804BDB" w:rsidR="00C37A6C" w:rsidRDefault="00C37A6C" w:rsidP="00C9408D">
      <w:pPr>
        <w:jc w:val="both"/>
        <w:rPr>
          <w:rFonts w:cs="Arial"/>
        </w:rPr>
      </w:pPr>
      <w:r>
        <w:rPr>
          <w:rFonts w:cs="Arial"/>
          <w:b/>
          <w:bCs/>
        </w:rPr>
        <w:t>Część A</w:t>
      </w:r>
      <w:r>
        <w:rPr>
          <w:rFonts w:cs="Arial"/>
          <w:vertAlign w:val="superscript"/>
        </w:rPr>
        <w:t>4)</w:t>
      </w:r>
    </w:p>
    <w:p w14:paraId="0EB7E752" w14:textId="77777777" w:rsidR="00C37A6C" w:rsidRPr="008E01F8" w:rsidRDefault="00C37A6C" w:rsidP="00C9408D">
      <w:pPr>
        <w:tabs>
          <w:tab w:val="left" w:pos="426"/>
        </w:tabs>
        <w:ind w:left="426" w:hanging="426"/>
        <w:jc w:val="both"/>
        <w:rPr>
          <w:rFonts w:cs="Arial"/>
          <w:strike/>
          <w:sz w:val="18"/>
          <w:szCs w:val="18"/>
        </w:rPr>
      </w:pPr>
      <w:r w:rsidRPr="008E01F8">
        <w:rPr>
          <w:rFonts w:cs="Arial"/>
          <w:strike/>
          <w:sz w:val="18"/>
          <w:szCs w:val="18"/>
        </w:rPr>
        <w:t></w:t>
      </w:r>
      <w:r w:rsidRPr="008E01F8">
        <w:rPr>
          <w:rFonts w:cs="Arial"/>
          <w:strike/>
          <w:sz w:val="18"/>
          <w:szCs w:val="18"/>
        </w:rPr>
        <w:tab/>
        <w:t>w wystarczającym stopniu funkcjonowała adekwatna, skuteczna i efektywna kontrola zarządcza.</w:t>
      </w:r>
    </w:p>
    <w:p w14:paraId="4031DE60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B</w:t>
      </w:r>
      <w:r>
        <w:rPr>
          <w:rFonts w:cs="Arial"/>
          <w:vertAlign w:val="superscript"/>
        </w:rPr>
        <w:t>5)</w:t>
      </w:r>
    </w:p>
    <w:p w14:paraId="542CDB72" w14:textId="51ADF066" w:rsidR="00C37A6C" w:rsidRPr="008E01F8" w:rsidRDefault="0066678D">
      <w:pPr>
        <w:tabs>
          <w:tab w:val="left" w:pos="426"/>
        </w:tabs>
        <w:ind w:left="426" w:hanging="426"/>
        <w:jc w:val="both"/>
        <w:rPr>
          <w:rFonts w:cs="Arial"/>
          <w:sz w:val="18"/>
          <w:szCs w:val="18"/>
        </w:rPr>
      </w:pPr>
      <w:r w:rsidRPr="008E01F8">
        <w:rPr>
          <w:rFonts w:ascii="Segoe UI Symbol" w:hAnsi="Segoe UI Symbol" w:cs="Segoe UI Symbol"/>
          <w:sz w:val="18"/>
          <w:szCs w:val="18"/>
        </w:rPr>
        <w:t>⮽</w:t>
      </w:r>
      <w:r w:rsidR="00C37A6C" w:rsidRPr="008E01F8">
        <w:rPr>
          <w:rFonts w:cs="Arial"/>
          <w:sz w:val="18"/>
          <w:szCs w:val="18"/>
        </w:rPr>
        <w:tab/>
        <w:t>w ograniczonym stopniu funkcjonowała adekwatna, skuteczna i efektywna kontrola zarządcza.</w:t>
      </w:r>
    </w:p>
    <w:p w14:paraId="57EB84B2" w14:textId="04B40B2A" w:rsidR="00C37A6C" w:rsidRPr="008E01F8" w:rsidRDefault="00C37A6C">
      <w:pPr>
        <w:spacing w:before="240"/>
        <w:jc w:val="both"/>
        <w:rPr>
          <w:rFonts w:cs="Arial"/>
          <w:sz w:val="18"/>
          <w:szCs w:val="18"/>
        </w:rPr>
      </w:pPr>
      <w:r w:rsidRPr="008E01F8">
        <w:rPr>
          <w:rFonts w:cs="Arial"/>
          <w:sz w:val="18"/>
          <w:szCs w:val="18"/>
        </w:rPr>
        <w:t>Zastrzeżenia dotyczące funkcjonowania kontroli zarządczej wraz z planowanymi działaniami, które zostaną podjęte w</w:t>
      </w:r>
      <w:r w:rsidR="00B61CCD">
        <w:rPr>
          <w:rFonts w:cs="Arial"/>
          <w:sz w:val="18"/>
          <w:szCs w:val="18"/>
        </w:rPr>
        <w:t> </w:t>
      </w:r>
      <w:r w:rsidRPr="008E01F8">
        <w:rPr>
          <w:rFonts w:cs="Arial"/>
          <w:sz w:val="18"/>
          <w:szCs w:val="18"/>
        </w:rPr>
        <w:t>celu poprawy funkcjonowania kontroli zarządczej, zostały opisane w dziale II oświadczenia.</w:t>
      </w:r>
    </w:p>
    <w:p w14:paraId="014E8A2B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C</w:t>
      </w:r>
      <w:r>
        <w:rPr>
          <w:rFonts w:cs="Arial"/>
          <w:vertAlign w:val="superscript"/>
        </w:rPr>
        <w:t>6)</w:t>
      </w:r>
    </w:p>
    <w:p w14:paraId="3D173D82" w14:textId="77777777" w:rsidR="00C37A6C" w:rsidRPr="008E01F8" w:rsidRDefault="00C37A6C">
      <w:pPr>
        <w:tabs>
          <w:tab w:val="left" w:pos="426"/>
        </w:tabs>
        <w:ind w:left="426" w:hanging="426"/>
        <w:jc w:val="both"/>
        <w:rPr>
          <w:rFonts w:cs="Arial"/>
          <w:strike/>
          <w:sz w:val="18"/>
          <w:szCs w:val="18"/>
        </w:rPr>
      </w:pPr>
      <w:r w:rsidRPr="008E01F8">
        <w:rPr>
          <w:rFonts w:cs="Arial"/>
          <w:strike/>
          <w:sz w:val="18"/>
          <w:szCs w:val="18"/>
        </w:rPr>
        <w:t></w:t>
      </w:r>
      <w:r w:rsidRPr="008E01F8">
        <w:rPr>
          <w:rFonts w:cs="Arial"/>
          <w:strike/>
          <w:sz w:val="18"/>
          <w:szCs w:val="18"/>
        </w:rPr>
        <w:tab/>
        <w:t>nie funkcjonowała adekwatna, skuteczna i efektywna kontrola zarządcza.</w:t>
      </w:r>
    </w:p>
    <w:p w14:paraId="3F9F6C4F" w14:textId="142253C6" w:rsidR="00C37A6C" w:rsidRPr="008E01F8" w:rsidRDefault="00C37A6C">
      <w:pPr>
        <w:spacing w:before="240"/>
        <w:jc w:val="both"/>
        <w:rPr>
          <w:rFonts w:cs="Arial"/>
          <w:sz w:val="18"/>
          <w:szCs w:val="18"/>
        </w:rPr>
      </w:pPr>
      <w:r w:rsidRPr="008E01F8">
        <w:rPr>
          <w:rFonts w:cs="Arial"/>
          <w:sz w:val="18"/>
          <w:szCs w:val="18"/>
        </w:rPr>
        <w:t>Zastrzeżenia dotyczące funkcjonowania kontroli zarządczej wraz z planowanymi działaniami, które zostaną podjęte w</w:t>
      </w:r>
      <w:r w:rsidR="00B61CCD">
        <w:rPr>
          <w:rFonts w:cs="Arial"/>
          <w:sz w:val="18"/>
          <w:szCs w:val="18"/>
        </w:rPr>
        <w:t> </w:t>
      </w:r>
      <w:r w:rsidRPr="008E01F8">
        <w:rPr>
          <w:rFonts w:cs="Arial"/>
          <w:sz w:val="18"/>
          <w:szCs w:val="18"/>
        </w:rPr>
        <w:t>celu poprawy funkcjonowania kontroli zarządczej, zostały opisane w dziale II oświadczenia.</w:t>
      </w:r>
    </w:p>
    <w:p w14:paraId="620AEDF6" w14:textId="77777777" w:rsidR="00C37A6C" w:rsidRDefault="00C37A6C">
      <w:pPr>
        <w:spacing w:before="240"/>
        <w:jc w:val="both"/>
        <w:rPr>
          <w:rFonts w:cs="Arial"/>
        </w:rPr>
      </w:pPr>
      <w:r>
        <w:rPr>
          <w:rFonts w:cs="Arial"/>
          <w:b/>
          <w:bCs/>
        </w:rPr>
        <w:t>Część D</w:t>
      </w:r>
    </w:p>
    <w:p w14:paraId="5857D959" w14:textId="77777777" w:rsidR="00C37A6C" w:rsidRPr="008E01F8" w:rsidRDefault="00C37A6C">
      <w:pPr>
        <w:jc w:val="both"/>
        <w:rPr>
          <w:rFonts w:cs="Arial"/>
          <w:sz w:val="18"/>
          <w:szCs w:val="18"/>
        </w:rPr>
      </w:pPr>
      <w:r w:rsidRPr="008E01F8">
        <w:rPr>
          <w:rFonts w:cs="Arial"/>
          <w:sz w:val="18"/>
          <w:szCs w:val="18"/>
        </w:rPr>
        <w:t>Niniejsze oświadczenie opiera się na mojej ocenie i informacjach dostępnych w czasie sporządzania niniejszego oświadczenia pochodzących z:</w:t>
      </w:r>
      <w:r w:rsidRPr="008E01F8">
        <w:rPr>
          <w:rFonts w:cs="Arial"/>
          <w:sz w:val="18"/>
          <w:szCs w:val="18"/>
          <w:vertAlign w:val="superscript"/>
        </w:rPr>
        <w:t>7)</w:t>
      </w:r>
    </w:p>
    <w:p w14:paraId="3D3A0326" w14:textId="4B9ABE32" w:rsidR="00C37A6C" w:rsidRPr="008E01F8" w:rsidRDefault="0066678D">
      <w:pPr>
        <w:tabs>
          <w:tab w:val="left" w:pos="852"/>
        </w:tabs>
        <w:ind w:left="852" w:hanging="426"/>
        <w:jc w:val="both"/>
        <w:rPr>
          <w:rFonts w:cs="Arial"/>
          <w:sz w:val="18"/>
          <w:szCs w:val="18"/>
        </w:rPr>
      </w:pPr>
      <w:r w:rsidRPr="008E01F8">
        <w:rPr>
          <w:rFonts w:ascii="Segoe UI Symbol" w:hAnsi="Segoe UI Symbol" w:cs="Segoe UI Symbol"/>
          <w:sz w:val="18"/>
          <w:szCs w:val="18"/>
        </w:rPr>
        <w:t>⮽</w:t>
      </w:r>
      <w:r w:rsidR="00C37A6C" w:rsidRPr="008E01F8">
        <w:rPr>
          <w:rFonts w:cs="Arial"/>
          <w:sz w:val="18"/>
          <w:szCs w:val="18"/>
        </w:rPr>
        <w:tab/>
        <w:t>monitoringu realizacji celów i zadań,</w:t>
      </w:r>
    </w:p>
    <w:p w14:paraId="75979E25" w14:textId="3E995CD4" w:rsidR="00C37A6C" w:rsidRPr="008E01F8" w:rsidRDefault="0066678D">
      <w:pPr>
        <w:tabs>
          <w:tab w:val="left" w:pos="852"/>
        </w:tabs>
        <w:ind w:left="852" w:hanging="426"/>
        <w:jc w:val="both"/>
        <w:rPr>
          <w:rFonts w:cs="Arial"/>
          <w:sz w:val="18"/>
          <w:szCs w:val="18"/>
        </w:rPr>
      </w:pPr>
      <w:r w:rsidRPr="008E01F8">
        <w:rPr>
          <w:rFonts w:ascii="Segoe UI Symbol" w:hAnsi="Segoe UI Symbol" w:cs="Segoe UI Symbol"/>
          <w:sz w:val="18"/>
          <w:szCs w:val="18"/>
        </w:rPr>
        <w:t>⮽</w:t>
      </w:r>
      <w:r w:rsidR="00C37A6C" w:rsidRPr="008E01F8">
        <w:rPr>
          <w:rFonts w:cs="Arial"/>
          <w:sz w:val="18"/>
          <w:szCs w:val="18"/>
        </w:rPr>
        <w:tab/>
        <w:t>samooceny kontroli zarządczej przeprowadzonej z uwzględnieniem standardów kontroli zarządczej dla sektora finansów publicznych</w:t>
      </w:r>
      <w:r w:rsidR="00C37A6C" w:rsidRPr="008E01F8">
        <w:rPr>
          <w:rFonts w:cs="Arial"/>
          <w:sz w:val="18"/>
          <w:szCs w:val="18"/>
          <w:vertAlign w:val="superscript"/>
        </w:rPr>
        <w:t>8)</w:t>
      </w:r>
      <w:r w:rsidR="00C37A6C" w:rsidRPr="008E01F8">
        <w:rPr>
          <w:rFonts w:cs="Arial"/>
          <w:sz w:val="18"/>
          <w:szCs w:val="18"/>
        </w:rPr>
        <w:t>,</w:t>
      </w:r>
    </w:p>
    <w:p w14:paraId="549AED5F" w14:textId="1BAFD70F" w:rsidR="00C37A6C" w:rsidRPr="008E01F8" w:rsidRDefault="00C37A6C">
      <w:pPr>
        <w:tabs>
          <w:tab w:val="left" w:pos="852"/>
        </w:tabs>
        <w:ind w:left="852" w:hanging="426"/>
        <w:jc w:val="both"/>
        <w:rPr>
          <w:rFonts w:cs="Arial"/>
          <w:sz w:val="18"/>
          <w:szCs w:val="18"/>
        </w:rPr>
      </w:pPr>
      <w:r w:rsidRPr="00C9408D">
        <w:rPr>
          <w:rFonts w:cs="Arial"/>
          <w:sz w:val="22"/>
          <w:szCs w:val="22"/>
        </w:rPr>
        <w:t></w:t>
      </w:r>
      <w:r w:rsidRPr="008E01F8">
        <w:rPr>
          <w:rFonts w:cs="Arial"/>
          <w:sz w:val="18"/>
          <w:szCs w:val="18"/>
        </w:rPr>
        <w:tab/>
        <w:t>procesu zarządzania ryzykiem</w:t>
      </w:r>
      <w:r w:rsidR="00C139B2" w:rsidRPr="008E01F8">
        <w:rPr>
          <w:rFonts w:cs="Arial"/>
          <w:sz w:val="18"/>
          <w:szCs w:val="18"/>
        </w:rPr>
        <w:t>,</w:t>
      </w:r>
    </w:p>
    <w:p w14:paraId="56914022" w14:textId="77777777" w:rsidR="00C37A6C" w:rsidRPr="008E01F8" w:rsidRDefault="00C37A6C">
      <w:pPr>
        <w:tabs>
          <w:tab w:val="left" w:pos="852"/>
        </w:tabs>
        <w:ind w:left="852" w:hanging="426"/>
        <w:jc w:val="both"/>
        <w:rPr>
          <w:rFonts w:cs="Arial"/>
          <w:sz w:val="18"/>
          <w:szCs w:val="18"/>
        </w:rPr>
      </w:pPr>
      <w:r w:rsidRPr="00C9408D">
        <w:rPr>
          <w:rFonts w:cs="Arial"/>
          <w:sz w:val="22"/>
          <w:szCs w:val="22"/>
        </w:rPr>
        <w:t></w:t>
      </w:r>
      <w:r w:rsidRPr="008E01F8">
        <w:rPr>
          <w:rFonts w:cs="Arial"/>
          <w:sz w:val="18"/>
          <w:szCs w:val="18"/>
        </w:rPr>
        <w:tab/>
        <w:t>audytu wewnętrznego,</w:t>
      </w:r>
    </w:p>
    <w:p w14:paraId="1D564467" w14:textId="77777777" w:rsidR="00C37A6C" w:rsidRPr="008E01F8" w:rsidRDefault="00C37A6C">
      <w:pPr>
        <w:tabs>
          <w:tab w:val="left" w:pos="852"/>
        </w:tabs>
        <w:ind w:left="852" w:hanging="426"/>
        <w:jc w:val="both"/>
        <w:rPr>
          <w:rFonts w:cs="Arial"/>
          <w:sz w:val="18"/>
          <w:szCs w:val="18"/>
        </w:rPr>
      </w:pPr>
      <w:r w:rsidRPr="00C9408D">
        <w:rPr>
          <w:rFonts w:cs="Arial"/>
          <w:sz w:val="22"/>
          <w:szCs w:val="22"/>
        </w:rPr>
        <w:t></w:t>
      </w:r>
      <w:r w:rsidRPr="008E01F8">
        <w:rPr>
          <w:rFonts w:cs="Arial"/>
          <w:sz w:val="18"/>
          <w:szCs w:val="18"/>
        </w:rPr>
        <w:tab/>
        <w:t>kontroli wewnętrznych,</w:t>
      </w:r>
    </w:p>
    <w:p w14:paraId="118AD40D" w14:textId="41C8D171" w:rsidR="00C37A6C" w:rsidRPr="008E01F8" w:rsidRDefault="00464DFE">
      <w:pPr>
        <w:tabs>
          <w:tab w:val="left" w:pos="852"/>
        </w:tabs>
        <w:ind w:left="852" w:hanging="426"/>
        <w:jc w:val="both"/>
        <w:rPr>
          <w:rFonts w:cs="Arial"/>
          <w:sz w:val="18"/>
          <w:szCs w:val="18"/>
        </w:rPr>
      </w:pPr>
      <w:r w:rsidRPr="008E01F8">
        <w:rPr>
          <w:rFonts w:ascii="Segoe UI Symbol" w:hAnsi="Segoe UI Symbol" w:cs="Segoe UI Symbol"/>
          <w:sz w:val="18"/>
          <w:szCs w:val="18"/>
        </w:rPr>
        <w:t>⮽</w:t>
      </w:r>
      <w:r w:rsidR="00C37A6C" w:rsidRPr="008E01F8">
        <w:rPr>
          <w:rFonts w:cs="Arial"/>
          <w:sz w:val="18"/>
          <w:szCs w:val="18"/>
        </w:rPr>
        <w:tab/>
        <w:t>kontroli zewnętrznych,</w:t>
      </w:r>
    </w:p>
    <w:p w14:paraId="0BE59FD5" w14:textId="57769DAA" w:rsidR="00C37A6C" w:rsidRPr="008E01F8" w:rsidRDefault="00616698" w:rsidP="00616698">
      <w:pPr>
        <w:tabs>
          <w:tab w:val="left" w:pos="852"/>
        </w:tabs>
        <w:ind w:left="852" w:hanging="426"/>
        <w:jc w:val="both"/>
        <w:rPr>
          <w:rFonts w:cs="Arial"/>
          <w:sz w:val="18"/>
          <w:szCs w:val="18"/>
        </w:rPr>
      </w:pPr>
      <w:r w:rsidRPr="008E01F8">
        <w:rPr>
          <w:rFonts w:ascii="Segoe UI Symbol" w:hAnsi="Segoe UI Symbol" w:cs="Segoe UI Symbol"/>
          <w:sz w:val="18"/>
          <w:szCs w:val="18"/>
        </w:rPr>
        <w:t>⮽</w:t>
      </w:r>
      <w:r w:rsidR="00C37A6C" w:rsidRPr="008E01F8">
        <w:rPr>
          <w:rFonts w:cs="Arial"/>
          <w:sz w:val="18"/>
          <w:szCs w:val="18"/>
        </w:rPr>
        <w:tab/>
        <w:t xml:space="preserve">innych źródeł informacji: </w:t>
      </w:r>
    </w:p>
    <w:p w14:paraId="5AC3AA86" w14:textId="3789260F" w:rsidR="00616698" w:rsidRPr="008E01F8" w:rsidRDefault="00CB37A7" w:rsidP="00C9408D">
      <w:pPr>
        <w:tabs>
          <w:tab w:val="left" w:pos="852"/>
        </w:tabs>
        <w:ind w:left="852" w:hanging="285"/>
        <w:jc w:val="both"/>
        <w:rPr>
          <w:rFonts w:cs="Arial"/>
          <w:sz w:val="18"/>
          <w:szCs w:val="18"/>
        </w:rPr>
      </w:pPr>
      <w:r w:rsidRPr="008E01F8">
        <w:rPr>
          <w:rFonts w:cs="Arial"/>
          <w:sz w:val="18"/>
          <w:szCs w:val="18"/>
        </w:rPr>
        <w:t>-</w:t>
      </w:r>
      <w:r w:rsidR="00C9408D">
        <w:rPr>
          <w:rFonts w:cs="Arial"/>
          <w:sz w:val="18"/>
          <w:szCs w:val="18"/>
        </w:rPr>
        <w:tab/>
      </w:r>
      <w:r w:rsidR="00D32DB6" w:rsidRPr="008E01F8">
        <w:rPr>
          <w:rFonts w:cs="Arial"/>
          <w:sz w:val="18"/>
          <w:szCs w:val="18"/>
        </w:rPr>
        <w:t>s</w:t>
      </w:r>
      <w:r w:rsidRPr="008E01F8">
        <w:rPr>
          <w:rFonts w:cs="Arial"/>
          <w:sz w:val="18"/>
          <w:szCs w:val="18"/>
        </w:rPr>
        <w:t>prawozdania z wykonania planu działalności</w:t>
      </w:r>
      <w:r w:rsidR="00A370F8" w:rsidRPr="008E01F8">
        <w:rPr>
          <w:rFonts w:cs="Arial"/>
          <w:sz w:val="18"/>
          <w:szCs w:val="18"/>
        </w:rPr>
        <w:t xml:space="preserve">: </w:t>
      </w:r>
      <w:r w:rsidR="00663674" w:rsidRPr="008E01F8">
        <w:rPr>
          <w:rFonts w:cs="Arial"/>
          <w:sz w:val="18"/>
          <w:szCs w:val="18"/>
        </w:rPr>
        <w:t xml:space="preserve">Prezesa </w:t>
      </w:r>
      <w:r w:rsidR="00A370F8" w:rsidRPr="008E01F8">
        <w:rPr>
          <w:rFonts w:cs="Arial"/>
          <w:sz w:val="18"/>
          <w:szCs w:val="18"/>
        </w:rPr>
        <w:t>Wyższego Urzędu Górniczego za rok 2024</w:t>
      </w:r>
      <w:r w:rsidR="00663674" w:rsidRPr="008E01F8">
        <w:rPr>
          <w:rFonts w:cs="Arial"/>
          <w:sz w:val="18"/>
          <w:szCs w:val="18"/>
        </w:rPr>
        <w:t>,</w:t>
      </w:r>
    </w:p>
    <w:p w14:paraId="1606F73D" w14:textId="146B645F" w:rsidR="00C9408D" w:rsidRDefault="008E0ADF" w:rsidP="00C9408D">
      <w:pPr>
        <w:tabs>
          <w:tab w:val="left" w:pos="852"/>
        </w:tabs>
        <w:ind w:left="852" w:hanging="285"/>
        <w:jc w:val="both"/>
        <w:rPr>
          <w:rFonts w:cs="Arial"/>
          <w:sz w:val="18"/>
          <w:szCs w:val="18"/>
        </w:rPr>
      </w:pPr>
      <w:r w:rsidRPr="008E01F8">
        <w:rPr>
          <w:rFonts w:cs="Arial"/>
          <w:sz w:val="18"/>
          <w:szCs w:val="18"/>
        </w:rPr>
        <w:t>-</w:t>
      </w:r>
      <w:r w:rsidR="00C9408D">
        <w:rPr>
          <w:rFonts w:cs="Arial"/>
          <w:sz w:val="18"/>
          <w:szCs w:val="18"/>
        </w:rPr>
        <w:tab/>
      </w:r>
      <w:r w:rsidR="00D32DB6" w:rsidRPr="008E01F8">
        <w:rPr>
          <w:rFonts w:cs="Arial"/>
          <w:sz w:val="18"/>
          <w:szCs w:val="18"/>
        </w:rPr>
        <w:t>o</w:t>
      </w:r>
      <w:r w:rsidRPr="008E01F8">
        <w:rPr>
          <w:rFonts w:cs="Arial"/>
          <w:sz w:val="18"/>
          <w:szCs w:val="18"/>
        </w:rPr>
        <w:t>świadczeń o stanie kontroli zarządczej za rok 2024</w:t>
      </w:r>
      <w:r w:rsidR="003843ED" w:rsidRPr="008E01F8">
        <w:rPr>
          <w:rFonts w:cs="Arial"/>
          <w:sz w:val="18"/>
          <w:szCs w:val="18"/>
        </w:rPr>
        <w:t xml:space="preserve">, złożonych przez </w:t>
      </w:r>
      <w:r w:rsidR="00365480" w:rsidRPr="008E01F8">
        <w:rPr>
          <w:rFonts w:cs="Arial"/>
          <w:sz w:val="18"/>
          <w:szCs w:val="18"/>
        </w:rPr>
        <w:t xml:space="preserve">dyrektorów komórek organizacyjnych </w:t>
      </w:r>
      <w:r w:rsidR="007577B5" w:rsidRPr="008E01F8">
        <w:rPr>
          <w:rFonts w:cs="Arial"/>
          <w:sz w:val="18"/>
          <w:szCs w:val="18"/>
        </w:rPr>
        <w:t>Ministerstw</w:t>
      </w:r>
      <w:r w:rsidR="003645DE" w:rsidRPr="008E01F8">
        <w:rPr>
          <w:rFonts w:cs="Arial"/>
          <w:sz w:val="18"/>
          <w:szCs w:val="18"/>
        </w:rPr>
        <w:t>a Przemysłu</w:t>
      </w:r>
      <w:r w:rsidR="00663674" w:rsidRPr="008E01F8">
        <w:rPr>
          <w:rFonts w:cs="Arial"/>
          <w:sz w:val="18"/>
          <w:szCs w:val="18"/>
        </w:rPr>
        <w:t>,</w:t>
      </w:r>
    </w:p>
    <w:p w14:paraId="1F156B9D" w14:textId="6821F0C6" w:rsidR="00AE54B6" w:rsidRPr="008E01F8" w:rsidRDefault="00C9408D" w:rsidP="00C9408D">
      <w:pPr>
        <w:tabs>
          <w:tab w:val="left" w:pos="852"/>
        </w:tabs>
        <w:ind w:left="852" w:hanging="285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</w:t>
      </w:r>
      <w:r>
        <w:rPr>
          <w:rFonts w:cs="Arial"/>
          <w:sz w:val="18"/>
          <w:szCs w:val="18"/>
        </w:rPr>
        <w:tab/>
      </w:r>
      <w:r w:rsidR="0083535E" w:rsidRPr="008E01F8">
        <w:rPr>
          <w:rFonts w:cs="Arial"/>
          <w:sz w:val="18"/>
          <w:szCs w:val="18"/>
        </w:rPr>
        <w:t>oświadczenia o stanie kontroli zarządczej za rok 202</w:t>
      </w:r>
      <w:r w:rsidR="0083157C" w:rsidRPr="008E01F8">
        <w:rPr>
          <w:rFonts w:cs="Arial"/>
          <w:sz w:val="18"/>
          <w:szCs w:val="18"/>
        </w:rPr>
        <w:t>4</w:t>
      </w:r>
      <w:r w:rsidR="0083535E" w:rsidRPr="008E01F8">
        <w:rPr>
          <w:rFonts w:cs="Arial"/>
          <w:sz w:val="18"/>
          <w:szCs w:val="18"/>
        </w:rPr>
        <w:t xml:space="preserve"> złożonego przez Prezesa Wyższego Urzędu Górniczego</w:t>
      </w:r>
      <w:r w:rsidR="008E01F8" w:rsidRPr="008E01F8">
        <w:rPr>
          <w:rFonts w:cs="Arial"/>
          <w:sz w:val="18"/>
          <w:szCs w:val="18"/>
        </w:rPr>
        <w:t>.</w:t>
      </w:r>
    </w:p>
    <w:p w14:paraId="4872D83A" w14:textId="77777777" w:rsidR="00F9011A" w:rsidRDefault="00C37A6C" w:rsidP="00D3159D">
      <w:pPr>
        <w:spacing w:before="240"/>
        <w:jc w:val="both"/>
        <w:rPr>
          <w:rFonts w:cs="Arial"/>
          <w:sz w:val="18"/>
          <w:szCs w:val="18"/>
        </w:rPr>
      </w:pPr>
      <w:r w:rsidRPr="008E01F8">
        <w:rPr>
          <w:rFonts w:cs="Arial"/>
          <w:sz w:val="18"/>
          <w:szCs w:val="18"/>
        </w:rPr>
        <w:t>Jednocześnie oświadczam, że nie są mi znane inne fakty lub okoliczności, które mogłyby wpłynąć na treść niniejszego oświadczenia.</w:t>
      </w:r>
    </w:p>
    <w:p w14:paraId="1A63EAA3" w14:textId="4186103D" w:rsidR="00C37A6C" w:rsidRPr="00F9011A" w:rsidRDefault="00F9011A" w:rsidP="00F9011A">
      <w:pPr>
        <w:spacing w:before="24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Marzena Czarnecka</w:t>
      </w:r>
      <w:r>
        <w:rPr>
          <w:rFonts w:cs="Arial"/>
          <w:sz w:val="18"/>
          <w:szCs w:val="18"/>
        </w:rPr>
        <w:br/>
      </w:r>
      <w:r w:rsidR="008E01F8">
        <w:rPr>
          <w:rFonts w:cs="Arial"/>
        </w:rPr>
        <w:t>Katowice, dnia 29 kwietnia 2025 r</w:t>
      </w:r>
      <w:r>
        <w:rPr>
          <w:rFonts w:cs="Arial"/>
        </w:rPr>
        <w:t>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Minister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F9011A">
        <w:rPr>
          <w:rFonts w:cs="Arial"/>
        </w:rPr>
        <w:t>dokument podpisany elektronicznie</w:t>
      </w:r>
      <w:r>
        <w:rPr>
          <w:rFonts w:cs="Arial"/>
        </w:rPr>
        <w:t xml:space="preserve"> </w:t>
      </w:r>
      <w:r w:rsidRPr="00F9011A">
        <w:rPr>
          <w:rFonts w:cs="Arial"/>
        </w:rPr>
        <w:t>61361436024088640</w:t>
      </w:r>
    </w:p>
    <w:p w14:paraId="062D2492" w14:textId="1858A415" w:rsidR="00C37A6C" w:rsidRPr="008E01F8" w:rsidRDefault="00C37A6C" w:rsidP="00D3159D">
      <w:pPr>
        <w:tabs>
          <w:tab w:val="right" w:pos="8505"/>
        </w:tabs>
        <w:ind w:firstLine="5812"/>
        <w:jc w:val="both"/>
        <w:rPr>
          <w:rFonts w:cs="Arial"/>
          <w:sz w:val="16"/>
          <w:szCs w:val="16"/>
        </w:rPr>
      </w:pPr>
      <w:r w:rsidRPr="008E01F8">
        <w:rPr>
          <w:rFonts w:cs="Arial"/>
          <w:sz w:val="16"/>
          <w:szCs w:val="16"/>
        </w:rPr>
        <w:t>(podpis ministra/</w:t>
      </w:r>
      <w:r w:rsidRPr="00F9011A">
        <w:rPr>
          <w:rFonts w:cs="Arial"/>
          <w:strike/>
          <w:sz w:val="16"/>
          <w:szCs w:val="16"/>
        </w:rPr>
        <w:t>kierownika jednostki</w:t>
      </w:r>
      <w:r w:rsidRPr="008E01F8">
        <w:rPr>
          <w:rFonts w:cs="Arial"/>
          <w:sz w:val="16"/>
          <w:szCs w:val="16"/>
        </w:rPr>
        <w:t>)</w:t>
      </w:r>
    </w:p>
    <w:p w14:paraId="0CE0A5BF" w14:textId="77777777" w:rsidR="00C37A6C" w:rsidRPr="00D3159D" w:rsidRDefault="00C37A6C" w:rsidP="00D3159D">
      <w:pPr>
        <w:pStyle w:val="Bezodstpw"/>
        <w:rPr>
          <w:sz w:val="14"/>
          <w:szCs w:val="14"/>
        </w:rPr>
      </w:pPr>
      <w:r w:rsidRPr="00D3159D">
        <w:rPr>
          <w:sz w:val="14"/>
          <w:szCs w:val="14"/>
        </w:rPr>
        <w:t>______</w:t>
      </w:r>
    </w:p>
    <w:p w14:paraId="2143466A" w14:textId="6A3783E3" w:rsidR="00C37A6C" w:rsidRPr="00D3159D" w:rsidRDefault="00C37A6C" w:rsidP="00D3159D">
      <w:pPr>
        <w:pStyle w:val="Bezodstpw"/>
        <w:rPr>
          <w:sz w:val="14"/>
          <w:szCs w:val="14"/>
        </w:rPr>
      </w:pPr>
      <w:r w:rsidRPr="00D3159D">
        <w:rPr>
          <w:sz w:val="14"/>
          <w:szCs w:val="14"/>
        </w:rPr>
        <w:t>*</w:t>
      </w:r>
      <w:r w:rsidR="008E01F8" w:rsidRPr="00D3159D">
        <w:rPr>
          <w:sz w:val="14"/>
          <w:szCs w:val="14"/>
        </w:rPr>
        <w:t xml:space="preserve"> </w:t>
      </w:r>
      <w:r w:rsidRPr="00D3159D">
        <w:rPr>
          <w:sz w:val="14"/>
          <w:szCs w:val="14"/>
        </w:rPr>
        <w:t>Niepotrzebne skreślić.</w:t>
      </w:r>
    </w:p>
    <w:p w14:paraId="2CF10290" w14:textId="77777777" w:rsidR="00C37A6C" w:rsidRDefault="00C37A6C">
      <w:pPr>
        <w:spacing w:after="240"/>
        <w:jc w:val="both"/>
        <w:rPr>
          <w:rFonts w:cs="Arial"/>
        </w:rPr>
      </w:pPr>
      <w:r>
        <w:rPr>
          <w:rFonts w:cs="Arial"/>
          <w:b/>
          <w:bCs/>
        </w:rPr>
        <w:lastRenderedPageBreak/>
        <w:t>Dział II</w:t>
      </w:r>
      <w:r>
        <w:rPr>
          <w:rFonts w:cs="Arial"/>
          <w:vertAlign w:val="superscript"/>
        </w:rPr>
        <w:t>9)</w:t>
      </w:r>
    </w:p>
    <w:p w14:paraId="34FC0EAD" w14:textId="77777777" w:rsidR="00C37A6C" w:rsidRDefault="00C37A6C">
      <w:pPr>
        <w:tabs>
          <w:tab w:val="left" w:pos="426"/>
        </w:tabs>
        <w:ind w:left="426" w:hanging="426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>Zastrzeżenia dotyczące funkcjonowania kontroli zarządczej w roku ubiegłym.</w:t>
      </w:r>
    </w:p>
    <w:p w14:paraId="3D5B5D79" w14:textId="13CB1D70" w:rsidR="00304F70" w:rsidRPr="00B7630F" w:rsidRDefault="005A1C33" w:rsidP="007F1BC5">
      <w:pPr>
        <w:pStyle w:val="Akapitzlist"/>
        <w:numPr>
          <w:ilvl w:val="0"/>
          <w:numId w:val="1"/>
        </w:numPr>
        <w:ind w:left="426"/>
        <w:jc w:val="both"/>
        <w:rPr>
          <w:rFonts w:cs="Arial"/>
          <w:strike/>
        </w:rPr>
      </w:pPr>
      <w:r>
        <w:rPr>
          <w:rFonts w:cs="Arial"/>
        </w:rPr>
        <w:t>z</w:t>
      </w:r>
      <w:r w:rsidR="000D7C3E" w:rsidRPr="00B7630F">
        <w:rPr>
          <w:rFonts w:cs="Arial"/>
        </w:rPr>
        <w:t>astrzeżenia Ministra Przemysłu w odniesieniu do kierowanego przez niego działu</w:t>
      </w:r>
      <w:r w:rsidR="00B7630F" w:rsidRPr="00B7630F">
        <w:rPr>
          <w:rFonts w:cs="Arial"/>
        </w:rPr>
        <w:t xml:space="preserve"> </w:t>
      </w:r>
      <w:r w:rsidR="000D7C3E" w:rsidRPr="00B7630F">
        <w:rPr>
          <w:rFonts w:cs="Arial"/>
        </w:rPr>
        <w:t xml:space="preserve">administracji rządowej </w:t>
      </w:r>
      <w:r w:rsidR="00662F89" w:rsidRPr="00E901AF">
        <w:rPr>
          <w:rStyle w:val="Teksttreci"/>
        </w:rPr>
        <w:t>gospodarka surowcami energetycznymi</w:t>
      </w:r>
      <w:r w:rsidR="00662F89" w:rsidRPr="00B7630F">
        <w:rPr>
          <w:rStyle w:val="Teksttreci"/>
          <w:b/>
          <w:bCs/>
        </w:rPr>
        <w:t xml:space="preserve"> </w:t>
      </w:r>
      <w:r w:rsidR="000D7C3E" w:rsidRPr="00B7630F">
        <w:rPr>
          <w:rFonts w:cs="Arial"/>
        </w:rPr>
        <w:t>dotyczyły</w:t>
      </w:r>
      <w:r w:rsidR="000E2D3C" w:rsidRPr="00B7630F">
        <w:rPr>
          <w:rFonts w:cs="Arial"/>
        </w:rPr>
        <w:t>:</w:t>
      </w:r>
      <w:r w:rsidR="000D7C3E" w:rsidRPr="00B7630F">
        <w:rPr>
          <w:rFonts w:cs="Arial"/>
        </w:rPr>
        <w:t xml:space="preserve"> </w:t>
      </w:r>
    </w:p>
    <w:p w14:paraId="15D8BF5A" w14:textId="40240884" w:rsidR="00230269" w:rsidRPr="000567D3" w:rsidRDefault="00126661" w:rsidP="007F1BC5">
      <w:pPr>
        <w:pStyle w:val="Akapitzlist"/>
        <w:numPr>
          <w:ilvl w:val="0"/>
          <w:numId w:val="2"/>
        </w:numPr>
        <w:jc w:val="both"/>
      </w:pPr>
      <w:r w:rsidRPr="000C4D2B">
        <w:t xml:space="preserve">zasobów ludzkich </w:t>
      </w:r>
      <w:r w:rsidR="008E1C9B">
        <w:t xml:space="preserve">adekwatnych </w:t>
      </w:r>
      <w:r w:rsidRPr="000C4D2B">
        <w:t>do skali realizowanych zadań i powierzonych obowiązków</w:t>
      </w:r>
      <w:r w:rsidR="00C53987">
        <w:t xml:space="preserve"> </w:t>
      </w:r>
      <w:r w:rsidR="00CD72C0" w:rsidRPr="000C4D2B">
        <w:t>Ministerstwa Przemysłu</w:t>
      </w:r>
      <w:r w:rsidR="00143684" w:rsidRPr="000C4D2B">
        <w:t xml:space="preserve"> </w:t>
      </w:r>
      <w:r w:rsidR="00E6786D" w:rsidRPr="000C4D2B">
        <w:t>(dalej: MP lub Ministerstwo)</w:t>
      </w:r>
      <w:r w:rsidR="00667889">
        <w:t xml:space="preserve"> uwzględniając fluktuację kadr</w:t>
      </w:r>
      <w:r w:rsidR="00C424AE" w:rsidRPr="000C4D2B">
        <w:t xml:space="preserve"> </w:t>
      </w:r>
      <w:r w:rsidR="00143684" w:rsidRPr="000C4D2B">
        <w:t xml:space="preserve">oraz </w:t>
      </w:r>
      <w:r w:rsidR="004F4E60" w:rsidRPr="000C4D2B">
        <w:t>organizacj</w:t>
      </w:r>
      <w:r w:rsidR="001D400B">
        <w:t>ę</w:t>
      </w:r>
      <w:r w:rsidR="009337B3" w:rsidRPr="000C4D2B">
        <w:t xml:space="preserve"> </w:t>
      </w:r>
      <w:r w:rsidR="00DF251F" w:rsidRPr="000C4D2B">
        <w:t>struktur</w:t>
      </w:r>
      <w:r w:rsidR="00C424AE" w:rsidRPr="000C4D2B">
        <w:t>y</w:t>
      </w:r>
      <w:r w:rsidR="00DF251F" w:rsidRPr="000C4D2B">
        <w:t xml:space="preserve"> </w:t>
      </w:r>
      <w:r w:rsidR="00E648CD" w:rsidRPr="000567D3">
        <w:t>organizacyjnej Ministerstwa</w:t>
      </w:r>
      <w:r w:rsidR="001D400B" w:rsidRPr="000567D3">
        <w:t>,</w:t>
      </w:r>
    </w:p>
    <w:p w14:paraId="3E45F41D" w14:textId="4BD89E85" w:rsidR="00172591" w:rsidRPr="000567D3" w:rsidRDefault="001D400B" w:rsidP="007F1BC5">
      <w:pPr>
        <w:pStyle w:val="Default"/>
        <w:numPr>
          <w:ilvl w:val="0"/>
          <w:numId w:val="2"/>
        </w:numPr>
        <w:jc w:val="both"/>
        <w:rPr>
          <w:color w:val="000000" w:themeColor="text1"/>
          <w:sz w:val="20"/>
          <w:szCs w:val="20"/>
        </w:rPr>
      </w:pPr>
      <w:r w:rsidRPr="000567D3">
        <w:rPr>
          <w:sz w:val="20"/>
          <w:szCs w:val="20"/>
        </w:rPr>
        <w:t>z</w:t>
      </w:r>
      <w:r w:rsidR="002A52F9" w:rsidRPr="000567D3">
        <w:rPr>
          <w:sz w:val="20"/>
          <w:szCs w:val="20"/>
        </w:rPr>
        <w:t xml:space="preserve">apewnienia ciągłości działania i budowania standardów </w:t>
      </w:r>
      <w:r w:rsidR="00C03DF7" w:rsidRPr="000567D3">
        <w:rPr>
          <w:sz w:val="20"/>
          <w:szCs w:val="20"/>
        </w:rPr>
        <w:t>funkcjonowania</w:t>
      </w:r>
      <w:r w:rsidR="002A52F9" w:rsidRPr="000567D3">
        <w:rPr>
          <w:sz w:val="20"/>
          <w:szCs w:val="20"/>
        </w:rPr>
        <w:t xml:space="preserve"> administrac</w:t>
      </w:r>
      <w:r w:rsidR="00C03DF7" w:rsidRPr="000567D3">
        <w:rPr>
          <w:sz w:val="20"/>
          <w:szCs w:val="20"/>
        </w:rPr>
        <w:t>ji</w:t>
      </w:r>
      <w:r w:rsidR="002A52F9" w:rsidRPr="000567D3">
        <w:rPr>
          <w:sz w:val="20"/>
          <w:szCs w:val="20"/>
        </w:rPr>
        <w:t xml:space="preserve"> w </w:t>
      </w:r>
      <w:r w:rsidR="00C03DF7" w:rsidRPr="000567D3">
        <w:rPr>
          <w:sz w:val="20"/>
          <w:szCs w:val="20"/>
        </w:rPr>
        <w:t xml:space="preserve">zakresie obsługi </w:t>
      </w:r>
      <w:r w:rsidR="002A52F9" w:rsidRPr="000567D3">
        <w:rPr>
          <w:sz w:val="20"/>
          <w:szCs w:val="20"/>
        </w:rPr>
        <w:t xml:space="preserve">i systemów informatycznych oraz </w:t>
      </w:r>
      <w:r w:rsidR="00172591" w:rsidRPr="000567D3">
        <w:rPr>
          <w:color w:val="000000" w:themeColor="text1"/>
          <w:sz w:val="20"/>
          <w:szCs w:val="20"/>
        </w:rPr>
        <w:t>infrastruktury IT</w:t>
      </w:r>
      <w:r w:rsidRPr="000567D3">
        <w:rPr>
          <w:color w:val="000000" w:themeColor="text1"/>
          <w:sz w:val="20"/>
          <w:szCs w:val="20"/>
        </w:rPr>
        <w:t>,</w:t>
      </w:r>
    </w:p>
    <w:p w14:paraId="48646D3D" w14:textId="3D72BC5B" w:rsidR="000567D3" w:rsidRPr="000567D3" w:rsidRDefault="000567D3" w:rsidP="007F1BC5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0567D3">
        <w:rPr>
          <w:color w:val="auto"/>
          <w:sz w:val="20"/>
          <w:szCs w:val="20"/>
        </w:rPr>
        <w:t xml:space="preserve">sformalizowanie obszaru zarządzania kryzysowego oraz </w:t>
      </w:r>
      <w:r>
        <w:rPr>
          <w:color w:val="auto"/>
          <w:sz w:val="20"/>
          <w:szCs w:val="20"/>
        </w:rPr>
        <w:t>b</w:t>
      </w:r>
      <w:r w:rsidRPr="000567D3">
        <w:rPr>
          <w:sz w:val="20"/>
          <w:szCs w:val="20"/>
        </w:rPr>
        <w:t xml:space="preserve">ezpieczeństwem </w:t>
      </w:r>
      <w:r>
        <w:rPr>
          <w:sz w:val="20"/>
          <w:szCs w:val="20"/>
        </w:rPr>
        <w:t>i</w:t>
      </w:r>
      <w:r w:rsidRPr="000567D3">
        <w:rPr>
          <w:sz w:val="20"/>
          <w:szCs w:val="20"/>
        </w:rPr>
        <w:t>nformacji</w:t>
      </w:r>
      <w:r>
        <w:rPr>
          <w:sz w:val="20"/>
          <w:szCs w:val="20"/>
        </w:rPr>
        <w:t>,</w:t>
      </w:r>
    </w:p>
    <w:p w14:paraId="55525103" w14:textId="5F833A67" w:rsidR="00E36DE9" w:rsidRPr="000567D3" w:rsidRDefault="0029188E" w:rsidP="007F1BC5">
      <w:pPr>
        <w:pStyle w:val="Default"/>
        <w:numPr>
          <w:ilvl w:val="0"/>
          <w:numId w:val="2"/>
        </w:numPr>
        <w:jc w:val="both"/>
        <w:rPr>
          <w:color w:val="auto"/>
          <w:sz w:val="20"/>
          <w:szCs w:val="20"/>
        </w:rPr>
      </w:pPr>
      <w:r w:rsidRPr="000567D3">
        <w:rPr>
          <w:color w:val="auto"/>
          <w:sz w:val="20"/>
          <w:szCs w:val="20"/>
        </w:rPr>
        <w:t>komunikacji wewnętrznej i zewnętrznej</w:t>
      </w:r>
      <w:r w:rsidR="00B23077" w:rsidRPr="000567D3">
        <w:rPr>
          <w:color w:val="auto"/>
          <w:sz w:val="20"/>
          <w:szCs w:val="20"/>
        </w:rPr>
        <w:t xml:space="preserve"> </w:t>
      </w:r>
      <w:r w:rsidR="000A0969" w:rsidRPr="000567D3">
        <w:rPr>
          <w:color w:val="auto"/>
          <w:sz w:val="20"/>
          <w:szCs w:val="20"/>
        </w:rPr>
        <w:t>związanych</w:t>
      </w:r>
      <w:r w:rsidR="00B23077" w:rsidRPr="000567D3">
        <w:rPr>
          <w:color w:val="auto"/>
          <w:sz w:val="20"/>
          <w:szCs w:val="20"/>
        </w:rPr>
        <w:t xml:space="preserve"> </w:t>
      </w:r>
      <w:r w:rsidR="000A0969" w:rsidRPr="000567D3">
        <w:rPr>
          <w:color w:val="auto"/>
          <w:sz w:val="20"/>
          <w:szCs w:val="20"/>
        </w:rPr>
        <w:t>z tworzeniem się struktur urzędu</w:t>
      </w:r>
      <w:bookmarkStart w:id="0" w:name="_Hlk195690485"/>
      <w:r w:rsidR="001D400B" w:rsidRPr="000567D3">
        <w:rPr>
          <w:color w:val="auto"/>
          <w:sz w:val="20"/>
          <w:szCs w:val="20"/>
        </w:rPr>
        <w:t>,</w:t>
      </w:r>
    </w:p>
    <w:p w14:paraId="309D6169" w14:textId="41B01940" w:rsidR="00D60EAA" w:rsidRPr="000567D3" w:rsidRDefault="008E1C9B" w:rsidP="007F1BC5">
      <w:pPr>
        <w:pStyle w:val="Akapitzlist"/>
        <w:numPr>
          <w:ilvl w:val="0"/>
          <w:numId w:val="2"/>
        </w:numPr>
        <w:jc w:val="both"/>
        <w:rPr>
          <w:rFonts w:cs="Arial"/>
        </w:rPr>
      </w:pPr>
      <w:bookmarkStart w:id="1" w:name="_Hlk194928044"/>
      <w:bookmarkStart w:id="2" w:name="_Hlk195647214"/>
      <w:bookmarkEnd w:id="0"/>
      <w:r w:rsidRPr="000567D3">
        <w:rPr>
          <w:rFonts w:cs="Arial"/>
        </w:rPr>
        <w:t>s</w:t>
      </w:r>
      <w:r w:rsidR="00B504F7" w:rsidRPr="000567D3">
        <w:rPr>
          <w:rFonts w:cs="Arial"/>
        </w:rPr>
        <w:t xml:space="preserve">kuteczności i efektywności działania </w:t>
      </w:r>
      <w:r w:rsidRPr="000567D3">
        <w:rPr>
          <w:rFonts w:cs="Arial"/>
        </w:rPr>
        <w:t xml:space="preserve">w zakresie koordynowania udzielania odpowiedzi na wystąpienia kierowane do </w:t>
      </w:r>
      <w:bookmarkEnd w:id="1"/>
      <w:r w:rsidRPr="000567D3">
        <w:rPr>
          <w:rFonts w:cs="Arial"/>
        </w:rPr>
        <w:t>MP,</w:t>
      </w:r>
    </w:p>
    <w:bookmarkEnd w:id="2"/>
    <w:p w14:paraId="2C32DB7F" w14:textId="7EE34D80" w:rsidR="004C208E" w:rsidRPr="000567D3" w:rsidRDefault="008D62FB" w:rsidP="007F1BC5">
      <w:pPr>
        <w:pStyle w:val="Akapitzlist"/>
        <w:numPr>
          <w:ilvl w:val="0"/>
          <w:numId w:val="2"/>
        </w:numPr>
        <w:jc w:val="both"/>
      </w:pPr>
      <w:r w:rsidRPr="000567D3">
        <w:t xml:space="preserve">zgodności postępujących procesów </w:t>
      </w:r>
      <w:r w:rsidR="005C6894" w:rsidRPr="000567D3">
        <w:t>organizacyjnych z dokumentacją</w:t>
      </w:r>
      <w:r w:rsidR="008E1C9B" w:rsidRPr="000567D3">
        <w:t>,</w:t>
      </w:r>
    </w:p>
    <w:p w14:paraId="433BA8C5" w14:textId="4DCB7DFD" w:rsidR="006C6999" w:rsidRPr="000567D3" w:rsidRDefault="00064136" w:rsidP="007F1BC5">
      <w:pPr>
        <w:pStyle w:val="Akapitzlist"/>
        <w:numPr>
          <w:ilvl w:val="0"/>
          <w:numId w:val="2"/>
        </w:numPr>
        <w:jc w:val="both"/>
      </w:pPr>
      <w:r w:rsidRPr="000567D3">
        <w:t>dostosow</w:t>
      </w:r>
      <w:r w:rsidR="00E53133" w:rsidRPr="000567D3">
        <w:t>ywanie</w:t>
      </w:r>
      <w:r w:rsidRPr="000567D3">
        <w:t xml:space="preserve"> </w:t>
      </w:r>
      <w:r w:rsidR="00E53133" w:rsidRPr="000567D3">
        <w:t>zasobów lokalowych</w:t>
      </w:r>
      <w:r w:rsidR="005A12B1" w:rsidRPr="000567D3">
        <w:t xml:space="preserve"> </w:t>
      </w:r>
      <w:r w:rsidR="00E53133" w:rsidRPr="000567D3">
        <w:t xml:space="preserve">dla dwóch lokalizacji w celu realizacji powierzonych zadań, w tym w szczególności dla </w:t>
      </w:r>
      <w:r w:rsidR="002A6D2A" w:rsidRPr="000567D3">
        <w:t>kancelarii tajnej</w:t>
      </w:r>
      <w:r w:rsidR="00E53133" w:rsidRPr="000567D3">
        <w:t>,</w:t>
      </w:r>
    </w:p>
    <w:p w14:paraId="11EDE829" w14:textId="6D1F8257" w:rsidR="00275E0D" w:rsidRPr="000567D3" w:rsidRDefault="005A1C33" w:rsidP="007F1BC5">
      <w:pPr>
        <w:pStyle w:val="Default"/>
        <w:numPr>
          <w:ilvl w:val="0"/>
          <w:numId w:val="2"/>
        </w:numPr>
        <w:jc w:val="both"/>
        <w:rPr>
          <w:sz w:val="20"/>
          <w:szCs w:val="20"/>
        </w:rPr>
      </w:pPr>
      <w:r w:rsidRPr="000567D3">
        <w:rPr>
          <w:sz w:val="20"/>
          <w:szCs w:val="20"/>
        </w:rPr>
        <w:t>podniesienie</w:t>
      </w:r>
      <w:r w:rsidR="00074742" w:rsidRPr="000567D3">
        <w:rPr>
          <w:sz w:val="20"/>
          <w:szCs w:val="20"/>
        </w:rPr>
        <w:t xml:space="preserve"> wiedzy </w:t>
      </w:r>
      <w:r w:rsidR="001F5FE1" w:rsidRPr="000567D3">
        <w:rPr>
          <w:sz w:val="20"/>
          <w:szCs w:val="20"/>
        </w:rPr>
        <w:t xml:space="preserve">pracowników </w:t>
      </w:r>
      <w:r w:rsidRPr="000567D3">
        <w:rPr>
          <w:sz w:val="20"/>
          <w:szCs w:val="20"/>
        </w:rPr>
        <w:t xml:space="preserve">w </w:t>
      </w:r>
      <w:r w:rsidR="001F5FE1" w:rsidRPr="000567D3">
        <w:rPr>
          <w:sz w:val="20"/>
          <w:szCs w:val="20"/>
        </w:rPr>
        <w:t xml:space="preserve">zakresie </w:t>
      </w:r>
      <w:r w:rsidR="00421D63" w:rsidRPr="000567D3">
        <w:rPr>
          <w:sz w:val="20"/>
          <w:szCs w:val="20"/>
        </w:rPr>
        <w:t>kontroli</w:t>
      </w:r>
      <w:r w:rsidR="001F5FE1" w:rsidRPr="000567D3">
        <w:rPr>
          <w:sz w:val="20"/>
          <w:szCs w:val="20"/>
        </w:rPr>
        <w:t xml:space="preserve"> zarządczej </w:t>
      </w:r>
      <w:r w:rsidR="00421D63" w:rsidRPr="000567D3">
        <w:rPr>
          <w:sz w:val="20"/>
          <w:szCs w:val="20"/>
        </w:rPr>
        <w:t xml:space="preserve">oraz </w:t>
      </w:r>
      <w:r w:rsidR="006E1B72" w:rsidRPr="000567D3">
        <w:rPr>
          <w:sz w:val="20"/>
          <w:szCs w:val="20"/>
        </w:rPr>
        <w:t xml:space="preserve">wprowadzenie </w:t>
      </w:r>
      <w:r w:rsidR="00421D63" w:rsidRPr="000567D3">
        <w:rPr>
          <w:sz w:val="20"/>
          <w:szCs w:val="20"/>
        </w:rPr>
        <w:t xml:space="preserve">procesów </w:t>
      </w:r>
      <w:r w:rsidR="006E1B72" w:rsidRPr="000567D3">
        <w:rPr>
          <w:sz w:val="20"/>
          <w:szCs w:val="20"/>
        </w:rPr>
        <w:t>zarządzania ryzykiem</w:t>
      </w:r>
      <w:r w:rsidRPr="000567D3">
        <w:rPr>
          <w:sz w:val="20"/>
          <w:szCs w:val="20"/>
        </w:rPr>
        <w:t>,</w:t>
      </w:r>
    </w:p>
    <w:p w14:paraId="45F403C3" w14:textId="24E843BE" w:rsidR="00836396" w:rsidRPr="000567D3" w:rsidRDefault="005A1C33" w:rsidP="007F1BC5">
      <w:pPr>
        <w:pStyle w:val="Akapitzlist"/>
        <w:numPr>
          <w:ilvl w:val="0"/>
          <w:numId w:val="2"/>
        </w:numPr>
        <w:jc w:val="both"/>
      </w:pPr>
      <w:r w:rsidRPr="000567D3">
        <w:t>procesu</w:t>
      </w:r>
      <w:r w:rsidR="00836396" w:rsidRPr="000567D3">
        <w:rPr>
          <w:rFonts w:cs="Arial"/>
        </w:rPr>
        <w:t xml:space="preserve"> udzielania dotacji dla podmiotów górnictwa </w:t>
      </w:r>
      <w:proofErr w:type="spellStart"/>
      <w:r w:rsidRPr="000567D3">
        <w:rPr>
          <w:rFonts w:cs="Arial"/>
        </w:rPr>
        <w:t>niewęglowego</w:t>
      </w:r>
      <w:proofErr w:type="spellEnd"/>
      <w:r w:rsidRPr="000567D3">
        <w:rPr>
          <w:rFonts w:cs="Arial"/>
        </w:rPr>
        <w:t>,</w:t>
      </w:r>
    </w:p>
    <w:p w14:paraId="411277DE" w14:textId="3D5A5BB2" w:rsidR="00AD0590" w:rsidRPr="00D3159D" w:rsidRDefault="00871FD2" w:rsidP="00D3159D">
      <w:pPr>
        <w:pStyle w:val="Akapitzlist"/>
        <w:numPr>
          <w:ilvl w:val="0"/>
          <w:numId w:val="2"/>
        </w:numPr>
        <w:jc w:val="both"/>
        <w:rPr>
          <w:rFonts w:cs="Arial"/>
        </w:rPr>
      </w:pPr>
      <w:bookmarkStart w:id="3" w:name="_Hlk194927629"/>
      <w:r w:rsidRPr="000567D3">
        <w:rPr>
          <w:rFonts w:cs="Arial"/>
        </w:rPr>
        <w:t xml:space="preserve">wykorzystania </w:t>
      </w:r>
      <w:r w:rsidR="005A1C33" w:rsidRPr="000567D3">
        <w:rPr>
          <w:rFonts w:cs="Arial"/>
        </w:rPr>
        <w:t xml:space="preserve">przez beneficjentów zewnętrznych, </w:t>
      </w:r>
      <w:r w:rsidRPr="000567D3">
        <w:rPr>
          <w:rFonts w:cs="Arial"/>
        </w:rPr>
        <w:t>środków pochodzących z budżetu państwa</w:t>
      </w:r>
      <w:r w:rsidR="00842274" w:rsidRPr="000567D3">
        <w:rPr>
          <w:rFonts w:cs="Arial"/>
        </w:rPr>
        <w:t xml:space="preserve"> w</w:t>
      </w:r>
      <w:r w:rsidR="005A1C33" w:rsidRPr="000567D3">
        <w:rPr>
          <w:rFonts w:cs="Arial"/>
        </w:rPr>
        <w:t> </w:t>
      </w:r>
      <w:r w:rsidR="00842274" w:rsidRPr="000567D3">
        <w:rPr>
          <w:rFonts w:cs="Arial"/>
        </w:rPr>
        <w:t xml:space="preserve">ramach </w:t>
      </w:r>
      <w:r w:rsidR="005A1C33" w:rsidRPr="000567D3">
        <w:rPr>
          <w:rFonts w:cs="Arial"/>
        </w:rPr>
        <w:t>otrzymanych</w:t>
      </w:r>
      <w:r w:rsidR="00842274" w:rsidRPr="000567D3">
        <w:rPr>
          <w:rFonts w:cs="Arial"/>
        </w:rPr>
        <w:t xml:space="preserve"> dotacji i dopłat</w:t>
      </w:r>
      <w:r w:rsidR="00D3159D">
        <w:rPr>
          <w:rFonts w:cs="Arial"/>
        </w:rPr>
        <w:t>.</w:t>
      </w:r>
    </w:p>
    <w:bookmarkEnd w:id="3"/>
    <w:p w14:paraId="6BD8531C" w14:textId="77777777" w:rsidR="005019F9" w:rsidRPr="00186437" w:rsidRDefault="005019F9" w:rsidP="00186437">
      <w:pPr>
        <w:ind w:left="426" w:hanging="426"/>
        <w:jc w:val="both"/>
        <w:rPr>
          <w:rFonts w:cs="Arial"/>
        </w:rPr>
      </w:pPr>
    </w:p>
    <w:p w14:paraId="47C8540F" w14:textId="1D5EB789" w:rsidR="00230F8F" w:rsidRDefault="00C9408D" w:rsidP="007F1BC5">
      <w:pPr>
        <w:pStyle w:val="Akapitzlist"/>
        <w:numPr>
          <w:ilvl w:val="0"/>
          <w:numId w:val="3"/>
        </w:numPr>
        <w:ind w:left="426"/>
        <w:jc w:val="both"/>
      </w:pPr>
      <w:r w:rsidRPr="00C9408D">
        <w:rPr>
          <w:rFonts w:cs="Arial"/>
        </w:rPr>
        <w:t>zastrzeżenia Prezesa Wyższego Urzędu Górniczego w kierowanej przez niego jednostce dotyczyły obszaru</w:t>
      </w:r>
      <w:r w:rsidR="00DB1BBC" w:rsidRPr="00DB1BBC">
        <w:t>:</w:t>
      </w:r>
    </w:p>
    <w:p w14:paraId="2AC96492" w14:textId="55DC5A31" w:rsidR="006D6534" w:rsidRDefault="005A1C33" w:rsidP="007F1BC5">
      <w:pPr>
        <w:pStyle w:val="Akapitzlist"/>
        <w:numPr>
          <w:ilvl w:val="0"/>
          <w:numId w:val="4"/>
        </w:numPr>
        <w:jc w:val="both"/>
      </w:pPr>
      <w:r>
        <w:t>k</w:t>
      </w:r>
      <w:r w:rsidR="006D6534">
        <w:t>onieczności doprecyzowania funkcjonujących w Wyższym Urzędzie Górniczym procedur dotyczących:</w:t>
      </w:r>
    </w:p>
    <w:p w14:paraId="0B24078A" w14:textId="4F432807" w:rsidR="006D6534" w:rsidRDefault="006D6534" w:rsidP="007F1BC5">
      <w:pPr>
        <w:pStyle w:val="Akapitzlist"/>
        <w:numPr>
          <w:ilvl w:val="0"/>
          <w:numId w:val="5"/>
        </w:numPr>
        <w:ind w:left="993"/>
        <w:jc w:val="both"/>
      </w:pPr>
      <w:r>
        <w:t>wykrywania i przeciwdziałania nielegalnej eksploatacji kopalin,</w:t>
      </w:r>
    </w:p>
    <w:p w14:paraId="0041EC17" w14:textId="278017EC" w:rsidR="006D6534" w:rsidRDefault="006D6534" w:rsidP="007F1BC5">
      <w:pPr>
        <w:pStyle w:val="Akapitzlist"/>
        <w:numPr>
          <w:ilvl w:val="0"/>
          <w:numId w:val="5"/>
        </w:numPr>
        <w:ind w:left="993"/>
        <w:jc w:val="both"/>
      </w:pPr>
      <w:r>
        <w:t>monitorowania i zarządzania realizacją inwestycji,</w:t>
      </w:r>
    </w:p>
    <w:p w14:paraId="7C0ACF3F" w14:textId="5EA36280" w:rsidR="006D6534" w:rsidRDefault="006D6534" w:rsidP="007F1BC5">
      <w:pPr>
        <w:pStyle w:val="Akapitzlist"/>
        <w:numPr>
          <w:ilvl w:val="0"/>
          <w:numId w:val="5"/>
        </w:numPr>
        <w:ind w:left="993"/>
        <w:jc w:val="both"/>
      </w:pPr>
      <w:r>
        <w:t>formalnych procedur i planów w analizie ryzyka,</w:t>
      </w:r>
    </w:p>
    <w:p w14:paraId="45BD9A20" w14:textId="3AD00361" w:rsidR="006D6534" w:rsidRDefault="006D6534" w:rsidP="007F1BC5">
      <w:pPr>
        <w:pStyle w:val="Akapitzlist"/>
        <w:numPr>
          <w:ilvl w:val="0"/>
          <w:numId w:val="5"/>
        </w:numPr>
        <w:ind w:left="993"/>
        <w:jc w:val="both"/>
      </w:pPr>
      <w:r>
        <w:t>zapewnienia ciągłości działania systemów teleinformatycznych oraz usług cyfrowych</w:t>
      </w:r>
      <w:r w:rsidR="005A1C33">
        <w:t>,</w:t>
      </w:r>
    </w:p>
    <w:p w14:paraId="15CE979E" w14:textId="32FBB0CC" w:rsidR="006D6534" w:rsidRDefault="005A1C33" w:rsidP="007F1BC5">
      <w:pPr>
        <w:pStyle w:val="Akapitzlist"/>
        <w:numPr>
          <w:ilvl w:val="0"/>
          <w:numId w:val="4"/>
        </w:numPr>
        <w:jc w:val="both"/>
      </w:pPr>
      <w:r>
        <w:t>k</w:t>
      </w:r>
      <w:r w:rsidR="006D6534">
        <w:t>onieczności doprowadzenia do zgodności działań z obowiązującymi przepisami prawnymi w</w:t>
      </w:r>
      <w:r>
        <w:t> </w:t>
      </w:r>
      <w:r w:rsidR="006D6534">
        <w:t>zakresie:</w:t>
      </w:r>
    </w:p>
    <w:p w14:paraId="319B41A5" w14:textId="3EAB6838" w:rsidR="006D6534" w:rsidRDefault="006D6534" w:rsidP="007F1BC5">
      <w:pPr>
        <w:pStyle w:val="Akapitzlist"/>
        <w:numPr>
          <w:ilvl w:val="0"/>
          <w:numId w:val="6"/>
        </w:numPr>
        <w:ind w:left="993"/>
        <w:jc w:val="both"/>
      </w:pPr>
      <w:r>
        <w:t>przetwarzania danych osobowych,</w:t>
      </w:r>
    </w:p>
    <w:p w14:paraId="2C322817" w14:textId="6ED827B6" w:rsidR="006D6534" w:rsidRDefault="006D6534" w:rsidP="007F1BC5">
      <w:pPr>
        <w:pStyle w:val="Akapitzlist"/>
        <w:numPr>
          <w:ilvl w:val="0"/>
          <w:numId w:val="6"/>
        </w:numPr>
        <w:ind w:left="993"/>
        <w:jc w:val="both"/>
      </w:pPr>
      <w:r>
        <w:t>stosowania przepisów ustawy o ochronie sygnalistów,</w:t>
      </w:r>
    </w:p>
    <w:p w14:paraId="1B38C955" w14:textId="28EAE52D" w:rsidR="006D6534" w:rsidRDefault="006D6534" w:rsidP="007F1BC5">
      <w:pPr>
        <w:pStyle w:val="Akapitzlist"/>
        <w:numPr>
          <w:ilvl w:val="0"/>
          <w:numId w:val="6"/>
        </w:numPr>
        <w:ind w:left="993"/>
        <w:jc w:val="both"/>
      </w:pPr>
      <w:r>
        <w:t>zatwierdzania planu ruchu zakładów górniczych i zakładów oraz zmian tych planów przez dyrektorów okręgowych urzędów górniczych,</w:t>
      </w:r>
    </w:p>
    <w:p w14:paraId="6C908696" w14:textId="3CAEF13C" w:rsidR="006D6534" w:rsidRDefault="006D6534" w:rsidP="007F1BC5">
      <w:pPr>
        <w:pStyle w:val="Akapitzlist"/>
        <w:numPr>
          <w:ilvl w:val="0"/>
          <w:numId w:val="6"/>
        </w:numPr>
        <w:ind w:left="993"/>
        <w:jc w:val="both"/>
      </w:pPr>
      <w:r>
        <w:t>kontroli zdarzeń mających związek z czasem pracy.</w:t>
      </w:r>
    </w:p>
    <w:p w14:paraId="364F9434" w14:textId="6811E0B2" w:rsidR="002C5CFE" w:rsidRPr="00230F8F" w:rsidRDefault="002C5CFE" w:rsidP="002C5CFE">
      <w:pPr>
        <w:jc w:val="both"/>
        <w:rPr>
          <w:rStyle w:val="Teksttreci"/>
        </w:rPr>
      </w:pPr>
      <w:r w:rsidRPr="002C5CFE">
        <w:t>Zgodnie z oświadczeni</w:t>
      </w:r>
      <w:r w:rsidR="00996BD3">
        <w:t>em</w:t>
      </w:r>
      <w:r w:rsidRPr="002C5CFE">
        <w:t xml:space="preserve"> złożonymi przez </w:t>
      </w:r>
      <w:r>
        <w:t>Prezesa Wyższego Urzędu Górniczego, w Wyższym Urzędzie Górniczym</w:t>
      </w:r>
      <w:r w:rsidRPr="002C5CFE">
        <w:t xml:space="preserve"> w ograniczonym</w:t>
      </w:r>
      <w:r w:rsidR="00B96224">
        <w:t xml:space="preserve"> </w:t>
      </w:r>
      <w:r w:rsidRPr="002C5CFE">
        <w:t>stopniu funkcjonowała adekwatna, skuteczna i efektywna kontrola zarządcza.</w:t>
      </w:r>
    </w:p>
    <w:p w14:paraId="0E5FFE65" w14:textId="77777777" w:rsidR="006D6534" w:rsidRDefault="006D6534">
      <w:pPr>
        <w:tabs>
          <w:tab w:val="left" w:pos="424"/>
        </w:tabs>
        <w:ind w:left="424" w:hanging="425"/>
        <w:jc w:val="both"/>
        <w:rPr>
          <w:rFonts w:cs="Arial"/>
        </w:rPr>
      </w:pPr>
    </w:p>
    <w:p w14:paraId="21FAE8EC" w14:textId="56201F97" w:rsidR="00C37A6C" w:rsidRPr="005A1C33" w:rsidRDefault="00C37A6C" w:rsidP="007F1BC5">
      <w:pPr>
        <w:pStyle w:val="Akapitzlist"/>
        <w:numPr>
          <w:ilvl w:val="0"/>
          <w:numId w:val="7"/>
        </w:numPr>
        <w:tabs>
          <w:tab w:val="left" w:pos="424"/>
        </w:tabs>
        <w:ind w:left="426"/>
        <w:jc w:val="both"/>
        <w:rPr>
          <w:rFonts w:cs="Arial"/>
        </w:rPr>
      </w:pPr>
      <w:r w:rsidRPr="005A1C33">
        <w:rPr>
          <w:rFonts w:cs="Arial"/>
        </w:rPr>
        <w:t>Planowane działania, które zostaną podjęte w celu poprawy funkcjonowania kontroli zarządczej.</w:t>
      </w:r>
    </w:p>
    <w:p w14:paraId="4BBFF72C" w14:textId="1DF26660" w:rsidR="007736CF" w:rsidRPr="005A1C33" w:rsidRDefault="007736CF" w:rsidP="007F1BC5">
      <w:pPr>
        <w:pStyle w:val="Akapitzlist"/>
        <w:numPr>
          <w:ilvl w:val="0"/>
          <w:numId w:val="8"/>
        </w:numPr>
        <w:ind w:left="426" w:hanging="284"/>
        <w:jc w:val="both"/>
        <w:rPr>
          <w:rFonts w:cs="Arial"/>
        </w:rPr>
      </w:pPr>
      <w:r w:rsidRPr="005A1C33">
        <w:rPr>
          <w:rFonts w:cs="Arial"/>
        </w:rPr>
        <w:t>Działania, które zostaną podjęte w 202</w:t>
      </w:r>
      <w:r w:rsidR="005919E4" w:rsidRPr="005A1C33">
        <w:rPr>
          <w:rFonts w:cs="Arial"/>
        </w:rPr>
        <w:t>5</w:t>
      </w:r>
      <w:r w:rsidRPr="005A1C33">
        <w:rPr>
          <w:rFonts w:cs="Arial"/>
        </w:rPr>
        <w:t xml:space="preserve"> roku przez Ministra </w:t>
      </w:r>
      <w:r w:rsidR="005919E4" w:rsidRPr="005A1C33">
        <w:rPr>
          <w:rFonts w:cs="Arial"/>
        </w:rPr>
        <w:t>Przemysłu</w:t>
      </w:r>
      <w:r w:rsidRPr="005A1C33">
        <w:rPr>
          <w:rFonts w:cs="Arial"/>
        </w:rPr>
        <w:t xml:space="preserve"> w kierowanej</w:t>
      </w:r>
      <w:r w:rsidR="005A1C33">
        <w:rPr>
          <w:rFonts w:cs="Arial"/>
        </w:rPr>
        <w:t xml:space="preserve"> </w:t>
      </w:r>
      <w:r w:rsidRPr="005A1C33">
        <w:rPr>
          <w:rFonts w:cs="Arial"/>
        </w:rPr>
        <w:t>przez niego jednostce</w:t>
      </w:r>
      <w:r w:rsidR="0098334B" w:rsidRPr="005A1C33">
        <w:rPr>
          <w:rFonts w:cs="Arial"/>
        </w:rPr>
        <w:t>:</w:t>
      </w:r>
    </w:p>
    <w:p w14:paraId="5FF08BEC" w14:textId="77777777" w:rsidR="00C03DF7" w:rsidRPr="00C03DF7" w:rsidRDefault="00C03DF7" w:rsidP="007F1BC5">
      <w:pPr>
        <w:pStyle w:val="Akapitzlist"/>
        <w:numPr>
          <w:ilvl w:val="0"/>
          <w:numId w:val="9"/>
        </w:numPr>
        <w:ind w:left="709" w:hanging="425"/>
        <w:jc w:val="both"/>
        <w:rPr>
          <w:rFonts w:cs="Arial"/>
        </w:rPr>
      </w:pPr>
      <w:r>
        <w:rPr>
          <w:rFonts w:cs="Arial"/>
          <w:color w:val="000000"/>
        </w:rPr>
        <w:t>optymalizacja</w:t>
      </w:r>
      <w:r w:rsidR="007C4E43" w:rsidRPr="005A1C33">
        <w:rPr>
          <w:rFonts w:cs="Arial"/>
          <w:color w:val="000000"/>
        </w:rPr>
        <w:t xml:space="preserve"> zasobów kadrowych i organizacyjnych w celu</w:t>
      </w:r>
      <w:r>
        <w:rPr>
          <w:rFonts w:cs="Arial"/>
          <w:color w:val="000000"/>
        </w:rPr>
        <w:t>:</w:t>
      </w:r>
    </w:p>
    <w:p w14:paraId="2F47082C" w14:textId="77777777" w:rsidR="00C03DF7" w:rsidRPr="00C03DF7" w:rsidRDefault="007C4E43" w:rsidP="007F1BC5">
      <w:pPr>
        <w:pStyle w:val="Akapitzlist"/>
        <w:numPr>
          <w:ilvl w:val="1"/>
          <w:numId w:val="9"/>
        </w:numPr>
        <w:ind w:left="993"/>
        <w:jc w:val="both"/>
        <w:rPr>
          <w:rFonts w:cs="Arial"/>
        </w:rPr>
      </w:pPr>
      <w:r w:rsidRPr="005A1C33">
        <w:rPr>
          <w:rFonts w:cs="Arial"/>
          <w:color w:val="000000"/>
        </w:rPr>
        <w:t>utrzymania ciągłości</w:t>
      </w:r>
      <w:r w:rsidR="005A1C33" w:rsidRPr="005A1C33">
        <w:rPr>
          <w:rFonts w:cs="Arial"/>
          <w:color w:val="000000"/>
        </w:rPr>
        <w:t xml:space="preserve"> </w:t>
      </w:r>
      <w:r w:rsidRPr="005A1C33">
        <w:rPr>
          <w:rFonts w:cs="Arial"/>
          <w:color w:val="000000"/>
        </w:rPr>
        <w:t>i</w:t>
      </w:r>
      <w:r w:rsidR="00C03DF7">
        <w:rPr>
          <w:rFonts w:cs="Arial"/>
          <w:color w:val="000000"/>
        </w:rPr>
        <w:t> </w:t>
      </w:r>
      <w:r w:rsidRPr="005A1C33">
        <w:rPr>
          <w:rFonts w:cs="Arial"/>
          <w:color w:val="000000"/>
        </w:rPr>
        <w:t>terminowości realizowanych zadań</w:t>
      </w:r>
      <w:r w:rsidR="00C03DF7">
        <w:rPr>
          <w:rFonts w:cs="Arial"/>
          <w:color w:val="000000"/>
        </w:rPr>
        <w:t>,</w:t>
      </w:r>
    </w:p>
    <w:p w14:paraId="79698E2D" w14:textId="61803AB3" w:rsidR="00C03DF7" w:rsidRDefault="007C4E43" w:rsidP="007F1BC5">
      <w:pPr>
        <w:pStyle w:val="Akapitzlist"/>
        <w:numPr>
          <w:ilvl w:val="1"/>
          <w:numId w:val="9"/>
        </w:numPr>
        <w:ind w:left="993"/>
        <w:jc w:val="both"/>
        <w:rPr>
          <w:rFonts w:cs="Arial"/>
        </w:rPr>
      </w:pPr>
      <w:r w:rsidRPr="005A1C33">
        <w:rPr>
          <w:rFonts w:cs="Arial"/>
        </w:rPr>
        <w:t>realizacj</w:t>
      </w:r>
      <w:r w:rsidR="00C03DF7">
        <w:rPr>
          <w:rFonts w:cs="Arial"/>
        </w:rPr>
        <w:t>a</w:t>
      </w:r>
      <w:r w:rsidRPr="005A1C33">
        <w:rPr>
          <w:rFonts w:cs="Arial"/>
        </w:rPr>
        <w:t xml:space="preserve"> polityki płacowo-motywacyjnej</w:t>
      </w:r>
      <w:r w:rsidRPr="005A1C33">
        <w:rPr>
          <w:rFonts w:cs="Arial"/>
          <w:color w:val="000000"/>
        </w:rPr>
        <w:t xml:space="preserve"> </w:t>
      </w:r>
      <w:r w:rsidRPr="005A1C33">
        <w:rPr>
          <w:rFonts w:cs="Arial"/>
        </w:rPr>
        <w:t>uwzględniającej fluktuację kadr</w:t>
      </w:r>
      <w:r w:rsidR="00C03DF7">
        <w:rPr>
          <w:rFonts w:cs="Arial"/>
        </w:rPr>
        <w:t>,</w:t>
      </w:r>
    </w:p>
    <w:p w14:paraId="0E7E6281" w14:textId="213495F5" w:rsidR="00C03DF7" w:rsidRDefault="007C4E43" w:rsidP="007F1BC5">
      <w:pPr>
        <w:pStyle w:val="Akapitzlist"/>
        <w:numPr>
          <w:ilvl w:val="1"/>
          <w:numId w:val="9"/>
        </w:numPr>
        <w:ind w:left="993"/>
        <w:jc w:val="both"/>
        <w:rPr>
          <w:rFonts w:cs="Arial"/>
        </w:rPr>
      </w:pPr>
      <w:r w:rsidRPr="005A1C33">
        <w:rPr>
          <w:rFonts w:cs="Arial"/>
        </w:rPr>
        <w:t xml:space="preserve">opracowanie i wdrożenie </w:t>
      </w:r>
      <w:r w:rsidRPr="00C03DF7">
        <w:rPr>
          <w:rFonts w:cs="Arial"/>
        </w:rPr>
        <w:t>odpowiednich procedur dotyczących Polityki zarzadzania zasobami ludzkimi</w:t>
      </w:r>
      <w:r w:rsidR="00F57D48" w:rsidRPr="00C03DF7">
        <w:rPr>
          <w:rFonts w:cs="Arial"/>
        </w:rPr>
        <w:t>.</w:t>
      </w:r>
    </w:p>
    <w:p w14:paraId="6C7D0AF9" w14:textId="10C037FC" w:rsidR="00C03DF7" w:rsidRPr="00C03DF7" w:rsidRDefault="00C03DF7" w:rsidP="007F1BC5">
      <w:pPr>
        <w:pStyle w:val="Akapitzlist"/>
        <w:numPr>
          <w:ilvl w:val="0"/>
          <w:numId w:val="9"/>
        </w:numPr>
        <w:ind w:left="709" w:hanging="425"/>
        <w:jc w:val="both"/>
        <w:rPr>
          <w:rFonts w:cs="Arial"/>
        </w:rPr>
      </w:pPr>
      <w:r>
        <w:rPr>
          <w:color w:val="000000" w:themeColor="text1"/>
        </w:rPr>
        <w:t>u</w:t>
      </w:r>
      <w:r w:rsidR="00E64FA1" w:rsidRPr="00C03DF7">
        <w:rPr>
          <w:color w:val="000000" w:themeColor="text1"/>
        </w:rPr>
        <w:t>sprawnienie systemów informatycznych, optymalizacja wykorzystania dostępnego sprzętu i</w:t>
      </w:r>
      <w:r>
        <w:rPr>
          <w:color w:val="000000" w:themeColor="text1"/>
        </w:rPr>
        <w:t> </w:t>
      </w:r>
      <w:r w:rsidR="00E64FA1" w:rsidRPr="00C03DF7">
        <w:rPr>
          <w:color w:val="000000" w:themeColor="text1"/>
        </w:rPr>
        <w:t xml:space="preserve">narzędzi informatycznych, pozyskiwanie środków na zabezpieczenie bieżących potrzeb, zabezpieczenie możliwości </w:t>
      </w:r>
      <w:r>
        <w:rPr>
          <w:color w:val="000000" w:themeColor="text1"/>
        </w:rPr>
        <w:t>kontaktu</w:t>
      </w:r>
      <w:r w:rsidR="00E64FA1" w:rsidRPr="00C03DF7">
        <w:rPr>
          <w:color w:val="000000" w:themeColor="text1"/>
        </w:rPr>
        <w:t xml:space="preserve"> poprzez alternatywne </w:t>
      </w:r>
      <w:r>
        <w:rPr>
          <w:color w:val="000000" w:themeColor="text1"/>
        </w:rPr>
        <w:t>rozwiązania teleinformatyczne</w:t>
      </w:r>
      <w:r w:rsidR="00E64FA1" w:rsidRPr="00C03DF7">
        <w:rPr>
          <w:color w:val="000000" w:themeColor="text1"/>
        </w:rPr>
        <w:t>, wprowadzenie procedur i</w:t>
      </w:r>
      <w:r>
        <w:rPr>
          <w:color w:val="000000" w:themeColor="text1"/>
        </w:rPr>
        <w:t> </w:t>
      </w:r>
      <w:r w:rsidR="00E64FA1" w:rsidRPr="00C03DF7">
        <w:rPr>
          <w:color w:val="000000" w:themeColor="text1"/>
        </w:rPr>
        <w:t xml:space="preserve">wytycznych w celu ochrony zasobów informatycznych oraz infrastruktury IT, </w:t>
      </w:r>
      <w:r w:rsidR="007069F5" w:rsidRPr="00C03DF7">
        <w:rPr>
          <w:color w:val="000000" w:themeColor="text1"/>
        </w:rPr>
        <w:t>kontynuowanie procesu usprawniania systemu obsługi finansowo – księgowej.</w:t>
      </w:r>
    </w:p>
    <w:p w14:paraId="0ED90077" w14:textId="77777777" w:rsidR="000567D3" w:rsidRDefault="000567D3" w:rsidP="007F1BC5">
      <w:pPr>
        <w:pStyle w:val="Akapitzlist"/>
        <w:numPr>
          <w:ilvl w:val="0"/>
          <w:numId w:val="9"/>
        </w:numPr>
        <w:ind w:left="709" w:hanging="425"/>
        <w:jc w:val="both"/>
        <w:rPr>
          <w:rFonts w:cs="Arial"/>
        </w:rPr>
      </w:pPr>
      <w:r>
        <w:rPr>
          <w:rFonts w:cs="Arial"/>
          <w:color w:val="000000" w:themeColor="text1"/>
        </w:rPr>
        <w:t>o</w:t>
      </w:r>
      <w:r w:rsidR="00E64FA1" w:rsidRPr="00C03DF7">
        <w:rPr>
          <w:rFonts w:cs="Arial"/>
          <w:color w:val="000000" w:themeColor="text1"/>
        </w:rPr>
        <w:t>pracowanie procedur dotyczących zarządzania kryzysowego, w tym Planu Zarządzania Kryzysowego</w:t>
      </w:r>
      <w:r>
        <w:rPr>
          <w:rFonts w:cs="Arial"/>
          <w:color w:val="000000" w:themeColor="text1"/>
        </w:rPr>
        <w:t xml:space="preserve"> oraz o</w:t>
      </w:r>
      <w:r w:rsidR="00EA461A" w:rsidRPr="000567D3">
        <w:rPr>
          <w:rFonts w:cs="Arial"/>
        </w:rPr>
        <w:t xml:space="preserve">pracowanie i wdrożenie odpowiednich procedur dotyczących Systemu </w:t>
      </w:r>
      <w:r w:rsidR="00EA461A" w:rsidRPr="000567D3">
        <w:rPr>
          <w:rFonts w:cs="Arial"/>
        </w:rPr>
        <w:lastRenderedPageBreak/>
        <w:t>Zarządzania Bezpieczeństwem Informacji</w:t>
      </w:r>
      <w:r>
        <w:rPr>
          <w:rFonts w:cs="Arial"/>
        </w:rPr>
        <w:t>,</w:t>
      </w:r>
    </w:p>
    <w:p w14:paraId="6F9D1D40" w14:textId="04B54BB4" w:rsidR="000567D3" w:rsidRPr="001F1E6E" w:rsidRDefault="000567D3" w:rsidP="007F1BC5">
      <w:pPr>
        <w:pStyle w:val="Akapitzlist"/>
        <w:numPr>
          <w:ilvl w:val="0"/>
          <w:numId w:val="9"/>
        </w:numPr>
        <w:ind w:left="709" w:hanging="425"/>
        <w:jc w:val="both"/>
        <w:rPr>
          <w:rFonts w:cs="Arial"/>
        </w:rPr>
      </w:pPr>
      <w:r w:rsidRPr="001F1E6E">
        <w:rPr>
          <w:rFonts w:cs="Arial"/>
        </w:rPr>
        <w:t>podjęcie działań w celu usprawnienia komunikacji zewnętrznej i wewnętrznej,</w:t>
      </w:r>
    </w:p>
    <w:p w14:paraId="70CF3661" w14:textId="3F64A8BB" w:rsidR="0093467E" w:rsidRPr="001F1E6E" w:rsidRDefault="001F1E6E" w:rsidP="007F1BC5">
      <w:pPr>
        <w:pStyle w:val="Akapitzlist"/>
        <w:numPr>
          <w:ilvl w:val="0"/>
          <w:numId w:val="9"/>
        </w:numPr>
        <w:ind w:left="709" w:hanging="425"/>
        <w:jc w:val="both"/>
        <w:rPr>
          <w:rFonts w:cs="Arial"/>
        </w:rPr>
      </w:pPr>
      <w:r w:rsidRPr="001F1E6E">
        <w:rPr>
          <w:rFonts w:cs="Arial"/>
        </w:rPr>
        <w:t xml:space="preserve">usprawnienie </w:t>
      </w:r>
      <w:r w:rsidR="000567D3" w:rsidRPr="001F1E6E">
        <w:rPr>
          <w:rFonts w:cs="Arial"/>
        </w:rPr>
        <w:t xml:space="preserve">rozwiązań </w:t>
      </w:r>
      <w:r w:rsidRPr="001F1E6E">
        <w:rPr>
          <w:rFonts w:cs="Arial"/>
        </w:rPr>
        <w:t xml:space="preserve">organizacyjnych </w:t>
      </w:r>
      <w:r w:rsidR="000567D3" w:rsidRPr="001F1E6E">
        <w:rPr>
          <w:rFonts w:cs="Arial"/>
        </w:rPr>
        <w:t>mających na celu</w:t>
      </w:r>
      <w:r w:rsidR="0071373B" w:rsidRPr="001F1E6E">
        <w:rPr>
          <w:rFonts w:cs="Arial"/>
        </w:rPr>
        <w:t>:</w:t>
      </w:r>
    </w:p>
    <w:p w14:paraId="1B6A1D6C" w14:textId="20294916" w:rsidR="0093467E" w:rsidRPr="001F1E6E" w:rsidRDefault="001F1E6E" w:rsidP="007F1BC5">
      <w:pPr>
        <w:pStyle w:val="Akapitzlist"/>
        <w:numPr>
          <w:ilvl w:val="0"/>
          <w:numId w:val="10"/>
        </w:numPr>
        <w:ind w:left="993"/>
        <w:jc w:val="both"/>
        <w:rPr>
          <w:rFonts w:cs="Arial"/>
        </w:rPr>
      </w:pPr>
      <w:r w:rsidRPr="001F1E6E">
        <w:rPr>
          <w:rFonts w:cs="Arial"/>
        </w:rPr>
        <w:t xml:space="preserve">poprawę </w:t>
      </w:r>
      <w:r w:rsidR="006E7ACC" w:rsidRPr="001F1E6E">
        <w:rPr>
          <w:rFonts w:cs="Arial"/>
        </w:rPr>
        <w:t>monitorowani</w:t>
      </w:r>
      <w:r w:rsidRPr="001F1E6E">
        <w:rPr>
          <w:rFonts w:cs="Arial"/>
        </w:rPr>
        <w:t>a</w:t>
      </w:r>
      <w:r w:rsidR="006E7ACC" w:rsidRPr="001F1E6E">
        <w:rPr>
          <w:rFonts w:cs="Arial"/>
        </w:rPr>
        <w:t xml:space="preserve"> terminowości udzielania odpowiedzi</w:t>
      </w:r>
      <w:r w:rsidR="00A54492" w:rsidRPr="001F1E6E">
        <w:rPr>
          <w:rFonts w:cs="Arial"/>
        </w:rPr>
        <w:t>,</w:t>
      </w:r>
    </w:p>
    <w:p w14:paraId="3E3BD99A" w14:textId="22B4939C" w:rsidR="0093467E" w:rsidRPr="001F1E6E" w:rsidRDefault="001F1E6E" w:rsidP="007F1BC5">
      <w:pPr>
        <w:pStyle w:val="Akapitzlist"/>
        <w:numPr>
          <w:ilvl w:val="0"/>
          <w:numId w:val="10"/>
        </w:numPr>
        <w:ind w:left="993"/>
        <w:jc w:val="both"/>
        <w:rPr>
          <w:rFonts w:cs="Arial"/>
        </w:rPr>
      </w:pPr>
      <w:r w:rsidRPr="001F1E6E">
        <w:rPr>
          <w:rFonts w:cs="Arial"/>
        </w:rPr>
        <w:t>optymalizację obsady kadrowej</w:t>
      </w:r>
      <w:r w:rsidR="00493A86" w:rsidRPr="001F1E6E">
        <w:rPr>
          <w:rFonts w:cs="Arial"/>
        </w:rPr>
        <w:t>,</w:t>
      </w:r>
    </w:p>
    <w:p w14:paraId="7B55D1FE" w14:textId="048F960D" w:rsidR="00493A86" w:rsidRPr="001F1E6E" w:rsidRDefault="00493A86" w:rsidP="007F1BC5">
      <w:pPr>
        <w:pStyle w:val="Akapitzlist"/>
        <w:numPr>
          <w:ilvl w:val="0"/>
          <w:numId w:val="10"/>
        </w:numPr>
        <w:ind w:left="993"/>
        <w:jc w:val="both"/>
        <w:rPr>
          <w:rFonts w:cs="Arial"/>
        </w:rPr>
      </w:pPr>
      <w:r w:rsidRPr="001F1E6E">
        <w:t>wypracowanie efektywnej komunikacji oraz współpracy</w:t>
      </w:r>
      <w:r w:rsidR="001F1E6E" w:rsidRPr="001F1E6E">
        <w:t>,</w:t>
      </w:r>
    </w:p>
    <w:p w14:paraId="315EFD8B" w14:textId="23696B74" w:rsidR="000A5384" w:rsidRPr="005508C3" w:rsidRDefault="000A5384" w:rsidP="007F1BC5">
      <w:pPr>
        <w:pStyle w:val="Default"/>
        <w:numPr>
          <w:ilvl w:val="0"/>
          <w:numId w:val="11"/>
        </w:numPr>
        <w:jc w:val="both"/>
        <w:rPr>
          <w:color w:val="auto"/>
          <w:sz w:val="20"/>
          <w:szCs w:val="20"/>
        </w:rPr>
      </w:pPr>
      <w:r w:rsidRPr="005508C3">
        <w:rPr>
          <w:color w:val="auto"/>
          <w:sz w:val="20"/>
          <w:szCs w:val="20"/>
        </w:rPr>
        <w:t xml:space="preserve">optymalizacja systemów teleinformatycznych, poprawa funkcjonalności systemów informatycznych </w:t>
      </w:r>
      <w:r w:rsidRPr="005508C3">
        <w:rPr>
          <w:sz w:val="20"/>
          <w:szCs w:val="20"/>
        </w:rPr>
        <w:t xml:space="preserve">i zakup </w:t>
      </w:r>
      <w:r w:rsidRPr="005508C3">
        <w:rPr>
          <w:color w:val="auto"/>
          <w:sz w:val="20"/>
          <w:szCs w:val="20"/>
        </w:rPr>
        <w:t>odpowiednich systemów, wzmocnienie nadzoru nad rozliczaniem dokumentów w systemie teleinformatycznym,</w:t>
      </w:r>
    </w:p>
    <w:p w14:paraId="24318D12" w14:textId="77777777" w:rsidR="000A5384" w:rsidRPr="005508C3" w:rsidRDefault="000A5384" w:rsidP="007F1BC5">
      <w:pPr>
        <w:pStyle w:val="Default"/>
        <w:numPr>
          <w:ilvl w:val="0"/>
          <w:numId w:val="11"/>
        </w:numPr>
        <w:jc w:val="both"/>
        <w:rPr>
          <w:color w:val="auto"/>
          <w:sz w:val="20"/>
          <w:szCs w:val="20"/>
        </w:rPr>
      </w:pPr>
      <w:r w:rsidRPr="005508C3">
        <w:rPr>
          <w:sz w:val="20"/>
          <w:szCs w:val="20"/>
        </w:rPr>
        <w:t>usprawnienia w dostępie pracowników do dokumentów niejawnych, w tym przebudowa pomieszczeń na w pełni dostosowaną kancelarię tajną oraz na potrzeby serwerowni, organizacja stanowiska IBT pracy dla dokumentów zastrzeżonych w Ministerstwie w dwóch lokalizacjach</w:t>
      </w:r>
      <w:r w:rsidRPr="005508C3">
        <w:rPr>
          <w:color w:val="000000" w:themeColor="text1"/>
          <w:sz w:val="20"/>
          <w:szCs w:val="20"/>
        </w:rPr>
        <w:t>,</w:t>
      </w:r>
    </w:p>
    <w:p w14:paraId="1BFDC1A2" w14:textId="77777777" w:rsidR="000A5384" w:rsidRDefault="000A5384" w:rsidP="007F1BC5">
      <w:pPr>
        <w:pStyle w:val="Default"/>
        <w:numPr>
          <w:ilvl w:val="0"/>
          <w:numId w:val="11"/>
        </w:numPr>
        <w:spacing w:after="25"/>
        <w:jc w:val="both"/>
        <w:rPr>
          <w:sz w:val="20"/>
          <w:szCs w:val="20"/>
        </w:rPr>
      </w:pPr>
      <w:r w:rsidRPr="005508C3">
        <w:rPr>
          <w:sz w:val="20"/>
          <w:szCs w:val="20"/>
        </w:rPr>
        <w:t>działania mające na celu podniesienie wśród pracowników wiedzy i umiejętności w zakresie kontroli zarządczej,</w:t>
      </w:r>
    </w:p>
    <w:p w14:paraId="70FA3260" w14:textId="77777777" w:rsidR="000A5384" w:rsidRDefault="000A5384" w:rsidP="007F1BC5">
      <w:pPr>
        <w:pStyle w:val="Default"/>
        <w:numPr>
          <w:ilvl w:val="0"/>
          <w:numId w:val="11"/>
        </w:numPr>
        <w:spacing w:after="25"/>
        <w:jc w:val="both"/>
        <w:rPr>
          <w:sz w:val="20"/>
          <w:szCs w:val="20"/>
        </w:rPr>
      </w:pPr>
      <w:r w:rsidRPr="005508C3">
        <w:rPr>
          <w:sz w:val="20"/>
          <w:szCs w:val="20"/>
        </w:rPr>
        <w:t>rozpoczęcie procesu legislacyjnego w zakresie zmiany ustawy o zmianie ustawy o dotacji przeznaczonej dla niektórych podmiotów,</w:t>
      </w:r>
    </w:p>
    <w:p w14:paraId="496B7480" w14:textId="77777777" w:rsidR="000A5384" w:rsidRPr="00AD0590" w:rsidRDefault="000A5384" w:rsidP="007F1BC5">
      <w:pPr>
        <w:pStyle w:val="Default"/>
        <w:numPr>
          <w:ilvl w:val="0"/>
          <w:numId w:val="11"/>
        </w:numPr>
        <w:spacing w:after="25"/>
        <w:jc w:val="both"/>
        <w:rPr>
          <w:color w:val="auto"/>
          <w:sz w:val="20"/>
          <w:szCs w:val="20"/>
        </w:rPr>
      </w:pPr>
      <w:r w:rsidRPr="00AD0590">
        <w:rPr>
          <w:color w:val="auto"/>
          <w:sz w:val="20"/>
          <w:szCs w:val="20"/>
        </w:rPr>
        <w:t>podjęcia skutecznych działań w celu wyegzekwowania realizacji zaleceń pokontrolnych przekazywanych beneficjentom dotacji i dopłat.</w:t>
      </w:r>
    </w:p>
    <w:p w14:paraId="3A61346F" w14:textId="44F1A639" w:rsidR="000A5384" w:rsidRPr="00AD0590" w:rsidRDefault="000A5384" w:rsidP="007F1BC5">
      <w:pPr>
        <w:pStyle w:val="Default"/>
        <w:numPr>
          <w:ilvl w:val="0"/>
          <w:numId w:val="11"/>
        </w:numPr>
        <w:spacing w:after="25"/>
        <w:jc w:val="both"/>
        <w:rPr>
          <w:color w:val="auto"/>
          <w:sz w:val="20"/>
          <w:szCs w:val="20"/>
        </w:rPr>
      </w:pPr>
      <w:r w:rsidRPr="00AD0590">
        <w:rPr>
          <w:color w:val="auto"/>
          <w:sz w:val="20"/>
          <w:szCs w:val="20"/>
        </w:rPr>
        <w:t>w obszarze obronności i zarządzania kryzysowego</w:t>
      </w:r>
      <w:r w:rsidR="00AD0590" w:rsidRPr="00AD0590">
        <w:rPr>
          <w:color w:val="auto"/>
          <w:sz w:val="20"/>
          <w:szCs w:val="20"/>
        </w:rPr>
        <w:t>:</w:t>
      </w:r>
    </w:p>
    <w:p w14:paraId="3E254950" w14:textId="77777777" w:rsidR="000A5384" w:rsidRPr="00AD0590" w:rsidRDefault="000A5384" w:rsidP="007F1BC5">
      <w:pPr>
        <w:pStyle w:val="Default"/>
        <w:numPr>
          <w:ilvl w:val="1"/>
          <w:numId w:val="11"/>
        </w:numPr>
        <w:spacing w:after="25"/>
        <w:ind w:left="993"/>
        <w:jc w:val="both"/>
        <w:rPr>
          <w:color w:val="auto"/>
          <w:sz w:val="20"/>
          <w:szCs w:val="20"/>
        </w:rPr>
      </w:pPr>
      <w:r w:rsidRPr="00AD0590">
        <w:rPr>
          <w:color w:val="auto"/>
          <w:sz w:val="20"/>
          <w:szCs w:val="20"/>
        </w:rPr>
        <w:t>wprowadzenie procedur dotyczących:</w:t>
      </w:r>
    </w:p>
    <w:p w14:paraId="377A4460" w14:textId="77777777" w:rsidR="000A5384" w:rsidRPr="00AD0590" w:rsidRDefault="000A5384" w:rsidP="007F1BC5">
      <w:pPr>
        <w:pStyle w:val="Akapitzlist"/>
        <w:numPr>
          <w:ilvl w:val="0"/>
          <w:numId w:val="13"/>
        </w:numPr>
        <w:ind w:left="1134"/>
        <w:jc w:val="both"/>
        <w:rPr>
          <w:rFonts w:cs="Arial"/>
        </w:rPr>
      </w:pPr>
      <w:r w:rsidRPr="00AD0590">
        <w:rPr>
          <w:rStyle w:val="normaltextrun"/>
          <w:rFonts w:cs="Arial"/>
        </w:rPr>
        <w:t>w sprawie stopni alarmowych i stopni alarmowych CRP,</w:t>
      </w:r>
    </w:p>
    <w:p w14:paraId="689DE732" w14:textId="77777777" w:rsidR="000A5384" w:rsidRPr="00AD0590" w:rsidRDefault="000A5384" w:rsidP="007F1BC5">
      <w:pPr>
        <w:pStyle w:val="Akapitzlist"/>
        <w:numPr>
          <w:ilvl w:val="0"/>
          <w:numId w:val="13"/>
        </w:numPr>
        <w:ind w:left="1134"/>
        <w:jc w:val="both"/>
        <w:rPr>
          <w:rStyle w:val="normaltextrun"/>
          <w:rFonts w:cs="Arial"/>
        </w:rPr>
      </w:pPr>
      <w:r w:rsidRPr="00AD0590">
        <w:rPr>
          <w:rStyle w:val="normaltextrun"/>
          <w:rFonts w:cs="Arial"/>
        </w:rPr>
        <w:t>tworzenia oraz funkcjonowania systemu stałych dyżurów w Ministerstwie,</w:t>
      </w:r>
    </w:p>
    <w:p w14:paraId="0CBB5E95" w14:textId="77777777" w:rsidR="000A5384" w:rsidRPr="00AD0590" w:rsidRDefault="000A5384" w:rsidP="007F1BC5">
      <w:pPr>
        <w:pStyle w:val="Akapitzlist"/>
        <w:numPr>
          <w:ilvl w:val="0"/>
          <w:numId w:val="13"/>
        </w:numPr>
        <w:ind w:left="1134"/>
        <w:jc w:val="both"/>
        <w:rPr>
          <w:rStyle w:val="normaltextrun"/>
          <w:rFonts w:cs="Arial"/>
        </w:rPr>
      </w:pPr>
      <w:r w:rsidRPr="00AD0590">
        <w:rPr>
          <w:rStyle w:val="normaltextrun"/>
          <w:rFonts w:cs="Arial"/>
        </w:rPr>
        <w:t>sposobu realizacji zadań obronnych z zakresu planów operacyjnych w Ministerstwie,</w:t>
      </w:r>
    </w:p>
    <w:p w14:paraId="0B281F72" w14:textId="77777777" w:rsidR="000A5384" w:rsidRPr="00AD0590" w:rsidRDefault="000A5384" w:rsidP="007F1BC5">
      <w:pPr>
        <w:pStyle w:val="Akapitzlist"/>
        <w:numPr>
          <w:ilvl w:val="0"/>
          <w:numId w:val="13"/>
        </w:numPr>
        <w:ind w:left="1134"/>
        <w:jc w:val="both"/>
        <w:rPr>
          <w:rStyle w:val="normaltextrun"/>
          <w:rFonts w:cs="Arial"/>
        </w:rPr>
      </w:pPr>
      <w:r w:rsidRPr="00AD0590">
        <w:rPr>
          <w:rStyle w:val="normaltextrun"/>
          <w:rFonts w:cs="Arial"/>
        </w:rPr>
        <w:t>funkcjonowania Zespołu w sytuacjach mających wpływ m.in. na bezpieczeństwo energetyczne w Polsce,</w:t>
      </w:r>
    </w:p>
    <w:p w14:paraId="1D4B1D6D" w14:textId="77777777" w:rsidR="000A5384" w:rsidRPr="00AD0590" w:rsidRDefault="000A5384" w:rsidP="007F1BC5">
      <w:pPr>
        <w:pStyle w:val="Akapitzlist"/>
        <w:numPr>
          <w:ilvl w:val="0"/>
          <w:numId w:val="12"/>
        </w:numPr>
        <w:jc w:val="both"/>
        <w:rPr>
          <w:rStyle w:val="normaltextrun"/>
          <w:rFonts w:cs="Arial"/>
        </w:rPr>
      </w:pPr>
      <w:r w:rsidRPr="00AD0590">
        <w:rPr>
          <w:rFonts w:cs="Arial"/>
        </w:rPr>
        <w:t xml:space="preserve">zmiana procedur </w:t>
      </w:r>
      <w:r w:rsidRPr="00AD0590">
        <w:rPr>
          <w:rStyle w:val="normaltextrun"/>
          <w:rFonts w:cs="Arial"/>
        </w:rPr>
        <w:t>w sprawie określenia organów administracji rządowej, które utworzą centra zarządzania kryzysowego oraz sposobu ich funkcjonowania,</w:t>
      </w:r>
    </w:p>
    <w:p w14:paraId="4BAE74CD" w14:textId="7BDF0FAA" w:rsidR="00BB747B" w:rsidRPr="00AD0590" w:rsidRDefault="000A5384" w:rsidP="007F1BC5">
      <w:pPr>
        <w:pStyle w:val="Akapitzlist"/>
        <w:numPr>
          <w:ilvl w:val="0"/>
          <w:numId w:val="12"/>
        </w:numPr>
        <w:jc w:val="both"/>
        <w:rPr>
          <w:rFonts w:cs="Arial"/>
        </w:rPr>
      </w:pPr>
      <w:r w:rsidRPr="00AD0590">
        <w:rPr>
          <w:rStyle w:val="eop"/>
          <w:rFonts w:cs="Arial"/>
        </w:rPr>
        <w:t xml:space="preserve">wprowadzenie </w:t>
      </w:r>
      <w:r w:rsidRPr="00AD0590">
        <w:rPr>
          <w:rStyle w:val="normaltextrun"/>
          <w:rFonts w:cs="Arial"/>
        </w:rPr>
        <w:t>wykazu osób, które powinny odbyć Kurs Obronny lub Wyższy Kurs Obronny oraz prowadzenie doraźnych kontroli realizacji zadań obronnych.</w:t>
      </w:r>
    </w:p>
    <w:p w14:paraId="1E554E26" w14:textId="77777777" w:rsidR="000A5384" w:rsidRPr="00AD0590" w:rsidRDefault="000A5384" w:rsidP="007F1BC5">
      <w:pPr>
        <w:pStyle w:val="Akapitzlist"/>
        <w:numPr>
          <w:ilvl w:val="0"/>
          <w:numId w:val="14"/>
        </w:numPr>
        <w:ind w:left="426" w:hanging="284"/>
        <w:jc w:val="both"/>
        <w:rPr>
          <w:rFonts w:cs="Arial"/>
        </w:rPr>
      </w:pPr>
      <w:r w:rsidRPr="00AD0590">
        <w:rPr>
          <w:rFonts w:cs="Arial"/>
        </w:rPr>
        <w:t>działania, które zostaną podjęte w 2025 roku przez Prezesa Wyższego Urzędu Górniczego w kierowanej przez niego jednostce w obszarze:</w:t>
      </w:r>
    </w:p>
    <w:p w14:paraId="49A3BAFB" w14:textId="77777777" w:rsidR="000A5384" w:rsidRPr="00AD0590" w:rsidRDefault="000A5384" w:rsidP="007F1BC5">
      <w:pPr>
        <w:pStyle w:val="Akapitzlist"/>
        <w:numPr>
          <w:ilvl w:val="0"/>
          <w:numId w:val="15"/>
        </w:numPr>
        <w:ind w:left="709" w:hanging="425"/>
        <w:jc w:val="both"/>
        <w:rPr>
          <w:rFonts w:cs="Arial"/>
        </w:rPr>
      </w:pPr>
      <w:r w:rsidRPr="00AD0590">
        <w:rPr>
          <w:rFonts w:cs="Arial"/>
        </w:rPr>
        <w:t>w obszarze przetwarzania danych osobowych:</w:t>
      </w:r>
    </w:p>
    <w:p w14:paraId="29490B59" w14:textId="77777777" w:rsidR="000A5384" w:rsidRPr="004733C6" w:rsidRDefault="000A5384" w:rsidP="007F1BC5">
      <w:pPr>
        <w:pStyle w:val="Akapitzlist"/>
        <w:numPr>
          <w:ilvl w:val="0"/>
          <w:numId w:val="16"/>
        </w:numPr>
        <w:ind w:left="993"/>
        <w:jc w:val="both"/>
        <w:rPr>
          <w:rFonts w:cs="Arial"/>
          <w:color w:val="000000" w:themeColor="text1"/>
        </w:rPr>
      </w:pPr>
      <w:r w:rsidRPr="00AD0590">
        <w:rPr>
          <w:rFonts w:cs="Arial"/>
        </w:rPr>
        <w:t xml:space="preserve">dokonanie przeglądu </w:t>
      </w:r>
      <w:proofErr w:type="spellStart"/>
      <w:r w:rsidRPr="00AD0590">
        <w:rPr>
          <w:rFonts w:cs="Arial"/>
        </w:rPr>
        <w:t>RCzP</w:t>
      </w:r>
      <w:proofErr w:type="spellEnd"/>
      <w:r w:rsidRPr="00AD0590">
        <w:rPr>
          <w:rFonts w:cs="Arial"/>
        </w:rPr>
        <w:t xml:space="preserve"> (rejestr czynności przetwarzania danych), w zakresie informacji określonych w rejestrze </w:t>
      </w:r>
      <w:r w:rsidRPr="004733C6">
        <w:rPr>
          <w:rFonts w:cs="Arial"/>
          <w:color w:val="000000" w:themeColor="text1"/>
        </w:rPr>
        <w:t xml:space="preserve">oraz rozszerzenie weryfikacji karty obiegowej osób przyjętych w zakresie stanowisk pracy i zgodności z </w:t>
      </w:r>
      <w:proofErr w:type="spellStart"/>
      <w:r w:rsidRPr="004733C6">
        <w:rPr>
          <w:rFonts w:cs="Arial"/>
          <w:color w:val="000000" w:themeColor="text1"/>
        </w:rPr>
        <w:t>RCzP</w:t>
      </w:r>
      <w:proofErr w:type="spellEnd"/>
      <w:r w:rsidRPr="004733C6">
        <w:rPr>
          <w:rFonts w:cs="Arial"/>
          <w:color w:val="000000" w:themeColor="text1"/>
        </w:rPr>
        <w:t>,</w:t>
      </w:r>
    </w:p>
    <w:p w14:paraId="724518D7" w14:textId="77777777" w:rsidR="000A5384" w:rsidRPr="004733C6" w:rsidRDefault="000A5384" w:rsidP="007F1BC5">
      <w:pPr>
        <w:pStyle w:val="Akapitzlist"/>
        <w:numPr>
          <w:ilvl w:val="0"/>
          <w:numId w:val="15"/>
        </w:numPr>
        <w:ind w:left="709" w:hanging="425"/>
        <w:jc w:val="both"/>
        <w:rPr>
          <w:rFonts w:cs="Arial"/>
          <w:color w:val="000000" w:themeColor="text1"/>
        </w:rPr>
      </w:pPr>
      <w:r w:rsidRPr="004733C6">
        <w:rPr>
          <w:rFonts w:cs="Arial"/>
          <w:color w:val="000000" w:themeColor="text1"/>
        </w:rPr>
        <w:t>w obszarze wykrywania i przeciwdziałania nielegalnej eksploatacji kopalin:</w:t>
      </w:r>
    </w:p>
    <w:p w14:paraId="5FD6E332" w14:textId="77777777" w:rsidR="000A5384" w:rsidRPr="007C1E8B" w:rsidRDefault="000A5384" w:rsidP="007F1BC5">
      <w:pPr>
        <w:pStyle w:val="Akapitzlist"/>
        <w:numPr>
          <w:ilvl w:val="0"/>
          <w:numId w:val="16"/>
        </w:numPr>
        <w:ind w:left="993"/>
        <w:jc w:val="both"/>
        <w:rPr>
          <w:rFonts w:cs="Arial"/>
          <w:color w:val="000000" w:themeColor="text1"/>
        </w:rPr>
      </w:pPr>
      <w:r w:rsidRPr="004733C6">
        <w:rPr>
          <w:rFonts w:cs="Arial"/>
          <w:color w:val="000000" w:themeColor="text1"/>
        </w:rPr>
        <w:t>zwiększenie ilości kontroli miejsc sygnalizowanej nielegalnej eksploatacji kopalin,</w:t>
      </w:r>
    </w:p>
    <w:p w14:paraId="51D6CF01" w14:textId="77777777" w:rsidR="000A5384" w:rsidRDefault="000A5384" w:rsidP="007F1BC5">
      <w:pPr>
        <w:pStyle w:val="Akapitzlist"/>
        <w:numPr>
          <w:ilvl w:val="0"/>
          <w:numId w:val="15"/>
        </w:numPr>
        <w:ind w:left="709" w:hanging="42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w </w:t>
      </w:r>
      <w:r w:rsidRPr="004733C6">
        <w:rPr>
          <w:rFonts w:cs="Arial"/>
          <w:color w:val="000000" w:themeColor="text1"/>
        </w:rPr>
        <w:t>obszarze monitorowania i zarządzania realizacją inwestycji</w:t>
      </w:r>
      <w:r>
        <w:rPr>
          <w:rFonts w:cs="Arial"/>
          <w:color w:val="000000" w:themeColor="text1"/>
        </w:rPr>
        <w:t>;</w:t>
      </w:r>
    </w:p>
    <w:p w14:paraId="38D02B09" w14:textId="77777777" w:rsidR="000A5384" w:rsidRPr="00CF567C" w:rsidRDefault="000A5384" w:rsidP="007F1BC5">
      <w:pPr>
        <w:pStyle w:val="Akapitzlist"/>
        <w:numPr>
          <w:ilvl w:val="0"/>
          <w:numId w:val="16"/>
        </w:numPr>
        <w:ind w:left="993"/>
        <w:jc w:val="both"/>
        <w:rPr>
          <w:rFonts w:cs="Arial"/>
          <w:color w:val="000000" w:themeColor="text1"/>
        </w:rPr>
      </w:pPr>
      <w:r w:rsidRPr="00CF567C">
        <w:rPr>
          <w:rFonts w:cs="Arial"/>
          <w:color w:val="000000" w:themeColor="text1"/>
        </w:rPr>
        <w:t xml:space="preserve">zmodyfikowane zostaną postanowienia zarządzenia w sprawie kontroli zarządczej w urzędach górniczych poprzez ujęcie w zarządzeniu zagadnień związanych z tworzeniem planu inwestycji, określeniem </w:t>
      </w:r>
      <w:proofErr w:type="spellStart"/>
      <w:r w:rsidRPr="00CF567C">
        <w:rPr>
          <w:rFonts w:cs="Arial"/>
          <w:color w:val="000000" w:themeColor="text1"/>
        </w:rPr>
        <w:t>ryzyk</w:t>
      </w:r>
      <w:proofErr w:type="spellEnd"/>
      <w:r w:rsidRPr="00CF567C">
        <w:rPr>
          <w:rFonts w:cs="Arial"/>
          <w:color w:val="000000" w:themeColor="text1"/>
        </w:rPr>
        <w:t xml:space="preserve"> dla planu inwestycji, monitorowaniem realizacji inwestycji, sprawozdawczości w tym zakresie,</w:t>
      </w:r>
    </w:p>
    <w:p w14:paraId="250FD1A9" w14:textId="77777777" w:rsidR="000A5384" w:rsidRPr="00475B10" w:rsidRDefault="000A5384" w:rsidP="007F1BC5">
      <w:pPr>
        <w:pStyle w:val="Akapitzlist"/>
        <w:numPr>
          <w:ilvl w:val="0"/>
          <w:numId w:val="15"/>
        </w:numPr>
        <w:ind w:left="709" w:hanging="425"/>
        <w:jc w:val="both"/>
        <w:rPr>
          <w:rFonts w:cs="Arial"/>
          <w:color w:val="000000" w:themeColor="text1"/>
        </w:rPr>
      </w:pPr>
      <w:r w:rsidRPr="00475B10">
        <w:rPr>
          <w:rFonts w:cs="Arial"/>
          <w:color w:val="000000" w:themeColor="text1"/>
        </w:rPr>
        <w:t>obszarze formalnych procedur i planów w analizie ryzyka:</w:t>
      </w:r>
    </w:p>
    <w:p w14:paraId="6AEB0E9E" w14:textId="77777777" w:rsidR="000A5384" w:rsidRPr="00475B10" w:rsidRDefault="000A5384" w:rsidP="007F1BC5">
      <w:pPr>
        <w:pStyle w:val="Akapitzlist"/>
        <w:numPr>
          <w:ilvl w:val="0"/>
          <w:numId w:val="16"/>
        </w:numPr>
        <w:ind w:left="993"/>
        <w:jc w:val="both"/>
        <w:rPr>
          <w:rFonts w:cs="Arial"/>
          <w:color w:val="000000" w:themeColor="text1"/>
        </w:rPr>
      </w:pPr>
      <w:r w:rsidRPr="00475B10">
        <w:rPr>
          <w:rFonts w:cs="Arial"/>
          <w:color w:val="000000" w:themeColor="text1"/>
        </w:rPr>
        <w:t xml:space="preserve">zmodyfikowanie zarządzenia w sprawie kontroli zarządczej w urzędach górniczych, </w:t>
      </w:r>
    </w:p>
    <w:p w14:paraId="569CB583" w14:textId="77777777" w:rsidR="000A5384" w:rsidRPr="00B069C3" w:rsidRDefault="000A5384" w:rsidP="000A5384">
      <w:pPr>
        <w:ind w:left="709" w:hanging="42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e)</w:t>
      </w:r>
      <w:r>
        <w:rPr>
          <w:rFonts w:cs="Arial"/>
          <w:color w:val="000000" w:themeColor="text1"/>
        </w:rPr>
        <w:tab/>
        <w:t>w</w:t>
      </w:r>
      <w:r w:rsidRPr="00B069C3">
        <w:rPr>
          <w:rFonts w:cs="Arial"/>
          <w:color w:val="000000" w:themeColor="text1"/>
        </w:rPr>
        <w:t xml:space="preserve"> obszarze zapewnienia ciągłości działania systemów teleinformatycznych i usług cyfrowych:</w:t>
      </w:r>
    </w:p>
    <w:p w14:paraId="54EC5501" w14:textId="77777777" w:rsidR="000A5384" w:rsidRPr="00B7188F" w:rsidRDefault="000A5384" w:rsidP="007F1BC5">
      <w:pPr>
        <w:pStyle w:val="Akapitzlist"/>
        <w:numPr>
          <w:ilvl w:val="0"/>
          <w:numId w:val="16"/>
        </w:numPr>
        <w:ind w:left="993"/>
        <w:jc w:val="both"/>
        <w:rPr>
          <w:rFonts w:cs="Arial"/>
          <w:color w:val="000000" w:themeColor="text1"/>
        </w:rPr>
      </w:pPr>
      <w:r w:rsidRPr="00B7188F">
        <w:rPr>
          <w:rFonts w:cs="Arial"/>
          <w:color w:val="000000" w:themeColor="text1"/>
        </w:rPr>
        <w:t>podziału zadań pomiędzy stanowiskami zgodnie z kompetencjami,</w:t>
      </w:r>
    </w:p>
    <w:p w14:paraId="0985EF38" w14:textId="77777777" w:rsidR="000A5384" w:rsidRPr="00B7188F" w:rsidRDefault="000A5384" w:rsidP="007F1BC5">
      <w:pPr>
        <w:pStyle w:val="Akapitzlist"/>
        <w:numPr>
          <w:ilvl w:val="0"/>
          <w:numId w:val="16"/>
        </w:numPr>
        <w:ind w:left="993"/>
        <w:jc w:val="both"/>
        <w:rPr>
          <w:rFonts w:cs="Arial"/>
          <w:color w:val="000000" w:themeColor="text1"/>
        </w:rPr>
      </w:pPr>
      <w:r w:rsidRPr="00B7188F">
        <w:rPr>
          <w:rFonts w:cs="Arial"/>
          <w:color w:val="000000" w:themeColor="text1"/>
        </w:rPr>
        <w:t>złożenie wniosku w ramach projektu pn. „</w:t>
      </w:r>
      <w:proofErr w:type="spellStart"/>
      <w:r w:rsidRPr="00B7188F">
        <w:rPr>
          <w:rFonts w:cs="Arial"/>
          <w:color w:val="000000" w:themeColor="text1"/>
        </w:rPr>
        <w:t>Cyberbezpieczny</w:t>
      </w:r>
      <w:proofErr w:type="spellEnd"/>
      <w:r w:rsidRPr="00B7188F">
        <w:rPr>
          <w:rFonts w:cs="Arial"/>
          <w:color w:val="000000" w:themeColor="text1"/>
        </w:rPr>
        <w:t xml:space="preserve"> Rząd w obszarach organizacji, kompetencji i technologii",</w:t>
      </w:r>
    </w:p>
    <w:p w14:paraId="7236E160" w14:textId="77777777" w:rsidR="000A5384" w:rsidRPr="00B7188F" w:rsidRDefault="000A5384" w:rsidP="007F1BC5">
      <w:pPr>
        <w:pStyle w:val="Akapitzlist"/>
        <w:numPr>
          <w:ilvl w:val="0"/>
          <w:numId w:val="16"/>
        </w:numPr>
        <w:ind w:left="993"/>
        <w:jc w:val="both"/>
        <w:rPr>
          <w:rFonts w:cs="Arial"/>
          <w:color w:val="000000" w:themeColor="text1"/>
        </w:rPr>
      </w:pPr>
      <w:r w:rsidRPr="00B7188F">
        <w:rPr>
          <w:rFonts w:cs="Arial"/>
          <w:color w:val="000000" w:themeColor="text1"/>
        </w:rPr>
        <w:t>przeprowadzenie przeglądu, opracowanie, aktualizacja polityk i procedur oraz audyt rozwiązań Systemu Zarządzania Bezpieczeństwem Informacji,</w:t>
      </w:r>
    </w:p>
    <w:p w14:paraId="3E711C42" w14:textId="77777777" w:rsidR="000A5384" w:rsidRPr="00B7188F" w:rsidRDefault="000A5384" w:rsidP="007F1BC5">
      <w:pPr>
        <w:pStyle w:val="Akapitzlist"/>
        <w:numPr>
          <w:ilvl w:val="0"/>
          <w:numId w:val="16"/>
        </w:numPr>
        <w:ind w:left="993"/>
        <w:jc w:val="both"/>
        <w:rPr>
          <w:rFonts w:cs="Arial"/>
          <w:color w:val="000000" w:themeColor="text1"/>
        </w:rPr>
      </w:pPr>
      <w:r w:rsidRPr="00B7188F">
        <w:rPr>
          <w:rFonts w:cs="Arial"/>
          <w:color w:val="000000" w:themeColor="text1"/>
        </w:rPr>
        <w:t xml:space="preserve">szkolenia pracowników z zakresu </w:t>
      </w:r>
      <w:proofErr w:type="spellStart"/>
      <w:r w:rsidRPr="00B7188F">
        <w:rPr>
          <w:rFonts w:cs="Arial"/>
          <w:color w:val="000000" w:themeColor="text1"/>
        </w:rPr>
        <w:t>cyberbezpieczeństwa</w:t>
      </w:r>
      <w:proofErr w:type="spellEnd"/>
      <w:r w:rsidRPr="00B7188F">
        <w:rPr>
          <w:rFonts w:cs="Arial"/>
          <w:color w:val="000000" w:themeColor="text1"/>
        </w:rPr>
        <w:t xml:space="preserve"> oraz wdrożenie systemów z zakresu </w:t>
      </w:r>
      <w:proofErr w:type="spellStart"/>
      <w:r w:rsidRPr="00B7188F">
        <w:rPr>
          <w:rFonts w:cs="Arial"/>
          <w:color w:val="000000" w:themeColor="text1"/>
        </w:rPr>
        <w:t>cyberbezpieczeństwa</w:t>
      </w:r>
      <w:proofErr w:type="spellEnd"/>
      <w:r w:rsidRPr="00B7188F">
        <w:rPr>
          <w:rFonts w:cs="Arial"/>
          <w:color w:val="000000" w:themeColor="text1"/>
        </w:rPr>
        <w:t>.</w:t>
      </w:r>
    </w:p>
    <w:p w14:paraId="1A2291BF" w14:textId="77777777" w:rsidR="00C37A6C" w:rsidRDefault="00C37A6C">
      <w:pPr>
        <w:spacing w:before="240" w:after="240"/>
        <w:jc w:val="both"/>
        <w:rPr>
          <w:rFonts w:cs="Arial"/>
        </w:rPr>
      </w:pPr>
      <w:r>
        <w:rPr>
          <w:rFonts w:cs="Arial"/>
          <w:b/>
          <w:bCs/>
        </w:rPr>
        <w:t>Dział III</w:t>
      </w:r>
      <w:r>
        <w:rPr>
          <w:rFonts w:cs="Arial"/>
          <w:vertAlign w:val="superscript"/>
        </w:rPr>
        <w:t>10)</w:t>
      </w:r>
    </w:p>
    <w:p w14:paraId="3B3E161E" w14:textId="77777777" w:rsidR="00C37A6C" w:rsidRDefault="00C37A6C">
      <w:pPr>
        <w:jc w:val="both"/>
        <w:rPr>
          <w:rFonts w:cs="Arial"/>
        </w:rPr>
      </w:pPr>
      <w:r>
        <w:rPr>
          <w:rFonts w:cs="Arial"/>
        </w:rPr>
        <w:lastRenderedPageBreak/>
        <w:t>Działania, które zostały podjęte w ubiegłym roku w celu poprawy funkcjonowania kontroli zarządczej.</w:t>
      </w:r>
    </w:p>
    <w:p w14:paraId="57E34C8C" w14:textId="77777777" w:rsidR="00C37A6C" w:rsidRDefault="00C37A6C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  <w:t>Działania, które zostały zaplanowane na rok, którego dotyczy oświadczenie:</w:t>
      </w:r>
    </w:p>
    <w:p w14:paraId="2953ABA1" w14:textId="77777777" w:rsidR="00356EBC" w:rsidRDefault="00356EBC">
      <w:pPr>
        <w:jc w:val="both"/>
        <w:rPr>
          <w:rFonts w:cs="Arial"/>
        </w:rPr>
      </w:pPr>
    </w:p>
    <w:p w14:paraId="3E08260E" w14:textId="05224543" w:rsidR="00356EBC" w:rsidRPr="000A5384" w:rsidRDefault="00356EBC" w:rsidP="007F1BC5">
      <w:pPr>
        <w:pStyle w:val="Akapitzlist"/>
        <w:numPr>
          <w:ilvl w:val="1"/>
          <w:numId w:val="17"/>
        </w:numPr>
        <w:ind w:left="426" w:hanging="284"/>
        <w:jc w:val="both"/>
        <w:rPr>
          <w:rFonts w:cs="Arial"/>
        </w:rPr>
      </w:pPr>
      <w:r w:rsidRPr="000A5384">
        <w:rPr>
          <w:rFonts w:cs="Arial"/>
        </w:rPr>
        <w:t>Nie dotyczy</w:t>
      </w:r>
      <w:r w:rsidR="00470586" w:rsidRPr="000A5384">
        <w:rPr>
          <w:rFonts w:cs="Arial"/>
        </w:rPr>
        <w:t xml:space="preserve">: </w:t>
      </w:r>
      <w:r w:rsidRPr="000A5384">
        <w:rPr>
          <w:rFonts w:cs="Arial"/>
        </w:rPr>
        <w:t>Ministerstwo Przemysłu zostało powołane z dniem 1 marca 2024 r.</w:t>
      </w:r>
    </w:p>
    <w:p w14:paraId="5071E2CF" w14:textId="4C08FEC9" w:rsidR="007C4AFC" w:rsidRPr="000A5384" w:rsidRDefault="007C4AFC" w:rsidP="007F1BC5">
      <w:pPr>
        <w:pStyle w:val="Akapitzlist"/>
        <w:widowControl/>
        <w:numPr>
          <w:ilvl w:val="1"/>
          <w:numId w:val="17"/>
        </w:numPr>
        <w:ind w:left="426" w:hanging="284"/>
        <w:jc w:val="both"/>
        <w:rPr>
          <w:rFonts w:cs="Arial"/>
        </w:rPr>
      </w:pPr>
      <w:r w:rsidRPr="000A5384">
        <w:rPr>
          <w:rFonts w:cs="Arial"/>
        </w:rPr>
        <w:t>Najistotniejsze działania, jakie zostały podjęte w 2024 roku</w:t>
      </w:r>
      <w:r w:rsidR="009428D8" w:rsidRPr="000A5384">
        <w:rPr>
          <w:rFonts w:cs="Arial"/>
        </w:rPr>
        <w:t xml:space="preserve"> przez Prezesa Wyższego Urzędu Górniczego w kierowanej przez niego jednostce w obszarze</w:t>
      </w:r>
      <w:r w:rsidRPr="000A5384">
        <w:rPr>
          <w:rFonts w:cs="Arial"/>
        </w:rPr>
        <w:t>, w odniesieniu do planowanych działań</w:t>
      </w:r>
      <w:r w:rsidR="000A5384">
        <w:rPr>
          <w:rFonts w:cs="Arial"/>
        </w:rPr>
        <w:t xml:space="preserve"> </w:t>
      </w:r>
      <w:r w:rsidRPr="000A5384">
        <w:rPr>
          <w:rFonts w:cs="Arial"/>
        </w:rPr>
        <w:t>wskazanych w dziale II oświadczenia za rok poprzedzający rok, którego dotyczy niniejsze oświadczenie:</w:t>
      </w:r>
    </w:p>
    <w:p w14:paraId="24DFCE54" w14:textId="1CB780C7" w:rsidR="006975D4" w:rsidRPr="000A5384" w:rsidRDefault="00D06579" w:rsidP="007F1BC5">
      <w:pPr>
        <w:pStyle w:val="Akapitzlist"/>
        <w:numPr>
          <w:ilvl w:val="0"/>
          <w:numId w:val="18"/>
        </w:numPr>
        <w:jc w:val="both"/>
        <w:rPr>
          <w:rFonts w:cs="Arial"/>
          <w:color w:val="000000" w:themeColor="text1"/>
        </w:rPr>
      </w:pPr>
      <w:r w:rsidRPr="000A5384">
        <w:rPr>
          <w:rFonts w:cs="Arial"/>
          <w:color w:val="000000" w:themeColor="text1"/>
        </w:rPr>
        <w:t>W</w:t>
      </w:r>
      <w:r w:rsidR="006975D4" w:rsidRPr="000A5384">
        <w:rPr>
          <w:rFonts w:cs="Arial"/>
          <w:color w:val="000000" w:themeColor="text1"/>
        </w:rPr>
        <w:t xml:space="preserve"> obszarze stosowania przepisów ustawy o ochronie sygnalistów:</w:t>
      </w:r>
    </w:p>
    <w:p w14:paraId="55404D21" w14:textId="0411AB61" w:rsidR="006975D4" w:rsidRPr="000A5384" w:rsidRDefault="00A26F34" w:rsidP="007F1BC5">
      <w:pPr>
        <w:pStyle w:val="Akapitzlist"/>
        <w:numPr>
          <w:ilvl w:val="0"/>
          <w:numId w:val="19"/>
        </w:numPr>
        <w:ind w:left="993"/>
        <w:jc w:val="both"/>
        <w:rPr>
          <w:rFonts w:cs="Arial"/>
          <w:color w:val="000000" w:themeColor="text1"/>
        </w:rPr>
      </w:pPr>
      <w:r w:rsidRPr="000A5384">
        <w:rPr>
          <w:rFonts w:cs="Arial"/>
          <w:color w:val="000000" w:themeColor="text1"/>
        </w:rPr>
        <w:t xml:space="preserve">wprowadzono </w:t>
      </w:r>
      <w:r w:rsidR="006975D4" w:rsidRPr="000A5384">
        <w:rPr>
          <w:rFonts w:cs="Arial"/>
          <w:color w:val="000000" w:themeColor="text1"/>
        </w:rPr>
        <w:t>procedu</w:t>
      </w:r>
      <w:r w:rsidRPr="000A5384">
        <w:rPr>
          <w:rFonts w:cs="Arial"/>
          <w:color w:val="000000" w:themeColor="text1"/>
        </w:rPr>
        <w:t>ry</w:t>
      </w:r>
      <w:r w:rsidR="006975D4" w:rsidRPr="000A5384">
        <w:rPr>
          <w:rFonts w:cs="Arial"/>
          <w:color w:val="000000" w:themeColor="text1"/>
        </w:rPr>
        <w:t xml:space="preserve"> przyjmowania zgłoszeń wewnętrznych </w:t>
      </w:r>
      <w:r w:rsidRPr="000A5384">
        <w:rPr>
          <w:rFonts w:cs="Arial"/>
          <w:color w:val="000000" w:themeColor="text1"/>
        </w:rPr>
        <w:t xml:space="preserve">i zewnętrznych </w:t>
      </w:r>
      <w:r w:rsidR="006975D4" w:rsidRPr="000A5384">
        <w:rPr>
          <w:rFonts w:cs="Arial"/>
          <w:color w:val="000000" w:themeColor="text1"/>
        </w:rPr>
        <w:t>w Wyższym Urzędzie Górniczym</w:t>
      </w:r>
      <w:r w:rsidRPr="000A5384">
        <w:rPr>
          <w:rFonts w:cs="Arial"/>
          <w:color w:val="000000" w:themeColor="text1"/>
        </w:rPr>
        <w:t xml:space="preserve"> oraz </w:t>
      </w:r>
      <w:r w:rsidR="005A3291" w:rsidRPr="000A5384">
        <w:rPr>
          <w:rFonts w:cs="Arial"/>
          <w:color w:val="000000" w:themeColor="text1"/>
        </w:rPr>
        <w:t>zapewniono narzędzia konieczne do prawidłowego przechowywania dokumentacji dotyczącej sygnalistów,</w:t>
      </w:r>
    </w:p>
    <w:p w14:paraId="576DAD45" w14:textId="53C5F578" w:rsidR="006975D4" w:rsidRPr="000A5384" w:rsidRDefault="000A5384" w:rsidP="007F1BC5">
      <w:pPr>
        <w:pStyle w:val="Akapitzlist"/>
        <w:numPr>
          <w:ilvl w:val="0"/>
          <w:numId w:val="18"/>
        </w:num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w </w:t>
      </w:r>
      <w:r w:rsidR="006975D4" w:rsidRPr="000A5384">
        <w:rPr>
          <w:rFonts w:cs="Arial"/>
          <w:color w:val="000000" w:themeColor="text1"/>
        </w:rPr>
        <w:t>obszarze zatwierdzania pla</w:t>
      </w:r>
      <w:r w:rsidR="005A5E09" w:rsidRPr="000A5384">
        <w:rPr>
          <w:rFonts w:cs="Arial"/>
          <w:color w:val="000000" w:themeColor="text1"/>
        </w:rPr>
        <w:t>na</w:t>
      </w:r>
      <w:r w:rsidR="006975D4" w:rsidRPr="000A5384">
        <w:rPr>
          <w:rFonts w:cs="Arial"/>
          <w:color w:val="000000" w:themeColor="text1"/>
        </w:rPr>
        <w:t xml:space="preserve">mi ruchu zakładów górniczych i zakładów oraz zmian tych </w:t>
      </w:r>
      <w:r w:rsidR="005A5E09" w:rsidRPr="000A5384">
        <w:rPr>
          <w:rFonts w:cs="Arial"/>
          <w:color w:val="000000" w:themeColor="text1"/>
        </w:rPr>
        <w:t>planów</w:t>
      </w:r>
      <w:r w:rsidR="006975D4" w:rsidRPr="000A5384">
        <w:rPr>
          <w:rFonts w:cs="Arial"/>
          <w:color w:val="000000" w:themeColor="text1"/>
        </w:rPr>
        <w:t xml:space="preserve"> przez dyrektorów okręgowych urzędów górniczych:</w:t>
      </w:r>
    </w:p>
    <w:p w14:paraId="06C07BF3" w14:textId="6C66ECD5" w:rsidR="00CD68C4" w:rsidRPr="000A5384" w:rsidRDefault="00EF2359" w:rsidP="007F1BC5">
      <w:pPr>
        <w:pStyle w:val="Akapitzlist"/>
        <w:numPr>
          <w:ilvl w:val="0"/>
          <w:numId w:val="19"/>
        </w:numPr>
        <w:ind w:left="993"/>
        <w:jc w:val="both"/>
        <w:rPr>
          <w:rFonts w:cs="Arial"/>
          <w:color w:val="000000" w:themeColor="text1"/>
        </w:rPr>
      </w:pPr>
      <w:r w:rsidRPr="000A5384">
        <w:rPr>
          <w:rFonts w:cs="Arial"/>
          <w:color w:val="000000" w:themeColor="text1"/>
        </w:rPr>
        <w:t xml:space="preserve">zobowiązano pracowników do </w:t>
      </w:r>
      <w:r w:rsidR="00CD68C4" w:rsidRPr="000A5384">
        <w:rPr>
          <w:rFonts w:cs="Arial"/>
          <w:color w:val="000000" w:themeColor="text1"/>
        </w:rPr>
        <w:t xml:space="preserve">podawania podstaw prawnych decyzji oraz </w:t>
      </w:r>
      <w:r w:rsidR="001B2706" w:rsidRPr="000A5384">
        <w:rPr>
          <w:rFonts w:cs="Arial"/>
          <w:color w:val="000000" w:themeColor="text1"/>
        </w:rPr>
        <w:t xml:space="preserve">załatwiania spraw terminowo oraz </w:t>
      </w:r>
      <w:r w:rsidR="00CD68C4" w:rsidRPr="000A5384">
        <w:rPr>
          <w:rFonts w:cs="Arial"/>
          <w:color w:val="000000" w:themeColor="text1"/>
        </w:rPr>
        <w:t>egzekwowania od wnioskodawców dołączania do wniosków dokumentów wskazanych w art. 108 ust. 9 i 10 ustawy z dnia 9 czerwca 2011 r. - Prawo geologiczne i górnicze</w:t>
      </w:r>
      <w:r w:rsidR="007860E2" w:rsidRPr="000A5384">
        <w:rPr>
          <w:rFonts w:cs="Arial"/>
          <w:color w:val="000000" w:themeColor="text1"/>
        </w:rPr>
        <w:t xml:space="preserve">, </w:t>
      </w:r>
    </w:p>
    <w:p w14:paraId="0198FEA9" w14:textId="00F1CF87" w:rsidR="006975D4" w:rsidRPr="000A5384" w:rsidRDefault="00423445" w:rsidP="007F1BC5">
      <w:pPr>
        <w:pStyle w:val="Akapitzlist"/>
        <w:numPr>
          <w:ilvl w:val="0"/>
          <w:numId w:val="19"/>
        </w:numPr>
        <w:ind w:left="993"/>
        <w:jc w:val="both"/>
        <w:rPr>
          <w:rFonts w:cs="Arial"/>
          <w:color w:val="000000" w:themeColor="text1"/>
        </w:rPr>
      </w:pPr>
      <w:r w:rsidRPr="000A5384">
        <w:rPr>
          <w:rFonts w:cs="Arial"/>
          <w:color w:val="000000" w:themeColor="text1"/>
        </w:rPr>
        <w:t>zobowiązano</w:t>
      </w:r>
      <w:r w:rsidR="006975D4" w:rsidRPr="000A5384">
        <w:rPr>
          <w:rFonts w:cs="Arial"/>
          <w:color w:val="000000" w:themeColor="text1"/>
        </w:rPr>
        <w:t xml:space="preserve"> dyrektorów okręgowych urzędów górniczych </w:t>
      </w:r>
      <w:r w:rsidRPr="000A5384">
        <w:rPr>
          <w:rFonts w:cs="Arial"/>
          <w:color w:val="000000" w:themeColor="text1"/>
        </w:rPr>
        <w:t xml:space="preserve">do </w:t>
      </w:r>
      <w:r w:rsidR="006975D4" w:rsidRPr="000A5384">
        <w:rPr>
          <w:rFonts w:cs="Arial"/>
          <w:color w:val="000000" w:themeColor="text1"/>
        </w:rPr>
        <w:t>podpi</w:t>
      </w:r>
      <w:r w:rsidR="00B35DC2" w:rsidRPr="000A5384">
        <w:rPr>
          <w:rFonts w:cs="Arial"/>
          <w:color w:val="000000" w:themeColor="text1"/>
        </w:rPr>
        <w:t xml:space="preserve">sywania </w:t>
      </w:r>
      <w:r w:rsidR="006975D4" w:rsidRPr="000A5384">
        <w:rPr>
          <w:rFonts w:cs="Arial"/>
          <w:color w:val="000000" w:themeColor="text1"/>
        </w:rPr>
        <w:t>decyzj</w:t>
      </w:r>
      <w:r w:rsidR="00B35DC2" w:rsidRPr="000A5384">
        <w:rPr>
          <w:rFonts w:cs="Arial"/>
          <w:color w:val="000000" w:themeColor="text1"/>
        </w:rPr>
        <w:t>i</w:t>
      </w:r>
      <w:r w:rsidR="006975D4" w:rsidRPr="000A5384">
        <w:rPr>
          <w:rFonts w:cs="Arial"/>
          <w:color w:val="000000" w:themeColor="text1"/>
        </w:rPr>
        <w:t xml:space="preserve"> zatwierdzających plany ruchu zakładów górniczych lub zakładów oraz zmiany tych planów, jako ostatniego z elementów decyzji wskazanych w art. 107 § 1 Kpa</w:t>
      </w:r>
      <w:r w:rsidR="00735BD4" w:rsidRPr="000A5384">
        <w:rPr>
          <w:rFonts w:cs="Arial"/>
          <w:color w:val="000000" w:themeColor="text1"/>
        </w:rPr>
        <w:t>,</w:t>
      </w:r>
    </w:p>
    <w:p w14:paraId="656E4EF7" w14:textId="506B2BA6" w:rsidR="006975D4" w:rsidRPr="000A5384" w:rsidRDefault="00D06579" w:rsidP="007F1BC5">
      <w:pPr>
        <w:pStyle w:val="Akapitzlist"/>
        <w:numPr>
          <w:ilvl w:val="0"/>
          <w:numId w:val="18"/>
        </w:numPr>
        <w:jc w:val="both"/>
        <w:rPr>
          <w:rFonts w:cs="Arial"/>
          <w:color w:val="000000" w:themeColor="text1"/>
        </w:rPr>
      </w:pPr>
      <w:r w:rsidRPr="000A5384">
        <w:rPr>
          <w:rFonts w:cs="Arial"/>
          <w:color w:val="000000" w:themeColor="text1"/>
        </w:rPr>
        <w:t>W</w:t>
      </w:r>
      <w:r w:rsidR="006975D4" w:rsidRPr="000A5384">
        <w:rPr>
          <w:rFonts w:cs="Arial"/>
          <w:color w:val="000000" w:themeColor="text1"/>
        </w:rPr>
        <w:t xml:space="preserve"> obszarze kontroli zdarzeń mających związek z czasem prac</w:t>
      </w:r>
      <w:r w:rsidR="00830CFB" w:rsidRPr="000A5384">
        <w:rPr>
          <w:rFonts w:cs="Arial"/>
          <w:color w:val="000000" w:themeColor="text1"/>
        </w:rPr>
        <w:t>y</w:t>
      </w:r>
      <w:r w:rsidR="006975D4" w:rsidRPr="000A5384">
        <w:rPr>
          <w:rFonts w:cs="Arial"/>
          <w:color w:val="000000" w:themeColor="text1"/>
        </w:rPr>
        <w:t>:</w:t>
      </w:r>
    </w:p>
    <w:p w14:paraId="2D442B5E" w14:textId="01A424CC" w:rsidR="006975D4" w:rsidRPr="000A5384" w:rsidRDefault="006975D4" w:rsidP="007F1BC5">
      <w:pPr>
        <w:pStyle w:val="Akapitzlist"/>
        <w:numPr>
          <w:ilvl w:val="0"/>
          <w:numId w:val="20"/>
        </w:numPr>
        <w:ind w:left="993"/>
        <w:jc w:val="both"/>
        <w:rPr>
          <w:rFonts w:cs="Arial"/>
          <w:color w:val="000000" w:themeColor="text1"/>
        </w:rPr>
      </w:pPr>
      <w:r w:rsidRPr="000A5384">
        <w:rPr>
          <w:rFonts w:cs="Arial"/>
          <w:color w:val="000000" w:themeColor="text1"/>
        </w:rPr>
        <w:t>zobowiązano dyrektorów okręgowych urzędów górniczych do zwiększenia nadzoru nad sprawami związanymi z ewidencją czasu pracy</w:t>
      </w:r>
      <w:r w:rsidR="00830CFB" w:rsidRPr="000A5384">
        <w:rPr>
          <w:rFonts w:cs="Arial"/>
          <w:color w:val="000000" w:themeColor="text1"/>
        </w:rPr>
        <w:t xml:space="preserve"> i w zakresie sporządzania harmonogramów pracy,</w:t>
      </w:r>
    </w:p>
    <w:p w14:paraId="655BA15C" w14:textId="11244E6D" w:rsidR="006975D4" w:rsidRPr="000A5384" w:rsidRDefault="00D06579" w:rsidP="007F1BC5">
      <w:pPr>
        <w:pStyle w:val="Akapitzlist"/>
        <w:numPr>
          <w:ilvl w:val="0"/>
          <w:numId w:val="18"/>
        </w:numPr>
        <w:jc w:val="both"/>
        <w:rPr>
          <w:rFonts w:cs="Arial"/>
          <w:color w:val="000000" w:themeColor="text1"/>
        </w:rPr>
      </w:pPr>
      <w:r w:rsidRPr="000A5384">
        <w:rPr>
          <w:rFonts w:cs="Arial"/>
          <w:color w:val="000000" w:themeColor="text1"/>
        </w:rPr>
        <w:t>W</w:t>
      </w:r>
      <w:r w:rsidR="006975D4" w:rsidRPr="000A5384">
        <w:rPr>
          <w:rFonts w:cs="Arial"/>
          <w:color w:val="000000" w:themeColor="text1"/>
        </w:rPr>
        <w:t xml:space="preserve"> obszarze monitorowania i zarządzania realizacją </w:t>
      </w:r>
      <w:r w:rsidR="00A64340" w:rsidRPr="000A5384">
        <w:rPr>
          <w:rFonts w:cs="Arial"/>
          <w:color w:val="000000" w:themeColor="text1"/>
        </w:rPr>
        <w:t>in</w:t>
      </w:r>
      <w:r w:rsidR="006975D4" w:rsidRPr="000A5384">
        <w:rPr>
          <w:rFonts w:cs="Arial"/>
          <w:color w:val="000000" w:themeColor="text1"/>
        </w:rPr>
        <w:t>westycji:</w:t>
      </w:r>
    </w:p>
    <w:p w14:paraId="6E91EFE3" w14:textId="3155C9BA" w:rsidR="008074DC" w:rsidRPr="000A5384" w:rsidRDefault="008074DC" w:rsidP="007F1BC5">
      <w:pPr>
        <w:pStyle w:val="Akapitzlist"/>
        <w:numPr>
          <w:ilvl w:val="0"/>
          <w:numId w:val="20"/>
        </w:numPr>
        <w:ind w:left="993"/>
        <w:jc w:val="both"/>
        <w:rPr>
          <w:rFonts w:cs="Arial"/>
          <w:color w:val="000000" w:themeColor="text1"/>
        </w:rPr>
      </w:pPr>
      <w:r w:rsidRPr="000A5384">
        <w:rPr>
          <w:rFonts w:cs="Arial"/>
          <w:color w:val="000000" w:themeColor="text1"/>
        </w:rPr>
        <w:t xml:space="preserve">wprowadzenie zasad </w:t>
      </w:r>
      <w:r w:rsidR="007F3ED2" w:rsidRPr="000A5384">
        <w:rPr>
          <w:rFonts w:cs="Arial"/>
          <w:color w:val="000000" w:themeColor="text1"/>
        </w:rPr>
        <w:t xml:space="preserve">akceptowania </w:t>
      </w:r>
      <w:r w:rsidR="003E3615" w:rsidRPr="000A5384">
        <w:rPr>
          <w:rFonts w:cs="Arial"/>
          <w:color w:val="000000" w:themeColor="text1"/>
        </w:rPr>
        <w:t xml:space="preserve">planów wydatków inwestycyjnych </w:t>
      </w:r>
      <w:r w:rsidR="002D6283" w:rsidRPr="000A5384">
        <w:rPr>
          <w:rFonts w:cs="Arial"/>
          <w:color w:val="000000" w:themeColor="text1"/>
        </w:rPr>
        <w:t>przez kierownictwo Wyższego Urzędu Górniczego</w:t>
      </w:r>
      <w:r w:rsidR="00C20395" w:rsidRPr="000A5384">
        <w:rPr>
          <w:rFonts w:cs="Arial"/>
          <w:color w:val="000000" w:themeColor="text1"/>
        </w:rPr>
        <w:t xml:space="preserve"> oraz wprowadzenie cyklicznych narad </w:t>
      </w:r>
      <w:r w:rsidR="00CA5B5D" w:rsidRPr="000A5384">
        <w:rPr>
          <w:rFonts w:cs="Arial"/>
          <w:color w:val="000000" w:themeColor="text1"/>
        </w:rPr>
        <w:t xml:space="preserve">kierownictwa Wyższego Urzędu Górniczego </w:t>
      </w:r>
      <w:r w:rsidR="00C20395" w:rsidRPr="000A5384">
        <w:rPr>
          <w:rFonts w:cs="Arial"/>
          <w:color w:val="000000" w:themeColor="text1"/>
        </w:rPr>
        <w:t xml:space="preserve">w </w:t>
      </w:r>
      <w:r w:rsidR="0089659E" w:rsidRPr="000A5384">
        <w:rPr>
          <w:rFonts w:cs="Arial"/>
          <w:color w:val="000000" w:themeColor="text1"/>
        </w:rPr>
        <w:t>zakresie zagadnień dotycząc</w:t>
      </w:r>
      <w:r w:rsidR="00B34395" w:rsidRPr="000A5384">
        <w:rPr>
          <w:rFonts w:cs="Arial"/>
          <w:color w:val="000000" w:themeColor="text1"/>
        </w:rPr>
        <w:t>ych</w:t>
      </w:r>
      <w:r w:rsidR="0089659E" w:rsidRPr="000A5384">
        <w:rPr>
          <w:rFonts w:cs="Arial"/>
          <w:color w:val="000000" w:themeColor="text1"/>
        </w:rPr>
        <w:t xml:space="preserve"> bieżących inwestycji</w:t>
      </w:r>
      <w:r w:rsidR="00B34395" w:rsidRPr="000A5384">
        <w:rPr>
          <w:rFonts w:cs="Arial"/>
          <w:color w:val="000000" w:themeColor="text1"/>
        </w:rPr>
        <w:t>,</w:t>
      </w:r>
    </w:p>
    <w:p w14:paraId="570A333B" w14:textId="15716D2C" w:rsidR="006975D4" w:rsidRPr="000A5384" w:rsidRDefault="00D06579" w:rsidP="007F1BC5">
      <w:pPr>
        <w:pStyle w:val="Akapitzlist"/>
        <w:numPr>
          <w:ilvl w:val="0"/>
          <w:numId w:val="18"/>
        </w:numPr>
        <w:jc w:val="both"/>
        <w:rPr>
          <w:rFonts w:cs="Arial"/>
          <w:color w:val="000000" w:themeColor="text1"/>
        </w:rPr>
      </w:pPr>
      <w:r w:rsidRPr="000A5384">
        <w:rPr>
          <w:rFonts w:cs="Arial"/>
          <w:color w:val="000000" w:themeColor="text1"/>
        </w:rPr>
        <w:t>W</w:t>
      </w:r>
      <w:r w:rsidR="006975D4" w:rsidRPr="000A5384">
        <w:rPr>
          <w:rFonts w:cs="Arial"/>
          <w:color w:val="000000" w:themeColor="text1"/>
        </w:rPr>
        <w:t xml:space="preserve"> obszarze zapewnienia ciągłości działania systemów teleinformatycznych oraz usług cyfrowych:</w:t>
      </w:r>
    </w:p>
    <w:p w14:paraId="56F9A634" w14:textId="743CDDF3" w:rsidR="006975D4" w:rsidRPr="000A5384" w:rsidRDefault="00F57EFD" w:rsidP="007F1BC5">
      <w:pPr>
        <w:pStyle w:val="Akapitzlist"/>
        <w:numPr>
          <w:ilvl w:val="0"/>
          <w:numId w:val="20"/>
        </w:numPr>
        <w:ind w:left="993"/>
        <w:jc w:val="both"/>
        <w:rPr>
          <w:rFonts w:cs="Arial"/>
          <w:color w:val="000000" w:themeColor="text1"/>
        </w:rPr>
      </w:pPr>
      <w:r w:rsidRPr="000A5384">
        <w:rPr>
          <w:rFonts w:cs="Arial"/>
          <w:color w:val="000000" w:themeColor="text1"/>
        </w:rPr>
        <w:t>zaktualizowano</w:t>
      </w:r>
      <w:r w:rsidR="006975D4" w:rsidRPr="000A5384">
        <w:rPr>
          <w:rFonts w:cs="Arial"/>
          <w:color w:val="000000" w:themeColor="text1"/>
        </w:rPr>
        <w:t xml:space="preserve"> dokument „Analiza ryzyka 2024” poprzez</w:t>
      </w:r>
      <w:r w:rsidR="009A02DF" w:rsidRPr="000A5384">
        <w:rPr>
          <w:rFonts w:cs="Arial"/>
          <w:color w:val="000000" w:themeColor="text1"/>
        </w:rPr>
        <w:t xml:space="preserve"> eliminację niejasności interpretacyjnych, </w:t>
      </w:r>
      <w:r w:rsidR="006975D4" w:rsidRPr="000A5384">
        <w:rPr>
          <w:rFonts w:cs="Arial"/>
          <w:color w:val="000000" w:themeColor="text1"/>
        </w:rPr>
        <w:t>doprecyzowanie sformułowań odnoszących się do systemów teleinformatycznych</w:t>
      </w:r>
      <w:r w:rsidR="000E3892" w:rsidRPr="000A5384">
        <w:rPr>
          <w:rFonts w:cs="Arial"/>
          <w:color w:val="000000" w:themeColor="text1"/>
        </w:rPr>
        <w:t xml:space="preserve"> oraz </w:t>
      </w:r>
      <w:r w:rsidR="006975D4" w:rsidRPr="000A5384">
        <w:rPr>
          <w:rFonts w:cs="Arial"/>
          <w:color w:val="000000" w:themeColor="text1"/>
        </w:rPr>
        <w:t xml:space="preserve">wprowadzenie </w:t>
      </w:r>
      <w:proofErr w:type="spellStart"/>
      <w:r w:rsidR="00295AD1" w:rsidRPr="000A5384">
        <w:rPr>
          <w:rFonts w:cs="Arial"/>
          <w:color w:val="000000" w:themeColor="text1"/>
        </w:rPr>
        <w:t>odwołań</w:t>
      </w:r>
      <w:proofErr w:type="spellEnd"/>
      <w:r w:rsidR="006975D4" w:rsidRPr="000A5384">
        <w:rPr>
          <w:rFonts w:cs="Arial"/>
          <w:color w:val="000000" w:themeColor="text1"/>
        </w:rPr>
        <w:t xml:space="preserve"> do istniejących przepisów Polityki Bezpieczeństwa Informacji, Procedur Bezpieczeństwa Teleinformatycznego, w których określone zostały obowiązujące procedury postępowania</w:t>
      </w:r>
      <w:r w:rsidR="00F50EE1" w:rsidRPr="000A5384">
        <w:rPr>
          <w:rFonts w:cs="Arial"/>
          <w:color w:val="000000" w:themeColor="text1"/>
        </w:rPr>
        <w:t>,</w:t>
      </w:r>
    </w:p>
    <w:p w14:paraId="79CF3435" w14:textId="5E1B9AAD" w:rsidR="006975D4" w:rsidRPr="000A5384" w:rsidRDefault="00D06579" w:rsidP="007F1BC5">
      <w:pPr>
        <w:pStyle w:val="Akapitzlist"/>
        <w:numPr>
          <w:ilvl w:val="0"/>
          <w:numId w:val="18"/>
        </w:numPr>
        <w:jc w:val="both"/>
        <w:rPr>
          <w:rFonts w:cs="Arial"/>
          <w:color w:val="000000" w:themeColor="text1"/>
        </w:rPr>
      </w:pPr>
      <w:r w:rsidRPr="000A5384">
        <w:rPr>
          <w:rFonts w:cs="Arial"/>
          <w:color w:val="000000" w:themeColor="text1"/>
        </w:rPr>
        <w:t>W</w:t>
      </w:r>
      <w:r w:rsidR="006975D4" w:rsidRPr="000A5384">
        <w:rPr>
          <w:rFonts w:cs="Arial"/>
          <w:color w:val="000000" w:themeColor="text1"/>
        </w:rPr>
        <w:t xml:space="preserve"> obszarze wykrywania i przeciwdziałania nielegalnej eksploatacji kopalin:</w:t>
      </w:r>
    </w:p>
    <w:p w14:paraId="1D12CFC4" w14:textId="2CF72936" w:rsidR="006975D4" w:rsidRPr="000A5384" w:rsidRDefault="00D53C2A" w:rsidP="007F1BC5">
      <w:pPr>
        <w:pStyle w:val="Akapitzlist"/>
        <w:numPr>
          <w:ilvl w:val="0"/>
          <w:numId w:val="20"/>
        </w:numPr>
        <w:ind w:left="993"/>
        <w:jc w:val="both"/>
        <w:rPr>
          <w:rFonts w:cs="Arial"/>
          <w:color w:val="000000" w:themeColor="text1"/>
        </w:rPr>
      </w:pPr>
      <w:r w:rsidRPr="000A5384">
        <w:rPr>
          <w:rFonts w:cs="Arial"/>
          <w:color w:val="000000" w:themeColor="text1"/>
        </w:rPr>
        <w:t>zaktualizowano</w:t>
      </w:r>
      <w:r w:rsidR="00817E2B" w:rsidRPr="000A5384">
        <w:rPr>
          <w:rFonts w:cs="Arial"/>
          <w:color w:val="000000" w:themeColor="text1"/>
        </w:rPr>
        <w:t xml:space="preserve"> </w:t>
      </w:r>
      <w:r w:rsidR="006975D4" w:rsidRPr="000A5384">
        <w:rPr>
          <w:rFonts w:cs="Arial"/>
          <w:color w:val="000000" w:themeColor="text1"/>
        </w:rPr>
        <w:t>,Metodyk</w:t>
      </w:r>
      <w:r w:rsidRPr="000A5384">
        <w:rPr>
          <w:rFonts w:cs="Arial"/>
          <w:color w:val="000000" w:themeColor="text1"/>
        </w:rPr>
        <w:t>ę</w:t>
      </w:r>
      <w:r w:rsidR="006975D4" w:rsidRPr="000A5384">
        <w:rPr>
          <w:rFonts w:cs="Arial"/>
          <w:color w:val="000000" w:themeColor="text1"/>
        </w:rPr>
        <w:t xml:space="preserve"> prowadzenia postępowań w sprawach dotyczących ustalania opłaty podwyższonej”, w związku z wnioskami Najwyższej Izby Kontroli po przeprowadzeniu kontroli „Wykrywanie i przeciwdziałanie nielegalnej eksploatacji kopalin”,</w:t>
      </w:r>
    </w:p>
    <w:p w14:paraId="75B94514" w14:textId="3FC08A28" w:rsidR="006975D4" w:rsidRPr="000A5384" w:rsidRDefault="00AB5995" w:rsidP="007F1BC5">
      <w:pPr>
        <w:pStyle w:val="Akapitzlist"/>
        <w:numPr>
          <w:ilvl w:val="0"/>
          <w:numId w:val="20"/>
        </w:numPr>
        <w:ind w:left="993"/>
        <w:jc w:val="both"/>
        <w:rPr>
          <w:rFonts w:cs="Arial"/>
          <w:color w:val="000000" w:themeColor="text1"/>
        </w:rPr>
      </w:pPr>
      <w:r w:rsidRPr="000A5384">
        <w:rPr>
          <w:rFonts w:cs="Arial"/>
          <w:color w:val="000000" w:themeColor="text1"/>
        </w:rPr>
        <w:t xml:space="preserve">zostały przeprowadzone </w:t>
      </w:r>
      <w:r w:rsidR="006975D4" w:rsidRPr="000A5384">
        <w:rPr>
          <w:rFonts w:cs="Arial"/>
          <w:color w:val="000000" w:themeColor="text1"/>
        </w:rPr>
        <w:t>szkolenia dla pracowników inspekcyjno- technicznych w zakresie zagadnień dot. nielegalnej eksploatacji kopalin</w:t>
      </w:r>
      <w:r w:rsidRPr="000A5384">
        <w:rPr>
          <w:rFonts w:cs="Arial"/>
          <w:color w:val="000000" w:themeColor="text1"/>
        </w:rPr>
        <w:t>,</w:t>
      </w:r>
      <w:r w:rsidR="006975D4" w:rsidRPr="000A5384">
        <w:rPr>
          <w:rFonts w:cs="Arial"/>
          <w:color w:val="000000" w:themeColor="text1"/>
        </w:rPr>
        <w:t xml:space="preserve"> </w:t>
      </w:r>
    </w:p>
    <w:p w14:paraId="5F9BF6EA" w14:textId="43A282DA" w:rsidR="006975D4" w:rsidRPr="000A5384" w:rsidRDefault="00D06579" w:rsidP="007F1BC5">
      <w:pPr>
        <w:pStyle w:val="Akapitzlist"/>
        <w:numPr>
          <w:ilvl w:val="0"/>
          <w:numId w:val="18"/>
        </w:numPr>
        <w:jc w:val="both"/>
        <w:rPr>
          <w:rFonts w:cs="Arial"/>
          <w:color w:val="000000" w:themeColor="text1"/>
        </w:rPr>
      </w:pPr>
      <w:r w:rsidRPr="000A5384">
        <w:rPr>
          <w:rFonts w:cs="Arial"/>
          <w:color w:val="000000" w:themeColor="text1"/>
        </w:rPr>
        <w:t>W</w:t>
      </w:r>
      <w:r w:rsidR="006975D4" w:rsidRPr="000A5384">
        <w:rPr>
          <w:rFonts w:cs="Arial"/>
          <w:color w:val="000000" w:themeColor="text1"/>
        </w:rPr>
        <w:t xml:space="preserve"> obszarze funkcjonowania archiwum zakładowego:</w:t>
      </w:r>
    </w:p>
    <w:p w14:paraId="7D5C6983" w14:textId="0622C725" w:rsidR="006975D4" w:rsidRPr="000A5384" w:rsidRDefault="00D332F4" w:rsidP="007F1BC5">
      <w:pPr>
        <w:pStyle w:val="Akapitzlist"/>
        <w:numPr>
          <w:ilvl w:val="0"/>
          <w:numId w:val="21"/>
        </w:numPr>
        <w:ind w:left="993"/>
        <w:jc w:val="both"/>
        <w:rPr>
          <w:rFonts w:cs="Arial"/>
          <w:color w:val="000000" w:themeColor="text1"/>
        </w:rPr>
      </w:pPr>
      <w:r w:rsidRPr="000A5384">
        <w:rPr>
          <w:rFonts w:cs="Arial"/>
          <w:color w:val="000000" w:themeColor="text1"/>
        </w:rPr>
        <w:t xml:space="preserve">zorganizowano szkolenie dla </w:t>
      </w:r>
      <w:r w:rsidR="006975D4" w:rsidRPr="000A5384">
        <w:rPr>
          <w:rFonts w:cs="Arial"/>
          <w:color w:val="000000" w:themeColor="text1"/>
        </w:rPr>
        <w:t>pracownik</w:t>
      </w:r>
      <w:r w:rsidRPr="000A5384">
        <w:rPr>
          <w:rFonts w:cs="Arial"/>
          <w:color w:val="000000" w:themeColor="text1"/>
        </w:rPr>
        <w:t>ów</w:t>
      </w:r>
      <w:r w:rsidR="006975D4" w:rsidRPr="000A5384">
        <w:rPr>
          <w:rFonts w:cs="Arial"/>
          <w:color w:val="000000" w:themeColor="text1"/>
        </w:rPr>
        <w:t xml:space="preserve"> urzędów górniczych w zakresie prawidłowości stosowania przepisów kancelaryjno-archiwalnych, </w:t>
      </w:r>
    </w:p>
    <w:p w14:paraId="007DD873" w14:textId="69DCD910" w:rsidR="006975D4" w:rsidRPr="000A5384" w:rsidRDefault="006975D4" w:rsidP="007F1BC5">
      <w:pPr>
        <w:pStyle w:val="Akapitzlist"/>
        <w:numPr>
          <w:ilvl w:val="0"/>
          <w:numId w:val="21"/>
        </w:numPr>
        <w:ind w:left="993"/>
        <w:jc w:val="both"/>
        <w:rPr>
          <w:rFonts w:cs="Arial"/>
          <w:color w:val="000000" w:themeColor="text1"/>
        </w:rPr>
      </w:pPr>
      <w:r w:rsidRPr="000A5384">
        <w:rPr>
          <w:rFonts w:cs="Arial"/>
          <w:color w:val="000000" w:themeColor="text1"/>
        </w:rPr>
        <w:t xml:space="preserve">wprowadzono </w:t>
      </w:r>
      <w:r w:rsidR="00A33CA4" w:rsidRPr="000A5384">
        <w:rPr>
          <w:rFonts w:cs="Arial"/>
          <w:color w:val="000000" w:themeColor="text1"/>
        </w:rPr>
        <w:t>przepisy</w:t>
      </w:r>
      <w:r w:rsidRPr="000A5384">
        <w:rPr>
          <w:rFonts w:cs="Arial"/>
          <w:color w:val="000000" w:themeColor="text1"/>
        </w:rPr>
        <w:t xml:space="preserve"> porządkow</w:t>
      </w:r>
      <w:r w:rsidR="00A33CA4" w:rsidRPr="000A5384">
        <w:rPr>
          <w:rFonts w:cs="Arial"/>
          <w:color w:val="000000" w:themeColor="text1"/>
        </w:rPr>
        <w:t>e</w:t>
      </w:r>
      <w:r w:rsidRPr="000A5384">
        <w:rPr>
          <w:rFonts w:cs="Arial"/>
          <w:color w:val="000000" w:themeColor="text1"/>
        </w:rPr>
        <w:t xml:space="preserve"> Wyższego Urzędu Górniczego </w:t>
      </w:r>
      <w:r w:rsidR="00C4158F" w:rsidRPr="000A5384">
        <w:rPr>
          <w:rFonts w:cs="Arial"/>
          <w:color w:val="000000" w:themeColor="text1"/>
        </w:rPr>
        <w:t>porządkujące</w:t>
      </w:r>
      <w:r w:rsidR="00D75801" w:rsidRPr="000A5384">
        <w:rPr>
          <w:rFonts w:cs="Arial"/>
          <w:color w:val="000000" w:themeColor="text1"/>
        </w:rPr>
        <w:t xml:space="preserve"> </w:t>
      </w:r>
      <w:r w:rsidR="001122D8" w:rsidRPr="000A5384">
        <w:rPr>
          <w:rFonts w:cs="Arial"/>
          <w:color w:val="000000" w:themeColor="text1"/>
        </w:rPr>
        <w:t xml:space="preserve">zasady </w:t>
      </w:r>
      <w:r w:rsidR="0049494E" w:rsidRPr="000A5384">
        <w:rPr>
          <w:rFonts w:cs="Arial"/>
          <w:color w:val="000000" w:themeColor="text1"/>
        </w:rPr>
        <w:t xml:space="preserve">dostępu do </w:t>
      </w:r>
      <w:r w:rsidR="00D537DF" w:rsidRPr="000A5384">
        <w:rPr>
          <w:rFonts w:cs="Arial"/>
          <w:color w:val="000000" w:themeColor="text1"/>
        </w:rPr>
        <w:t>pomieszczeń</w:t>
      </w:r>
      <w:r w:rsidR="00795E67" w:rsidRPr="000A5384">
        <w:rPr>
          <w:rFonts w:cs="Arial"/>
          <w:color w:val="000000" w:themeColor="text1"/>
        </w:rPr>
        <w:t xml:space="preserve">, dokumentowania tych czynności, oraz w zakresie nazewnictwa </w:t>
      </w:r>
      <w:r w:rsidR="00817E2B" w:rsidRPr="000A5384">
        <w:rPr>
          <w:rFonts w:cs="Arial"/>
          <w:color w:val="000000" w:themeColor="text1"/>
        </w:rPr>
        <w:t>komórek</w:t>
      </w:r>
      <w:r w:rsidR="00D06579" w:rsidRPr="000A5384">
        <w:rPr>
          <w:rFonts w:cs="Arial"/>
          <w:color w:val="000000" w:themeColor="text1"/>
        </w:rPr>
        <w:t>.</w:t>
      </w:r>
    </w:p>
    <w:p w14:paraId="399C5A2B" w14:textId="77777777" w:rsidR="00356EBC" w:rsidRDefault="00356EBC">
      <w:pPr>
        <w:jc w:val="both"/>
        <w:rPr>
          <w:rFonts w:cs="Arial"/>
        </w:rPr>
      </w:pPr>
    </w:p>
    <w:p w14:paraId="29A88E2B" w14:textId="77777777" w:rsidR="00C37A6C" w:rsidRDefault="00C37A6C">
      <w:pPr>
        <w:tabs>
          <w:tab w:val="left" w:pos="424"/>
        </w:tabs>
        <w:ind w:left="424" w:hanging="425"/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>Pozostałe działania:</w:t>
      </w:r>
    </w:p>
    <w:p w14:paraId="067F1CD0" w14:textId="6BDA97EE" w:rsidR="0005401B" w:rsidRDefault="0005401B" w:rsidP="00326CA7">
      <w:pPr>
        <w:jc w:val="both"/>
        <w:rPr>
          <w:rFonts w:cs="Arial"/>
        </w:rPr>
      </w:pPr>
      <w:r>
        <w:rPr>
          <w:rFonts w:cs="Arial"/>
        </w:rPr>
        <w:t>Najistotniejsze działania, niezaplanowane w oświadczeniu za rok poprzedzający rok, którego dotyczy niniejsze oświadczenie, podjęte</w:t>
      </w:r>
      <w:r w:rsidR="00326CA7">
        <w:rPr>
          <w:rFonts w:cs="Arial"/>
        </w:rPr>
        <w:t xml:space="preserve"> </w:t>
      </w:r>
      <w:r w:rsidR="00326CA7" w:rsidRPr="00326CA7">
        <w:rPr>
          <w:rFonts w:cs="Arial"/>
        </w:rPr>
        <w:t xml:space="preserve">przez Ministra </w:t>
      </w:r>
      <w:r w:rsidR="00326CA7">
        <w:rPr>
          <w:rFonts w:cs="Arial"/>
        </w:rPr>
        <w:t>Przemysłu</w:t>
      </w:r>
      <w:r w:rsidR="00326CA7" w:rsidRPr="00326CA7">
        <w:rPr>
          <w:rFonts w:cs="Arial"/>
        </w:rPr>
        <w:t xml:space="preserve"> w kierowanej przez niego</w:t>
      </w:r>
      <w:r w:rsidR="00326CA7">
        <w:rPr>
          <w:rFonts w:cs="Arial"/>
        </w:rPr>
        <w:t xml:space="preserve"> </w:t>
      </w:r>
      <w:r w:rsidR="00326CA7" w:rsidRPr="00326CA7">
        <w:rPr>
          <w:rFonts w:cs="Arial"/>
        </w:rPr>
        <w:t>jednostce</w:t>
      </w:r>
      <w:r>
        <w:rPr>
          <w:rFonts w:cs="Arial"/>
        </w:rPr>
        <w:t>.</w:t>
      </w:r>
    </w:p>
    <w:p w14:paraId="0C6A5BF2" w14:textId="77777777" w:rsidR="00D0087A" w:rsidRDefault="00D0087A">
      <w:pPr>
        <w:ind w:left="426" w:hanging="426"/>
        <w:jc w:val="both"/>
        <w:rPr>
          <w:rFonts w:cs="Arial"/>
        </w:rPr>
      </w:pPr>
    </w:p>
    <w:p w14:paraId="471D6B7B" w14:textId="4DD1ABA0" w:rsidR="00D0087A" w:rsidRPr="000A5384" w:rsidRDefault="00326CA7" w:rsidP="007F1BC5">
      <w:pPr>
        <w:pStyle w:val="Akapitzlist"/>
        <w:widowControl/>
        <w:numPr>
          <w:ilvl w:val="0"/>
          <w:numId w:val="22"/>
        </w:numPr>
        <w:ind w:left="426"/>
        <w:rPr>
          <w:rFonts w:cs="Arial"/>
        </w:rPr>
      </w:pPr>
      <w:r w:rsidRPr="000A5384">
        <w:rPr>
          <w:rFonts w:cs="Arial"/>
        </w:rPr>
        <w:t>W</w:t>
      </w:r>
      <w:r w:rsidR="00D0087A" w:rsidRPr="000A5384">
        <w:rPr>
          <w:rFonts w:cs="Arial"/>
        </w:rPr>
        <w:t>drożono nowe zarządzenia</w:t>
      </w:r>
      <w:r w:rsidR="00F8279D" w:rsidRPr="000A5384">
        <w:rPr>
          <w:rFonts w:cs="Arial"/>
        </w:rPr>
        <w:t xml:space="preserve"> w Ministerstwie Przemysłu</w:t>
      </w:r>
      <w:r w:rsidR="00D0087A" w:rsidRPr="000A5384">
        <w:rPr>
          <w:rFonts w:cs="Arial"/>
        </w:rPr>
        <w:t>, w</w:t>
      </w:r>
      <w:r w:rsidRPr="000A5384">
        <w:rPr>
          <w:rFonts w:cs="Arial"/>
        </w:rPr>
        <w:t xml:space="preserve"> </w:t>
      </w:r>
      <w:r w:rsidR="00D0087A" w:rsidRPr="000A5384">
        <w:rPr>
          <w:rFonts w:cs="Arial"/>
        </w:rPr>
        <w:t>szczególności w zakresie:</w:t>
      </w:r>
    </w:p>
    <w:p w14:paraId="4EB1316A" w14:textId="0AD4B50A" w:rsidR="00D0087A" w:rsidRPr="000A5384" w:rsidRDefault="00750367" w:rsidP="007F1BC5">
      <w:pPr>
        <w:pStyle w:val="Akapitzlist"/>
        <w:widowControl/>
        <w:numPr>
          <w:ilvl w:val="0"/>
          <w:numId w:val="23"/>
        </w:numPr>
        <w:rPr>
          <w:rFonts w:cs="Arial"/>
        </w:rPr>
      </w:pPr>
      <w:r w:rsidRPr="000A5384">
        <w:rPr>
          <w:rFonts w:cs="Arial"/>
        </w:rPr>
        <w:t>r</w:t>
      </w:r>
      <w:r w:rsidR="00D0087A" w:rsidRPr="000A5384">
        <w:rPr>
          <w:rFonts w:cs="Arial"/>
        </w:rPr>
        <w:t>egulaminu organizacyjnego Ministerstwa,</w:t>
      </w:r>
    </w:p>
    <w:p w14:paraId="7EC18047" w14:textId="21999A65" w:rsidR="00D0087A" w:rsidRPr="000A5384" w:rsidRDefault="00D0087A" w:rsidP="007F1BC5">
      <w:pPr>
        <w:pStyle w:val="Akapitzlist"/>
        <w:widowControl/>
        <w:numPr>
          <w:ilvl w:val="0"/>
          <w:numId w:val="23"/>
        </w:numPr>
        <w:rPr>
          <w:rFonts w:cs="Arial"/>
        </w:rPr>
      </w:pPr>
      <w:r w:rsidRPr="000A5384">
        <w:rPr>
          <w:rFonts w:cs="Arial"/>
        </w:rPr>
        <w:t>podziału pracy w Ministerstwie,</w:t>
      </w:r>
    </w:p>
    <w:p w14:paraId="18C8A4F9" w14:textId="48F1753C" w:rsidR="00F227EE" w:rsidRPr="000A5384" w:rsidRDefault="00F227EE" w:rsidP="007F1BC5">
      <w:pPr>
        <w:pStyle w:val="Akapitzlist"/>
        <w:widowControl/>
        <w:numPr>
          <w:ilvl w:val="0"/>
          <w:numId w:val="23"/>
        </w:numPr>
        <w:rPr>
          <w:rFonts w:cs="Arial"/>
        </w:rPr>
      </w:pPr>
      <w:r w:rsidRPr="000A5384">
        <w:rPr>
          <w:rFonts w:cs="Arial"/>
        </w:rPr>
        <w:t>wewnętrznych regulaminów organizacyjnych,</w:t>
      </w:r>
    </w:p>
    <w:p w14:paraId="646DAEEF" w14:textId="0472B133" w:rsidR="00F227EE" w:rsidRPr="000A5384" w:rsidRDefault="00F227EE" w:rsidP="007F1BC5">
      <w:pPr>
        <w:pStyle w:val="Akapitzlist"/>
        <w:widowControl/>
        <w:numPr>
          <w:ilvl w:val="0"/>
          <w:numId w:val="23"/>
        </w:numPr>
        <w:rPr>
          <w:rFonts w:cs="Arial"/>
        </w:rPr>
      </w:pPr>
      <w:r w:rsidRPr="000A5384">
        <w:rPr>
          <w:rFonts w:cs="Arial"/>
        </w:rPr>
        <w:t>regulaminu pracy,</w:t>
      </w:r>
    </w:p>
    <w:p w14:paraId="109822F6" w14:textId="31C1D773" w:rsidR="00F227EE" w:rsidRPr="000A5384" w:rsidRDefault="00F227EE" w:rsidP="007F1BC5">
      <w:pPr>
        <w:pStyle w:val="Akapitzlist"/>
        <w:widowControl/>
        <w:numPr>
          <w:ilvl w:val="0"/>
          <w:numId w:val="23"/>
        </w:numPr>
        <w:rPr>
          <w:rFonts w:cs="Arial"/>
        </w:rPr>
      </w:pPr>
      <w:r w:rsidRPr="000A5384">
        <w:rPr>
          <w:rFonts w:cs="Arial"/>
        </w:rPr>
        <w:t>regulaminu określającego zasady wykonywania pracy zdalnej,</w:t>
      </w:r>
    </w:p>
    <w:p w14:paraId="6209E9B5" w14:textId="7BD6FE47" w:rsidR="00D0087A" w:rsidRPr="000A5384" w:rsidRDefault="000A5384" w:rsidP="007F1BC5">
      <w:pPr>
        <w:pStyle w:val="Akapitzlist"/>
        <w:widowControl/>
        <w:numPr>
          <w:ilvl w:val="0"/>
          <w:numId w:val="23"/>
        </w:numPr>
        <w:rPr>
          <w:rFonts w:cs="Arial"/>
        </w:rPr>
      </w:pPr>
      <w:r>
        <w:rPr>
          <w:rFonts w:cs="Arial"/>
        </w:rPr>
        <w:lastRenderedPageBreak/>
        <w:t>i</w:t>
      </w:r>
      <w:r w:rsidR="00D0087A" w:rsidRPr="000A5384">
        <w:rPr>
          <w:rFonts w:cs="Arial"/>
        </w:rPr>
        <w:t>nstrukcji kancelaryjnej, jednolitego rzeczowego wykazu akt</w:t>
      </w:r>
      <w:r w:rsidR="00B73DE3" w:rsidRPr="000A5384">
        <w:rPr>
          <w:rFonts w:cs="Arial"/>
        </w:rPr>
        <w:t>,</w:t>
      </w:r>
    </w:p>
    <w:p w14:paraId="4AD4847A" w14:textId="6C574D11" w:rsidR="00B73DE3" w:rsidRPr="000A5384" w:rsidRDefault="00B73DE3" w:rsidP="007F1BC5">
      <w:pPr>
        <w:pStyle w:val="Akapitzlist"/>
        <w:numPr>
          <w:ilvl w:val="0"/>
          <w:numId w:val="23"/>
        </w:numPr>
        <w:jc w:val="both"/>
        <w:rPr>
          <w:rFonts w:cs="Arial"/>
        </w:rPr>
      </w:pPr>
      <w:r w:rsidRPr="000A5384">
        <w:rPr>
          <w:rFonts w:cs="Arial"/>
        </w:rPr>
        <w:t>regulamin</w:t>
      </w:r>
      <w:r w:rsidR="00750367" w:rsidRPr="000A5384">
        <w:rPr>
          <w:rFonts w:cs="Arial"/>
        </w:rPr>
        <w:t>u</w:t>
      </w:r>
      <w:r w:rsidRPr="000A5384">
        <w:rPr>
          <w:rFonts w:cs="Arial"/>
        </w:rPr>
        <w:t xml:space="preserve"> udzielania zamówień publicznych w trybie ustawy Prawo zamówień publicznych oraz</w:t>
      </w:r>
      <w:r w:rsidR="00750367" w:rsidRPr="000A5384">
        <w:rPr>
          <w:rFonts w:cs="Arial"/>
        </w:rPr>
        <w:t xml:space="preserve"> </w:t>
      </w:r>
      <w:r w:rsidRPr="000A5384">
        <w:rPr>
          <w:rFonts w:cs="Arial"/>
        </w:rPr>
        <w:t>regulamin</w:t>
      </w:r>
      <w:r w:rsidR="00750367" w:rsidRPr="000A5384">
        <w:rPr>
          <w:rFonts w:cs="Arial"/>
        </w:rPr>
        <w:t>u</w:t>
      </w:r>
      <w:r w:rsidRPr="000A5384">
        <w:rPr>
          <w:rFonts w:cs="Arial"/>
        </w:rPr>
        <w:t xml:space="preserve"> udzielania zamówień poniżej 130 tys. złotych, zasad planowania zamówień publicznych w Ministerstwie Przemysłu,</w:t>
      </w:r>
    </w:p>
    <w:p w14:paraId="7BB40625" w14:textId="34B6E50F" w:rsidR="008950CE" w:rsidRPr="000A5384" w:rsidRDefault="008950CE" w:rsidP="007F1BC5">
      <w:pPr>
        <w:pStyle w:val="Akapitzlist"/>
        <w:numPr>
          <w:ilvl w:val="0"/>
          <w:numId w:val="23"/>
        </w:numPr>
        <w:jc w:val="both"/>
      </w:pPr>
      <w:r w:rsidRPr="000A5384">
        <w:rPr>
          <w:rFonts w:cs="Arial"/>
        </w:rPr>
        <w:t>regulaminu w sprawie kontroli zarządczej w Ministerstwie Przemysłu oraz obowiązków jednostek w</w:t>
      </w:r>
      <w:r w:rsidR="007F1BC5">
        <w:rPr>
          <w:rFonts w:cs="Arial"/>
        </w:rPr>
        <w:t> </w:t>
      </w:r>
      <w:r w:rsidRPr="000A5384">
        <w:rPr>
          <w:rFonts w:cs="Arial"/>
        </w:rPr>
        <w:t>dziale administracji rządowej – gospodarka surowcami energetycznymi w ramach kontroli zarządczej,</w:t>
      </w:r>
      <w:r w:rsidRPr="000A5384">
        <w:t xml:space="preserve"> </w:t>
      </w:r>
    </w:p>
    <w:p w14:paraId="41B16F0D" w14:textId="548D97BB" w:rsidR="002F2932" w:rsidRPr="000A5384" w:rsidRDefault="002F2932" w:rsidP="007F1BC5">
      <w:pPr>
        <w:pStyle w:val="Akapitzlist"/>
        <w:numPr>
          <w:ilvl w:val="0"/>
          <w:numId w:val="23"/>
        </w:numPr>
        <w:jc w:val="both"/>
      </w:pPr>
      <w:r w:rsidRPr="000A5384">
        <w:t>zasad przygotowywania i obiegu umów oraz prowadzenia Centralnego Rejestru Umów,</w:t>
      </w:r>
    </w:p>
    <w:p w14:paraId="61A52250" w14:textId="1FAA0542" w:rsidR="00A3651E" w:rsidRPr="000A5384" w:rsidRDefault="00A3651E" w:rsidP="007F1BC5">
      <w:pPr>
        <w:pStyle w:val="Akapitzlist"/>
        <w:numPr>
          <w:ilvl w:val="0"/>
          <w:numId w:val="23"/>
        </w:numPr>
        <w:jc w:val="both"/>
      </w:pPr>
      <w:r w:rsidRPr="000A5384">
        <w:t>regulaminu Zakładowego Funduszu Świadczeń Socjalnych,</w:t>
      </w:r>
    </w:p>
    <w:p w14:paraId="16F7115E" w14:textId="613C31FB" w:rsidR="00A3651E" w:rsidRPr="000A5384" w:rsidRDefault="00A3651E" w:rsidP="007F1BC5">
      <w:pPr>
        <w:pStyle w:val="Akapitzlist"/>
        <w:numPr>
          <w:ilvl w:val="0"/>
          <w:numId w:val="23"/>
        </w:numPr>
        <w:jc w:val="both"/>
      </w:pPr>
      <w:r w:rsidRPr="000A5384">
        <w:t xml:space="preserve">procedur i trybu przyznawania nagród członkom korpusu służby cywilnej i pracownikom niebędącym członkami korpusu służby cywilnej, </w:t>
      </w:r>
    </w:p>
    <w:p w14:paraId="1F61FD38" w14:textId="44952EE6" w:rsidR="00A3651E" w:rsidRPr="000A5384" w:rsidRDefault="00A3651E" w:rsidP="007F1BC5">
      <w:pPr>
        <w:pStyle w:val="Akapitzlist"/>
        <w:numPr>
          <w:ilvl w:val="0"/>
          <w:numId w:val="23"/>
        </w:numPr>
        <w:jc w:val="both"/>
      </w:pPr>
      <w:r w:rsidRPr="000A5384">
        <w:t>zasad wdrożenia Polityki Ochrony Danych Osobowych,</w:t>
      </w:r>
    </w:p>
    <w:p w14:paraId="0D3C1E6B" w14:textId="51D2A7F9" w:rsidR="00A3651E" w:rsidRPr="000A5384" w:rsidRDefault="00A3651E" w:rsidP="007F1BC5">
      <w:pPr>
        <w:pStyle w:val="Akapitzlist"/>
        <w:numPr>
          <w:ilvl w:val="0"/>
          <w:numId w:val="23"/>
        </w:numPr>
        <w:jc w:val="both"/>
      </w:pPr>
      <w:r w:rsidRPr="000A5384">
        <w:t>zasad składania oświadczeń o stanie majątkowym w Ministerstwie Przemysłu,</w:t>
      </w:r>
    </w:p>
    <w:p w14:paraId="5667B6E0" w14:textId="5E3D2DC0" w:rsidR="00A3651E" w:rsidRPr="000A5384" w:rsidRDefault="000A5384" w:rsidP="007F1BC5">
      <w:pPr>
        <w:pStyle w:val="Akapitzlist"/>
        <w:numPr>
          <w:ilvl w:val="0"/>
          <w:numId w:val="23"/>
        </w:numPr>
        <w:jc w:val="both"/>
      </w:pPr>
      <w:r w:rsidRPr="000A5384">
        <w:t>z</w:t>
      </w:r>
      <w:r w:rsidR="00A3651E" w:rsidRPr="000A5384">
        <w:t xml:space="preserve">asad organizacji służby przygotowawczej, </w:t>
      </w:r>
    </w:p>
    <w:p w14:paraId="63DF9E91" w14:textId="65D7DF97" w:rsidR="00A3651E" w:rsidRPr="000A5384" w:rsidRDefault="00A3651E" w:rsidP="007F1BC5">
      <w:pPr>
        <w:pStyle w:val="Akapitzlist"/>
        <w:numPr>
          <w:ilvl w:val="0"/>
          <w:numId w:val="23"/>
        </w:numPr>
        <w:jc w:val="both"/>
      </w:pPr>
      <w:r w:rsidRPr="000A5384">
        <w:t>zasad postępowania ze skargami, wnioskami i petycjami w Ministerstwie,</w:t>
      </w:r>
    </w:p>
    <w:p w14:paraId="14D30FCC" w14:textId="742AD19B" w:rsidR="00A3651E" w:rsidRPr="000A5384" w:rsidRDefault="00A3651E" w:rsidP="007F1BC5">
      <w:pPr>
        <w:pStyle w:val="Akapitzlist"/>
        <w:numPr>
          <w:ilvl w:val="0"/>
          <w:numId w:val="23"/>
        </w:numPr>
        <w:jc w:val="both"/>
        <w:rPr>
          <w:color w:val="000000"/>
        </w:rPr>
      </w:pPr>
      <w:r w:rsidRPr="000A5384">
        <w:rPr>
          <w:color w:val="000000"/>
        </w:rPr>
        <w:t>regulaminu użytkowania samochodów służbowych oraz obsługi transportowej,</w:t>
      </w:r>
    </w:p>
    <w:p w14:paraId="0011C6E7" w14:textId="187A6238" w:rsidR="00A3651E" w:rsidRPr="000A5384" w:rsidRDefault="00A3651E" w:rsidP="007F1BC5">
      <w:pPr>
        <w:pStyle w:val="Akapitzlist"/>
        <w:numPr>
          <w:ilvl w:val="0"/>
          <w:numId w:val="23"/>
        </w:numPr>
        <w:jc w:val="both"/>
        <w:rPr>
          <w:color w:val="000000"/>
        </w:rPr>
      </w:pPr>
      <w:r w:rsidRPr="000A5384">
        <w:rPr>
          <w:color w:val="000000"/>
        </w:rPr>
        <w:t>zasad organizowania i przeprowadzania naboru na wolne stanowiska w Ministerstwie Przemysłu,</w:t>
      </w:r>
    </w:p>
    <w:p w14:paraId="45082B76" w14:textId="45F25CF7" w:rsidR="00A3651E" w:rsidRPr="000A5384" w:rsidRDefault="00A3651E" w:rsidP="007F1BC5">
      <w:pPr>
        <w:pStyle w:val="Akapitzlist"/>
        <w:numPr>
          <w:ilvl w:val="0"/>
          <w:numId w:val="23"/>
        </w:numPr>
        <w:jc w:val="both"/>
        <w:rPr>
          <w:color w:val="000000"/>
        </w:rPr>
      </w:pPr>
      <w:r w:rsidRPr="000A5384">
        <w:rPr>
          <w:color w:val="000000"/>
        </w:rPr>
        <w:t>regulaminu premiowania pracowników,</w:t>
      </w:r>
    </w:p>
    <w:p w14:paraId="504CEAE5" w14:textId="390530DD" w:rsidR="00A3651E" w:rsidRPr="000A5384" w:rsidRDefault="00A3651E" w:rsidP="007F1BC5">
      <w:pPr>
        <w:pStyle w:val="Akapitzlist"/>
        <w:numPr>
          <w:ilvl w:val="0"/>
          <w:numId w:val="23"/>
        </w:numPr>
        <w:jc w:val="both"/>
        <w:rPr>
          <w:color w:val="000000"/>
        </w:rPr>
      </w:pPr>
      <w:r w:rsidRPr="000A5384">
        <w:rPr>
          <w:color w:val="000000"/>
        </w:rPr>
        <w:t>regulamin bezpieczeństwa i higieny pracy</w:t>
      </w:r>
      <w:r w:rsidR="000A5384">
        <w:rPr>
          <w:color w:val="000000"/>
        </w:rPr>
        <w:t>.</w:t>
      </w:r>
    </w:p>
    <w:p w14:paraId="5184EBB1" w14:textId="77777777" w:rsidR="007D14CD" w:rsidRDefault="007D14CD" w:rsidP="00750367">
      <w:pPr>
        <w:jc w:val="both"/>
        <w:rPr>
          <w:rFonts w:cs="Arial"/>
        </w:rPr>
      </w:pPr>
    </w:p>
    <w:p w14:paraId="530B55AB" w14:textId="77777777" w:rsidR="000A5384" w:rsidRPr="000A5384" w:rsidRDefault="005F435E" w:rsidP="007F1BC5">
      <w:pPr>
        <w:pStyle w:val="Akapitzlist"/>
        <w:widowControl/>
        <w:numPr>
          <w:ilvl w:val="0"/>
          <w:numId w:val="22"/>
        </w:numPr>
        <w:ind w:left="426"/>
        <w:jc w:val="both"/>
        <w:rPr>
          <w:rFonts w:cs="Arial"/>
        </w:rPr>
      </w:pPr>
      <w:r w:rsidRPr="000A5384">
        <w:rPr>
          <w:rFonts w:cs="Arial"/>
        </w:rPr>
        <w:t xml:space="preserve">Wdrożono </w:t>
      </w:r>
      <w:r w:rsidR="00F827C5" w:rsidRPr="000A5384">
        <w:rPr>
          <w:rFonts w:cs="Arial"/>
        </w:rPr>
        <w:t>zasady</w:t>
      </w:r>
      <w:r w:rsidR="003930A8" w:rsidRPr="000A5384">
        <w:rPr>
          <w:rFonts w:cs="Arial"/>
        </w:rPr>
        <w:t xml:space="preserve"> </w:t>
      </w:r>
      <w:r w:rsidR="00F827C5" w:rsidRPr="000A5384">
        <w:rPr>
          <w:rFonts w:cs="Arial"/>
        </w:rPr>
        <w:t xml:space="preserve">dotyczące </w:t>
      </w:r>
      <w:r w:rsidR="00863382" w:rsidRPr="000A5384">
        <w:rPr>
          <w:rFonts w:cs="Arial"/>
        </w:rPr>
        <w:t xml:space="preserve">funkcjonowania </w:t>
      </w:r>
      <w:r w:rsidR="00D82A0F" w:rsidRPr="000A5384">
        <w:rPr>
          <w:rFonts w:cs="Arial"/>
        </w:rPr>
        <w:t>procesó</w:t>
      </w:r>
      <w:r w:rsidR="008133F3" w:rsidRPr="000A5384">
        <w:rPr>
          <w:rFonts w:cs="Arial"/>
        </w:rPr>
        <w:t xml:space="preserve">w </w:t>
      </w:r>
      <w:r w:rsidR="00BA010C" w:rsidRPr="000A5384">
        <w:rPr>
          <w:rFonts w:cs="Arial"/>
        </w:rPr>
        <w:t xml:space="preserve">księgowo </w:t>
      </w:r>
      <w:r w:rsidR="00F33889" w:rsidRPr="000A5384">
        <w:rPr>
          <w:rFonts w:cs="Arial"/>
        </w:rPr>
        <w:t xml:space="preserve">- </w:t>
      </w:r>
      <w:r w:rsidR="00BA010C" w:rsidRPr="000A5384">
        <w:rPr>
          <w:rFonts w:cs="Arial"/>
        </w:rPr>
        <w:t xml:space="preserve">finansowych </w:t>
      </w:r>
      <w:r w:rsidR="000C0863" w:rsidRPr="000A5384">
        <w:rPr>
          <w:rFonts w:cs="Arial"/>
        </w:rPr>
        <w:t xml:space="preserve">oraz </w:t>
      </w:r>
      <w:r w:rsidR="00BB3460" w:rsidRPr="000A5384">
        <w:rPr>
          <w:rFonts w:cs="Arial"/>
        </w:rPr>
        <w:t xml:space="preserve">kadrowo- płacowych </w:t>
      </w:r>
      <w:r w:rsidR="00F827C5" w:rsidRPr="000A5384">
        <w:rPr>
          <w:rFonts w:cs="Arial"/>
        </w:rPr>
        <w:t>w Ministerstwie</w:t>
      </w:r>
      <w:r w:rsidR="00BA010C" w:rsidRPr="000A5384">
        <w:rPr>
          <w:rFonts w:cs="Arial"/>
        </w:rPr>
        <w:t>.</w:t>
      </w:r>
    </w:p>
    <w:p w14:paraId="688D2597" w14:textId="77777777" w:rsidR="000A5384" w:rsidRPr="000A5384" w:rsidRDefault="005B060E" w:rsidP="007F1BC5">
      <w:pPr>
        <w:pStyle w:val="Akapitzlist"/>
        <w:widowControl/>
        <w:numPr>
          <w:ilvl w:val="0"/>
          <w:numId w:val="22"/>
        </w:numPr>
        <w:ind w:left="426"/>
        <w:jc w:val="both"/>
        <w:rPr>
          <w:rFonts w:cs="Arial"/>
        </w:rPr>
      </w:pPr>
      <w:r w:rsidRPr="000A5384">
        <w:rPr>
          <w:rFonts w:cs="Arial"/>
        </w:rPr>
        <w:t xml:space="preserve">W celu </w:t>
      </w:r>
      <w:r w:rsidR="001B2D0C" w:rsidRPr="000A5384">
        <w:rPr>
          <w:rFonts w:cs="Arial"/>
        </w:rPr>
        <w:t xml:space="preserve">organizacji pracy w Ministerstwie </w:t>
      </w:r>
      <w:r w:rsidR="001E489C" w:rsidRPr="000A5384">
        <w:rPr>
          <w:rFonts w:cs="Arial"/>
        </w:rPr>
        <w:t xml:space="preserve">następowało </w:t>
      </w:r>
      <w:r w:rsidR="00651AB5" w:rsidRPr="000A5384">
        <w:rPr>
          <w:rFonts w:cs="Arial"/>
        </w:rPr>
        <w:t>urucham</w:t>
      </w:r>
      <w:r w:rsidR="00761C89" w:rsidRPr="000A5384">
        <w:rPr>
          <w:rFonts w:cs="Arial"/>
        </w:rPr>
        <w:t>ianie procesów kadrowych i</w:t>
      </w:r>
      <w:r w:rsidR="001E489C" w:rsidRPr="000A5384">
        <w:rPr>
          <w:rFonts w:cs="Arial"/>
        </w:rPr>
        <w:t xml:space="preserve"> kierowanie pracowników na szkolenia zgodnie z zakresami czynności i realizacją powierzonych zadań</w:t>
      </w:r>
      <w:r w:rsidR="00B80444" w:rsidRPr="000A5384">
        <w:rPr>
          <w:rFonts w:cs="Arial"/>
        </w:rPr>
        <w:t xml:space="preserve"> oraz</w:t>
      </w:r>
      <w:r w:rsidR="00413E99" w:rsidRPr="000A5384">
        <w:rPr>
          <w:rFonts w:cs="Arial"/>
        </w:rPr>
        <w:t xml:space="preserve"> budowan</w:t>
      </w:r>
      <w:r w:rsidR="00873A08" w:rsidRPr="000A5384">
        <w:rPr>
          <w:rFonts w:cs="Arial"/>
        </w:rPr>
        <w:t>o</w:t>
      </w:r>
      <w:r w:rsidR="00413E99" w:rsidRPr="000A5384">
        <w:rPr>
          <w:rFonts w:cs="Arial"/>
        </w:rPr>
        <w:t xml:space="preserve"> standard</w:t>
      </w:r>
      <w:r w:rsidR="00873A08" w:rsidRPr="000A5384">
        <w:rPr>
          <w:rFonts w:cs="Arial"/>
        </w:rPr>
        <w:t>y</w:t>
      </w:r>
      <w:r w:rsidR="00413E99" w:rsidRPr="000A5384">
        <w:rPr>
          <w:rFonts w:cs="Arial"/>
        </w:rPr>
        <w:t xml:space="preserve"> obsługi administracyjnej, </w:t>
      </w:r>
      <w:r w:rsidR="002239E5" w:rsidRPr="000A5384">
        <w:rPr>
          <w:rFonts w:cs="Arial"/>
        </w:rPr>
        <w:t>wdrożono i</w:t>
      </w:r>
      <w:r w:rsidR="008D4D10" w:rsidRPr="000A5384">
        <w:rPr>
          <w:rFonts w:cs="Arial"/>
        </w:rPr>
        <w:t xml:space="preserve"> procedowano system EZD oraz </w:t>
      </w:r>
      <w:r w:rsidR="00413E99" w:rsidRPr="000A5384">
        <w:rPr>
          <w:rFonts w:cs="Arial"/>
        </w:rPr>
        <w:t>wzmacni</w:t>
      </w:r>
      <w:r w:rsidR="00873A08" w:rsidRPr="000A5384">
        <w:rPr>
          <w:rFonts w:cs="Arial"/>
        </w:rPr>
        <w:t>ano</w:t>
      </w:r>
      <w:r w:rsidR="00413E99" w:rsidRPr="000A5384">
        <w:rPr>
          <w:rFonts w:cs="Arial"/>
        </w:rPr>
        <w:t xml:space="preserve"> nadz</w:t>
      </w:r>
      <w:r w:rsidR="00873A08" w:rsidRPr="000A5384">
        <w:rPr>
          <w:rFonts w:cs="Arial"/>
        </w:rPr>
        <w:t>ór</w:t>
      </w:r>
      <w:r w:rsidR="00413E99" w:rsidRPr="000A5384">
        <w:rPr>
          <w:rFonts w:cs="Arial"/>
        </w:rPr>
        <w:t xml:space="preserve"> nad rozliczaniem dokumentów w systemie informatycznym EZD.</w:t>
      </w:r>
      <w:r w:rsidR="00B80444" w:rsidRPr="000A5384">
        <w:rPr>
          <w:rFonts w:cs="Arial"/>
        </w:rPr>
        <w:t xml:space="preserve"> </w:t>
      </w:r>
    </w:p>
    <w:p w14:paraId="2D73B7BB" w14:textId="77777777" w:rsidR="000A5384" w:rsidRPr="000A5384" w:rsidRDefault="00761C89" w:rsidP="007F1BC5">
      <w:pPr>
        <w:pStyle w:val="Akapitzlist"/>
        <w:widowControl/>
        <w:numPr>
          <w:ilvl w:val="0"/>
          <w:numId w:val="22"/>
        </w:numPr>
        <w:ind w:left="426"/>
        <w:jc w:val="both"/>
        <w:rPr>
          <w:rFonts w:cs="Arial"/>
        </w:rPr>
      </w:pPr>
      <w:r w:rsidRPr="000A5384">
        <w:rPr>
          <w:rFonts w:cs="Arial"/>
        </w:rPr>
        <w:t>Przekazan</w:t>
      </w:r>
      <w:r w:rsidR="00131666" w:rsidRPr="000A5384">
        <w:rPr>
          <w:rFonts w:cs="Arial"/>
        </w:rPr>
        <w:t>o</w:t>
      </w:r>
      <w:r w:rsidRPr="000A5384">
        <w:rPr>
          <w:rFonts w:cs="Arial"/>
        </w:rPr>
        <w:t xml:space="preserve"> zalece</w:t>
      </w:r>
      <w:r w:rsidR="008C4256" w:rsidRPr="000A5384">
        <w:rPr>
          <w:rFonts w:cs="Arial"/>
        </w:rPr>
        <w:t>nia</w:t>
      </w:r>
      <w:r w:rsidRPr="000A5384">
        <w:rPr>
          <w:rFonts w:cs="Arial"/>
        </w:rPr>
        <w:t xml:space="preserve"> pokontroln</w:t>
      </w:r>
      <w:r w:rsidR="008C4256" w:rsidRPr="000A5384">
        <w:rPr>
          <w:rFonts w:cs="Arial"/>
        </w:rPr>
        <w:t>e</w:t>
      </w:r>
      <w:r w:rsidRPr="000A5384">
        <w:rPr>
          <w:rFonts w:cs="Arial"/>
        </w:rPr>
        <w:t xml:space="preserve"> do beneficjentów, u których wykryto uchybienia i</w:t>
      </w:r>
      <w:r w:rsidR="00676E64" w:rsidRPr="000A5384">
        <w:rPr>
          <w:rFonts w:cs="Arial"/>
        </w:rPr>
        <w:t xml:space="preserve"> </w:t>
      </w:r>
      <w:r w:rsidRPr="000A5384">
        <w:rPr>
          <w:rFonts w:cs="Arial"/>
        </w:rPr>
        <w:t>nieprawidłowości w wydatkowaniu środków publicznych.</w:t>
      </w:r>
    </w:p>
    <w:p w14:paraId="790A072A" w14:textId="5A182B4D" w:rsidR="000A5384" w:rsidRPr="000A5384" w:rsidRDefault="00D40526" w:rsidP="007F1BC5">
      <w:pPr>
        <w:pStyle w:val="Akapitzlist"/>
        <w:widowControl/>
        <w:numPr>
          <w:ilvl w:val="0"/>
          <w:numId w:val="22"/>
        </w:numPr>
        <w:ind w:left="426"/>
        <w:jc w:val="both"/>
        <w:rPr>
          <w:rFonts w:cs="Arial"/>
        </w:rPr>
      </w:pPr>
      <w:r w:rsidRPr="000A5384">
        <w:rPr>
          <w:color w:val="000000" w:themeColor="text1"/>
        </w:rPr>
        <w:t>W</w:t>
      </w:r>
      <w:r w:rsidR="00711F39" w:rsidRPr="000A5384">
        <w:rPr>
          <w:color w:val="000000" w:themeColor="text1"/>
        </w:rPr>
        <w:t>droż</w:t>
      </w:r>
      <w:r w:rsidR="00131666" w:rsidRPr="000A5384">
        <w:rPr>
          <w:color w:val="000000" w:themeColor="text1"/>
        </w:rPr>
        <w:t>ono</w:t>
      </w:r>
      <w:r w:rsidR="00711F39" w:rsidRPr="000A5384">
        <w:rPr>
          <w:color w:val="000000" w:themeColor="text1"/>
        </w:rPr>
        <w:t xml:space="preserve"> spos</w:t>
      </w:r>
      <w:r w:rsidR="00131666" w:rsidRPr="000A5384">
        <w:rPr>
          <w:color w:val="000000" w:themeColor="text1"/>
        </w:rPr>
        <w:t>ób</w:t>
      </w:r>
      <w:r w:rsidR="00A80F5F" w:rsidRPr="000A5384">
        <w:rPr>
          <w:color w:val="000000" w:themeColor="text1"/>
        </w:rPr>
        <w:t xml:space="preserve"> </w:t>
      </w:r>
      <w:r w:rsidR="00156D6B" w:rsidRPr="000A5384">
        <w:rPr>
          <w:color w:val="000000" w:themeColor="text1"/>
        </w:rPr>
        <w:t xml:space="preserve"> </w:t>
      </w:r>
      <w:r w:rsidR="00711F39" w:rsidRPr="000A5384">
        <w:rPr>
          <w:color w:val="000000" w:themeColor="text1"/>
        </w:rPr>
        <w:t xml:space="preserve">komunikacji w zakresie bieżącego wsparcia </w:t>
      </w:r>
      <w:r w:rsidRPr="000A5384">
        <w:rPr>
          <w:color w:val="000000" w:themeColor="text1"/>
        </w:rPr>
        <w:t xml:space="preserve">organizacyjnego </w:t>
      </w:r>
      <w:r w:rsidR="00711F39" w:rsidRPr="000A5384">
        <w:rPr>
          <w:color w:val="000000" w:themeColor="text1"/>
        </w:rPr>
        <w:t xml:space="preserve">– </w:t>
      </w:r>
      <w:proofErr w:type="spellStart"/>
      <w:r w:rsidR="00711F39" w:rsidRPr="000A5384">
        <w:rPr>
          <w:color w:val="000000" w:themeColor="text1"/>
        </w:rPr>
        <w:t>Helpesk</w:t>
      </w:r>
      <w:proofErr w:type="spellEnd"/>
      <w:r w:rsidR="00711F39" w:rsidRPr="000A5384">
        <w:rPr>
          <w:color w:val="000000" w:themeColor="text1"/>
        </w:rPr>
        <w:t>,</w:t>
      </w:r>
      <w:r w:rsidR="005A0EB7" w:rsidRPr="000A5384">
        <w:rPr>
          <w:color w:val="000000" w:themeColor="text1"/>
        </w:rPr>
        <w:t xml:space="preserve"> </w:t>
      </w:r>
      <w:r w:rsidR="00711F39" w:rsidRPr="000A5384">
        <w:rPr>
          <w:color w:val="000000" w:themeColor="text1"/>
        </w:rPr>
        <w:t>Intranet,</w:t>
      </w:r>
      <w:r w:rsidR="007F1BC5">
        <w:rPr>
          <w:color w:val="000000" w:themeColor="text1"/>
        </w:rPr>
        <w:t xml:space="preserve"> </w:t>
      </w:r>
      <w:proofErr w:type="spellStart"/>
      <w:r w:rsidR="00711F39" w:rsidRPr="000A5384">
        <w:rPr>
          <w:color w:val="000000" w:themeColor="text1"/>
        </w:rPr>
        <w:t>Teams</w:t>
      </w:r>
      <w:proofErr w:type="spellEnd"/>
      <w:r w:rsidRPr="000A5384">
        <w:rPr>
          <w:color w:val="000000" w:themeColor="text1"/>
        </w:rPr>
        <w:t xml:space="preserve">, </w:t>
      </w:r>
      <w:r w:rsidR="00ED347D" w:rsidRPr="000A5384">
        <w:rPr>
          <w:color w:val="000000" w:themeColor="text1"/>
        </w:rPr>
        <w:t xml:space="preserve">oraz </w:t>
      </w:r>
      <w:r w:rsidR="00711F39" w:rsidRPr="000A5384">
        <w:rPr>
          <w:color w:val="000000" w:themeColor="text1"/>
        </w:rPr>
        <w:t>wstępne przygotowanie procedur i wytycznych celem ochrony zasobów informatycznych i</w:t>
      </w:r>
      <w:r w:rsidR="007F1BC5">
        <w:rPr>
          <w:color w:val="000000" w:themeColor="text1"/>
        </w:rPr>
        <w:t> </w:t>
      </w:r>
      <w:r w:rsidR="00711F39" w:rsidRPr="000A5384">
        <w:t>ochrony zasobów IT,</w:t>
      </w:r>
      <w:r w:rsidR="00B6720C" w:rsidRPr="000A5384">
        <w:t xml:space="preserve"> </w:t>
      </w:r>
      <w:r w:rsidR="00711F39" w:rsidRPr="000A5384">
        <w:t>zabezpieczenie pomieszczeń i przygotowanie projektu do przetargu dla kancelarii tajnej i serwerownię,</w:t>
      </w:r>
      <w:r w:rsidR="00B6720C" w:rsidRPr="000A5384">
        <w:t xml:space="preserve"> </w:t>
      </w:r>
      <w:r w:rsidR="005270DB" w:rsidRPr="000A5384">
        <w:t>zinwentaryzowanie</w:t>
      </w:r>
      <w:r w:rsidR="00711F39" w:rsidRPr="000A5384">
        <w:t xml:space="preserve"> oraz weryfikowan</w:t>
      </w:r>
      <w:r w:rsidR="005270DB" w:rsidRPr="000A5384">
        <w:t>ie</w:t>
      </w:r>
      <w:r w:rsidR="00711F39" w:rsidRPr="000A5384">
        <w:t xml:space="preserve"> zasad pozamilitarnego systemu obronnego w Ministerstwie</w:t>
      </w:r>
      <w:r w:rsidR="005A0EB7" w:rsidRPr="000A5384">
        <w:t>.</w:t>
      </w:r>
    </w:p>
    <w:p w14:paraId="5F999C64" w14:textId="77777777" w:rsidR="000A5384" w:rsidRPr="000A5384" w:rsidRDefault="00E65EC9" w:rsidP="007F1BC5">
      <w:pPr>
        <w:pStyle w:val="Akapitzlist"/>
        <w:widowControl/>
        <w:numPr>
          <w:ilvl w:val="0"/>
          <w:numId w:val="22"/>
        </w:numPr>
        <w:ind w:left="426"/>
        <w:jc w:val="both"/>
        <w:rPr>
          <w:rFonts w:cs="Arial"/>
        </w:rPr>
      </w:pPr>
      <w:r w:rsidRPr="000A5384">
        <w:rPr>
          <w:rFonts w:cs="Arial"/>
        </w:rPr>
        <w:t>O</w:t>
      </w:r>
      <w:r w:rsidR="00DD4824" w:rsidRPr="000A5384">
        <w:rPr>
          <w:rFonts w:cs="Arial"/>
        </w:rPr>
        <w:t xml:space="preserve">pracowano „Plan kontroli realizacji zadań obronnych wykonywanych w jednostkach organizacyjnych podległych Ministrowi kierującemu działem administracji rządowej </w:t>
      </w:r>
      <w:r w:rsidR="00DD4824" w:rsidRPr="000A5384">
        <w:rPr>
          <w:rFonts w:cs="Arial"/>
          <w:i/>
          <w:iCs/>
        </w:rPr>
        <w:t>gospodarka surowcami energetycznymi</w:t>
      </w:r>
      <w:r w:rsidR="000A5384" w:rsidRPr="000A5384">
        <w:rPr>
          <w:rFonts w:cs="Arial"/>
        </w:rPr>
        <w:t>.</w:t>
      </w:r>
    </w:p>
    <w:p w14:paraId="1354D1F4" w14:textId="60466278" w:rsidR="000A5384" w:rsidRPr="000A5384" w:rsidRDefault="00E65EC9" w:rsidP="007F1BC5">
      <w:pPr>
        <w:pStyle w:val="Akapitzlist"/>
        <w:widowControl/>
        <w:numPr>
          <w:ilvl w:val="0"/>
          <w:numId w:val="22"/>
        </w:numPr>
        <w:ind w:left="426"/>
        <w:jc w:val="both"/>
        <w:rPr>
          <w:rFonts w:cs="Arial"/>
        </w:rPr>
      </w:pPr>
      <w:r w:rsidRPr="000A5384">
        <w:rPr>
          <w:rFonts w:cs="Arial"/>
        </w:rPr>
        <w:t>Wykonanie projekt</w:t>
      </w:r>
      <w:r w:rsidR="004B3CC1" w:rsidRPr="000A5384">
        <w:rPr>
          <w:rFonts w:cs="Arial"/>
        </w:rPr>
        <w:t>ów</w:t>
      </w:r>
      <w:r w:rsidRPr="000A5384">
        <w:rPr>
          <w:rFonts w:cs="Arial"/>
        </w:rPr>
        <w:t xml:space="preserve"> przebudowy pomieszczeń na potrzeby serwerowni</w:t>
      </w:r>
      <w:r w:rsidR="004B3CC1" w:rsidRPr="000A5384">
        <w:rPr>
          <w:rFonts w:cs="Arial"/>
        </w:rPr>
        <w:t xml:space="preserve"> oraz </w:t>
      </w:r>
      <w:r w:rsidRPr="000A5384">
        <w:rPr>
          <w:rFonts w:cs="Arial"/>
        </w:rPr>
        <w:t>potrzeby kancelarii tajnej</w:t>
      </w:r>
      <w:r w:rsidR="004B3CC1" w:rsidRPr="000A5384">
        <w:rPr>
          <w:rFonts w:cs="Arial"/>
        </w:rPr>
        <w:t>, o</w:t>
      </w:r>
      <w:r w:rsidRPr="000A5384">
        <w:rPr>
          <w:rFonts w:cs="Arial"/>
        </w:rPr>
        <w:t xml:space="preserve">rganizacja pomieszczeń do zapoznawania się z dokumentami zastrzeżonymi; </w:t>
      </w:r>
      <w:r w:rsidR="004B3CC1" w:rsidRPr="000A5384">
        <w:rPr>
          <w:rFonts w:cs="Arial"/>
        </w:rPr>
        <w:t>w</w:t>
      </w:r>
      <w:r w:rsidRPr="000A5384">
        <w:rPr>
          <w:rFonts w:cs="Arial"/>
        </w:rPr>
        <w:t>stępne ustalenia w</w:t>
      </w:r>
      <w:r w:rsidR="007F1BC5">
        <w:rPr>
          <w:rFonts w:cs="Arial"/>
        </w:rPr>
        <w:t> </w:t>
      </w:r>
      <w:r w:rsidRPr="000A5384">
        <w:rPr>
          <w:rFonts w:cs="Arial"/>
        </w:rPr>
        <w:t>zakresie stanowiska komputerowego dla dokumentów zastrzeżonych w MP w Katowicach.</w:t>
      </w:r>
    </w:p>
    <w:p w14:paraId="1ADB9A52" w14:textId="52F16FA4" w:rsidR="00D47015" w:rsidRPr="000A5384" w:rsidRDefault="00AA23F5" w:rsidP="007F1BC5">
      <w:pPr>
        <w:pStyle w:val="Akapitzlist"/>
        <w:widowControl/>
        <w:numPr>
          <w:ilvl w:val="0"/>
          <w:numId w:val="22"/>
        </w:numPr>
        <w:ind w:left="426"/>
        <w:jc w:val="both"/>
        <w:rPr>
          <w:rStyle w:val="eop"/>
          <w:rFonts w:cs="Arial"/>
        </w:rPr>
      </w:pPr>
      <w:r w:rsidRPr="000A5384">
        <w:rPr>
          <w:rStyle w:val="normaltextrun"/>
          <w:rFonts w:cs="Arial"/>
        </w:rPr>
        <w:t>Zi</w:t>
      </w:r>
      <w:r w:rsidR="00D47015" w:rsidRPr="000A5384">
        <w:rPr>
          <w:rStyle w:val="normaltextrun"/>
          <w:rFonts w:cs="Arial"/>
        </w:rPr>
        <w:t>nwentaryzowan</w:t>
      </w:r>
      <w:r w:rsidRPr="000A5384">
        <w:rPr>
          <w:rStyle w:val="normaltextrun"/>
          <w:rFonts w:cs="Arial"/>
        </w:rPr>
        <w:t>o</w:t>
      </w:r>
      <w:r w:rsidR="00D47015" w:rsidRPr="000A5384">
        <w:rPr>
          <w:rStyle w:val="normaltextrun"/>
          <w:rFonts w:cs="Arial"/>
        </w:rPr>
        <w:t xml:space="preserve"> dotychczasowe</w:t>
      </w:r>
      <w:r w:rsidR="00287517" w:rsidRPr="000A5384">
        <w:rPr>
          <w:rStyle w:val="normaltextrun"/>
          <w:rFonts w:cs="Arial"/>
        </w:rPr>
        <w:t xml:space="preserve"> </w:t>
      </w:r>
      <w:r w:rsidR="00D47015" w:rsidRPr="000A5384">
        <w:rPr>
          <w:rStyle w:val="normaltextrun"/>
          <w:rFonts w:cs="Arial"/>
        </w:rPr>
        <w:t>działania związane ze współpracą Ministerstwa z operatorami infrastruktury krytycznej</w:t>
      </w:r>
      <w:r w:rsidRPr="000A5384">
        <w:rPr>
          <w:rStyle w:val="normaltextrun"/>
          <w:rFonts w:cs="Arial"/>
        </w:rPr>
        <w:t>.</w:t>
      </w:r>
    </w:p>
    <w:p w14:paraId="40C7ACC1" w14:textId="77777777" w:rsidR="00A304F6" w:rsidRPr="000A5384" w:rsidRDefault="00A304F6" w:rsidP="005A0EB7">
      <w:pPr>
        <w:jc w:val="both"/>
      </w:pPr>
    </w:p>
    <w:p w14:paraId="4FB76F83" w14:textId="77777777" w:rsidR="00A94C7F" w:rsidRPr="000A5384" w:rsidRDefault="00A94C7F" w:rsidP="00A94C7F">
      <w:pPr>
        <w:widowControl/>
        <w:rPr>
          <w:rFonts w:ascii="Arial-BoldMT" w:hAnsi="Arial-BoldMT" w:cs="Arial-BoldMT"/>
          <w:b/>
          <w:bCs/>
          <w:sz w:val="16"/>
          <w:szCs w:val="16"/>
        </w:rPr>
      </w:pPr>
      <w:r w:rsidRPr="000A5384">
        <w:rPr>
          <w:rFonts w:ascii="Arial-BoldMT" w:hAnsi="Arial-BoldMT" w:cs="Arial-BoldMT"/>
          <w:b/>
          <w:bCs/>
          <w:sz w:val="16"/>
          <w:szCs w:val="16"/>
        </w:rPr>
        <w:t>Objaśnienia:</w:t>
      </w:r>
    </w:p>
    <w:p w14:paraId="4B3DCB47" w14:textId="77777777" w:rsidR="00A94C7F" w:rsidRPr="000A5384" w:rsidRDefault="00A94C7F" w:rsidP="00A94C7F">
      <w:pPr>
        <w:widowControl/>
        <w:rPr>
          <w:rFonts w:ascii="ArialMT" w:hAnsi="ArialMT" w:cs="ArialMT"/>
          <w:sz w:val="16"/>
          <w:szCs w:val="16"/>
        </w:rPr>
      </w:pPr>
      <w:r w:rsidRPr="000A5384">
        <w:rPr>
          <w:rFonts w:ascii="ArialMT" w:hAnsi="ArialMT" w:cs="ArialMT"/>
          <w:sz w:val="10"/>
          <w:szCs w:val="10"/>
        </w:rPr>
        <w:t xml:space="preserve">1) </w:t>
      </w:r>
      <w:r w:rsidRPr="000A5384">
        <w:rPr>
          <w:rFonts w:ascii="ArialMT" w:hAnsi="ArialMT" w:cs="ArialMT"/>
          <w:sz w:val="16"/>
          <w:szCs w:val="16"/>
        </w:rPr>
        <w:t>Należy podać nazwę pełnionej funkcji oraz nazwę komórki organizacyjnej.</w:t>
      </w:r>
    </w:p>
    <w:p w14:paraId="5CEB125D" w14:textId="40567A68" w:rsidR="00A94C7F" w:rsidRPr="000A5384" w:rsidRDefault="00A94C7F" w:rsidP="00A94C7F">
      <w:pPr>
        <w:widowControl/>
        <w:rPr>
          <w:rFonts w:ascii="ArialMT" w:hAnsi="ArialMT" w:cs="ArialMT"/>
          <w:sz w:val="16"/>
          <w:szCs w:val="16"/>
        </w:rPr>
      </w:pPr>
      <w:r w:rsidRPr="000A5384">
        <w:rPr>
          <w:rFonts w:ascii="ArialMT" w:hAnsi="ArialMT" w:cs="ArialMT"/>
          <w:sz w:val="10"/>
          <w:szCs w:val="10"/>
        </w:rPr>
        <w:t xml:space="preserve">2) </w:t>
      </w:r>
      <w:r w:rsidRPr="000A5384">
        <w:rPr>
          <w:rFonts w:ascii="ArialMT" w:hAnsi="ArialMT" w:cs="ArialMT"/>
          <w:sz w:val="16"/>
          <w:szCs w:val="16"/>
        </w:rPr>
        <w:t>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14:paraId="695ED0D2" w14:textId="618A46E2" w:rsidR="00A94C7F" w:rsidRDefault="00A94C7F" w:rsidP="00A94C7F">
      <w:pPr>
        <w:widowControl/>
        <w:rPr>
          <w:rFonts w:ascii="ArialMT" w:hAnsi="ArialMT" w:cs="ArialMT"/>
          <w:sz w:val="16"/>
          <w:szCs w:val="16"/>
        </w:rPr>
      </w:pPr>
      <w:r w:rsidRPr="000A5384">
        <w:rPr>
          <w:rFonts w:ascii="ArialMT" w:hAnsi="ArialMT" w:cs="ArialMT"/>
          <w:sz w:val="10"/>
          <w:szCs w:val="10"/>
        </w:rPr>
        <w:t xml:space="preserve">3) </w:t>
      </w:r>
      <w:r w:rsidRPr="000A5384">
        <w:rPr>
          <w:rFonts w:ascii="ArialMT" w:hAnsi="ArialMT" w:cs="ArialMT"/>
          <w:sz w:val="16"/>
          <w:szCs w:val="16"/>
        </w:rPr>
        <w:t xml:space="preserve">Część A wypełnia </w:t>
      </w:r>
      <w:r>
        <w:rPr>
          <w:rFonts w:ascii="ArialMT" w:hAnsi="ArialMT" w:cs="ArialMT"/>
          <w:sz w:val="16"/>
          <w:szCs w:val="16"/>
        </w:rPr>
        <w:t>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33D561F8" w14:textId="742C828B" w:rsidR="00A94C7F" w:rsidRDefault="00A94C7F" w:rsidP="00A94C7F">
      <w:pPr>
        <w:widowControl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0"/>
          <w:szCs w:val="10"/>
        </w:rPr>
        <w:t xml:space="preserve">4) </w:t>
      </w:r>
      <w:r>
        <w:rPr>
          <w:rFonts w:ascii="ArialMT" w:hAnsi="ArialMT" w:cs="ArialMT"/>
          <w:sz w:val="16"/>
          <w:szCs w:val="16"/>
        </w:rPr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  <w:p w14:paraId="56A6329C" w14:textId="7A8FF186" w:rsidR="00A94C7F" w:rsidRDefault="00A94C7F" w:rsidP="00A94C7F">
      <w:pPr>
        <w:widowControl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0"/>
          <w:szCs w:val="10"/>
        </w:rPr>
        <w:t xml:space="preserve">5) </w:t>
      </w:r>
      <w:r>
        <w:rPr>
          <w:rFonts w:ascii="ArialMT" w:hAnsi="ArialMT" w:cs="ArialMT"/>
          <w:sz w:val="16"/>
          <w:szCs w:val="16"/>
        </w:rPr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40F062A3" w14:textId="77777777" w:rsidR="00A94C7F" w:rsidRDefault="00A94C7F" w:rsidP="00A94C7F">
      <w:pPr>
        <w:widowControl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0"/>
          <w:szCs w:val="10"/>
        </w:rPr>
        <w:t xml:space="preserve">6) </w:t>
      </w:r>
      <w:r>
        <w:rPr>
          <w:rFonts w:ascii="ArialMT" w:hAnsi="ArialMT" w:cs="ArialMT"/>
          <w:sz w:val="16"/>
          <w:szCs w:val="16"/>
        </w:rPr>
        <w:t>Znakiem "X" zaznaczyć odpowiednie wiersze. W przypadku zaznaczenia punktu "innych źródeł informacji" należy je wymienić.</w:t>
      </w:r>
    </w:p>
    <w:p w14:paraId="14A4D777" w14:textId="5C5267B6" w:rsidR="00A94C7F" w:rsidRDefault="00A94C7F" w:rsidP="00A94C7F">
      <w:pPr>
        <w:widowControl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0"/>
          <w:szCs w:val="10"/>
        </w:rPr>
        <w:lastRenderedPageBreak/>
        <w:t xml:space="preserve">7) </w:t>
      </w:r>
      <w:r>
        <w:rPr>
          <w:rFonts w:ascii="ArialMT" w:hAnsi="ArialMT" w:cs="ArialMT"/>
          <w:sz w:val="16"/>
          <w:szCs w:val="16"/>
        </w:rPr>
        <w:t>Standardy kontroli zarządczej dla sektora finansów publicznych ogłoszone przez Ministra Finansów na podstawie art. 69 ust. 3 ustawy</w:t>
      </w:r>
      <w:r w:rsidR="00F5144E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z dnia 27 sierpnia 2009 r. o finansach publicznych.</w:t>
      </w:r>
    </w:p>
    <w:p w14:paraId="12EAB518" w14:textId="77777777" w:rsidR="00A94C7F" w:rsidRDefault="00A94C7F" w:rsidP="00A94C7F">
      <w:pPr>
        <w:widowControl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0"/>
          <w:szCs w:val="10"/>
        </w:rPr>
        <w:t xml:space="preserve">8) </w:t>
      </w:r>
      <w:r>
        <w:rPr>
          <w:rFonts w:ascii="ArialMT" w:hAnsi="ArialMT" w:cs="ArialMT"/>
          <w:sz w:val="16"/>
          <w:szCs w:val="16"/>
        </w:rPr>
        <w:t>Dział II sporządzany jest w przypadku, gdy w dziale I niniejszego oświadczenia zaznaczono część B albo C.</w:t>
      </w:r>
    </w:p>
    <w:p w14:paraId="453BD7E2" w14:textId="776E4381" w:rsidR="00A304F6" w:rsidRPr="00F5144E" w:rsidRDefault="00A94C7F" w:rsidP="00F5144E">
      <w:pPr>
        <w:widowControl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0"/>
          <w:szCs w:val="10"/>
        </w:rPr>
        <w:t xml:space="preserve">9) </w:t>
      </w:r>
      <w:r>
        <w:rPr>
          <w:rFonts w:ascii="ArialMT" w:hAnsi="ArialMT" w:cs="ArialMT"/>
          <w:sz w:val="16"/>
          <w:szCs w:val="16"/>
        </w:rPr>
        <w:t>Dział III sporządza się w przypadku, gdy w dziale I oświadczenia za rok poprzedzający rok, którego dotyczy niniejsze oświadczenie, była</w:t>
      </w:r>
      <w:r w:rsidR="00F5144E"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zaznaczona część B albo C lub gdy w roku, którego dotyczy niniejsze oświadczenie, były podejmowane inne niezaplanowane działania</w:t>
      </w:r>
      <w:r w:rsidR="00F5144E">
        <w:rPr>
          <w:rFonts w:ascii="ArialMT" w:hAnsi="ArialMT" w:cs="ArialMT"/>
          <w:sz w:val="16"/>
          <w:szCs w:val="16"/>
        </w:rPr>
        <w:t xml:space="preserve"> </w:t>
      </w:r>
      <w:r w:rsidR="00246105">
        <w:rPr>
          <w:rFonts w:ascii="ArialMT" w:hAnsi="ArialMT" w:cs="ArialMT"/>
          <w:sz w:val="16"/>
          <w:szCs w:val="16"/>
        </w:rPr>
        <w:t xml:space="preserve">  </w:t>
      </w:r>
      <w:r>
        <w:rPr>
          <w:rFonts w:ascii="ArialMT" w:hAnsi="ArialMT" w:cs="ArialMT"/>
          <w:sz w:val="16"/>
          <w:szCs w:val="16"/>
        </w:rPr>
        <w:t>mające na celu poprawę funkcjonowania kontroli zarządczej.</w:t>
      </w:r>
    </w:p>
    <w:sectPr w:rsidR="00A304F6" w:rsidRPr="00F5144E" w:rsidSect="00D3159D">
      <w:pgSz w:w="12240" w:h="15840"/>
      <w:pgMar w:top="1417" w:right="1183" w:bottom="1276" w:left="15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3FFCE" w14:textId="77777777" w:rsidR="00DA5267" w:rsidRDefault="00DA5267" w:rsidP="008E01F8">
      <w:r>
        <w:separator/>
      </w:r>
    </w:p>
  </w:endnote>
  <w:endnote w:type="continuationSeparator" w:id="0">
    <w:p w14:paraId="2CE280CA" w14:textId="77777777" w:rsidR="00DA5267" w:rsidRDefault="00DA5267" w:rsidP="008E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77A2C" w14:textId="77777777" w:rsidR="00DA5267" w:rsidRDefault="00DA5267" w:rsidP="008E01F8">
      <w:r>
        <w:separator/>
      </w:r>
    </w:p>
  </w:footnote>
  <w:footnote w:type="continuationSeparator" w:id="0">
    <w:p w14:paraId="6F5E2965" w14:textId="77777777" w:rsidR="00DA5267" w:rsidRDefault="00DA5267" w:rsidP="008E0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4F6"/>
    <w:multiLevelType w:val="hybridMultilevel"/>
    <w:tmpl w:val="6E7CF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199"/>
    <w:multiLevelType w:val="hybridMultilevel"/>
    <w:tmpl w:val="06CAEC86"/>
    <w:lvl w:ilvl="0" w:tplc="F670EC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47F60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36BA"/>
    <w:multiLevelType w:val="hybridMultilevel"/>
    <w:tmpl w:val="048A7CCA"/>
    <w:lvl w:ilvl="0" w:tplc="E1A8655A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B49CE"/>
    <w:multiLevelType w:val="hybridMultilevel"/>
    <w:tmpl w:val="B59C9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F0D57"/>
    <w:multiLevelType w:val="hybridMultilevel"/>
    <w:tmpl w:val="C090DEC4"/>
    <w:lvl w:ilvl="0" w:tplc="47F60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00C41"/>
    <w:multiLevelType w:val="hybridMultilevel"/>
    <w:tmpl w:val="1D665B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97CD6"/>
    <w:multiLevelType w:val="hybridMultilevel"/>
    <w:tmpl w:val="DC6CAA36"/>
    <w:lvl w:ilvl="0" w:tplc="B5D08EC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603EB"/>
    <w:multiLevelType w:val="hybridMultilevel"/>
    <w:tmpl w:val="F4063758"/>
    <w:lvl w:ilvl="0" w:tplc="47F60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80BC7"/>
    <w:multiLevelType w:val="hybridMultilevel"/>
    <w:tmpl w:val="5CDE38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F6600"/>
    <w:multiLevelType w:val="hybridMultilevel"/>
    <w:tmpl w:val="5BD8E0B2"/>
    <w:lvl w:ilvl="0" w:tplc="47F60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87BD4"/>
    <w:multiLevelType w:val="hybridMultilevel"/>
    <w:tmpl w:val="9B86FA9C"/>
    <w:lvl w:ilvl="0" w:tplc="47F60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11771"/>
    <w:multiLevelType w:val="hybridMultilevel"/>
    <w:tmpl w:val="B47C9BB8"/>
    <w:lvl w:ilvl="0" w:tplc="74B6ED90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F60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6164A"/>
    <w:multiLevelType w:val="hybridMultilevel"/>
    <w:tmpl w:val="8CE0F888"/>
    <w:lvl w:ilvl="0" w:tplc="47F60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C16D1"/>
    <w:multiLevelType w:val="hybridMultilevel"/>
    <w:tmpl w:val="26529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086797"/>
    <w:multiLevelType w:val="hybridMultilevel"/>
    <w:tmpl w:val="801C2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213E7F"/>
    <w:multiLevelType w:val="hybridMultilevel"/>
    <w:tmpl w:val="8910AD5C"/>
    <w:lvl w:ilvl="0" w:tplc="47F60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10370"/>
    <w:multiLevelType w:val="hybridMultilevel"/>
    <w:tmpl w:val="8CA8B4B0"/>
    <w:lvl w:ilvl="0" w:tplc="47F60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31A8F"/>
    <w:multiLevelType w:val="hybridMultilevel"/>
    <w:tmpl w:val="6840C19C"/>
    <w:lvl w:ilvl="0" w:tplc="47F60C36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8" w15:restartNumberingAfterBreak="0">
    <w:nsid w:val="6C8B6878"/>
    <w:multiLevelType w:val="hybridMultilevel"/>
    <w:tmpl w:val="7E0CF5D8"/>
    <w:lvl w:ilvl="0" w:tplc="BA3295F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0B2E464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75B449DB"/>
    <w:multiLevelType w:val="hybridMultilevel"/>
    <w:tmpl w:val="34B6B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45AF2"/>
    <w:multiLevelType w:val="hybridMultilevel"/>
    <w:tmpl w:val="42481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96D94"/>
    <w:multiLevelType w:val="hybridMultilevel"/>
    <w:tmpl w:val="431A8DBE"/>
    <w:lvl w:ilvl="0" w:tplc="B0CAA56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048FB"/>
    <w:multiLevelType w:val="hybridMultilevel"/>
    <w:tmpl w:val="F7668C7A"/>
    <w:lvl w:ilvl="0" w:tplc="FD6E05AA">
      <w:start w:val="2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729809743">
    <w:abstractNumId w:val="2"/>
  </w:num>
  <w:num w:numId="2" w16cid:durableId="2033265013">
    <w:abstractNumId w:val="8"/>
  </w:num>
  <w:num w:numId="3" w16cid:durableId="1494566126">
    <w:abstractNumId w:val="6"/>
  </w:num>
  <w:num w:numId="4" w16cid:durableId="61561461">
    <w:abstractNumId w:val="3"/>
  </w:num>
  <w:num w:numId="5" w16cid:durableId="1741707421">
    <w:abstractNumId w:val="10"/>
  </w:num>
  <w:num w:numId="6" w16cid:durableId="1665468267">
    <w:abstractNumId w:val="12"/>
  </w:num>
  <w:num w:numId="7" w16cid:durableId="1904680761">
    <w:abstractNumId w:val="22"/>
  </w:num>
  <w:num w:numId="8" w16cid:durableId="1486164889">
    <w:abstractNumId w:val="0"/>
  </w:num>
  <w:num w:numId="9" w16cid:durableId="2136823777">
    <w:abstractNumId w:val="1"/>
  </w:num>
  <w:num w:numId="10" w16cid:durableId="1170023143">
    <w:abstractNumId w:val="7"/>
  </w:num>
  <w:num w:numId="11" w16cid:durableId="998650964">
    <w:abstractNumId w:val="11"/>
  </w:num>
  <w:num w:numId="12" w16cid:durableId="2060207998">
    <w:abstractNumId w:val="17"/>
  </w:num>
  <w:num w:numId="13" w16cid:durableId="763190605">
    <w:abstractNumId w:val="20"/>
  </w:num>
  <w:num w:numId="14" w16cid:durableId="538249108">
    <w:abstractNumId w:val="21"/>
  </w:num>
  <w:num w:numId="15" w16cid:durableId="816529918">
    <w:abstractNumId w:val="18"/>
  </w:num>
  <w:num w:numId="16" w16cid:durableId="15618122">
    <w:abstractNumId w:val="16"/>
  </w:num>
  <w:num w:numId="17" w16cid:durableId="1581674226">
    <w:abstractNumId w:val="5"/>
  </w:num>
  <w:num w:numId="18" w16cid:durableId="6100915">
    <w:abstractNumId w:val="14"/>
  </w:num>
  <w:num w:numId="19" w16cid:durableId="2059889504">
    <w:abstractNumId w:val="4"/>
  </w:num>
  <w:num w:numId="20" w16cid:durableId="61635591">
    <w:abstractNumId w:val="15"/>
  </w:num>
  <w:num w:numId="21" w16cid:durableId="101145427">
    <w:abstractNumId w:val="9"/>
  </w:num>
  <w:num w:numId="22" w16cid:durableId="1688556968">
    <w:abstractNumId w:val="13"/>
  </w:num>
  <w:num w:numId="23" w16cid:durableId="838812785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6C"/>
    <w:rsid w:val="000032D2"/>
    <w:rsid w:val="00006CBF"/>
    <w:rsid w:val="000112BF"/>
    <w:rsid w:val="00013D5C"/>
    <w:rsid w:val="00016CE2"/>
    <w:rsid w:val="000225F3"/>
    <w:rsid w:val="00022A13"/>
    <w:rsid w:val="0005256F"/>
    <w:rsid w:val="0005401B"/>
    <w:rsid w:val="000550C7"/>
    <w:rsid w:val="000567D3"/>
    <w:rsid w:val="00056F42"/>
    <w:rsid w:val="00061EC5"/>
    <w:rsid w:val="00063C91"/>
    <w:rsid w:val="00063CBB"/>
    <w:rsid w:val="00064136"/>
    <w:rsid w:val="00066C4A"/>
    <w:rsid w:val="0007213D"/>
    <w:rsid w:val="00074742"/>
    <w:rsid w:val="00080919"/>
    <w:rsid w:val="00092082"/>
    <w:rsid w:val="000A0969"/>
    <w:rsid w:val="000A5384"/>
    <w:rsid w:val="000A6B2E"/>
    <w:rsid w:val="000B33A1"/>
    <w:rsid w:val="000B5B58"/>
    <w:rsid w:val="000C010C"/>
    <w:rsid w:val="000C05A0"/>
    <w:rsid w:val="000C0863"/>
    <w:rsid w:val="000C3FA2"/>
    <w:rsid w:val="000C4D2B"/>
    <w:rsid w:val="000D78B6"/>
    <w:rsid w:val="000D7C3E"/>
    <w:rsid w:val="000E2D3C"/>
    <w:rsid w:val="000E3892"/>
    <w:rsid w:val="000E4159"/>
    <w:rsid w:val="000F0564"/>
    <w:rsid w:val="000F0FA0"/>
    <w:rsid w:val="000F1E5F"/>
    <w:rsid w:val="000F29E1"/>
    <w:rsid w:val="000F29ED"/>
    <w:rsid w:val="000F4D48"/>
    <w:rsid w:val="00100D8D"/>
    <w:rsid w:val="001024AA"/>
    <w:rsid w:val="00103DA2"/>
    <w:rsid w:val="00105A24"/>
    <w:rsid w:val="001064B8"/>
    <w:rsid w:val="001114C6"/>
    <w:rsid w:val="001121D5"/>
    <w:rsid w:val="001122D8"/>
    <w:rsid w:val="00124C86"/>
    <w:rsid w:val="00125F1A"/>
    <w:rsid w:val="00125FDA"/>
    <w:rsid w:val="00126661"/>
    <w:rsid w:val="00130EDC"/>
    <w:rsid w:val="00131666"/>
    <w:rsid w:val="001327E3"/>
    <w:rsid w:val="001333EF"/>
    <w:rsid w:val="00134AEB"/>
    <w:rsid w:val="00143684"/>
    <w:rsid w:val="00156D6B"/>
    <w:rsid w:val="00157D80"/>
    <w:rsid w:val="001646D7"/>
    <w:rsid w:val="00165446"/>
    <w:rsid w:val="00166177"/>
    <w:rsid w:val="001671B1"/>
    <w:rsid w:val="00172591"/>
    <w:rsid w:val="00185320"/>
    <w:rsid w:val="00185869"/>
    <w:rsid w:val="00186437"/>
    <w:rsid w:val="00187AF8"/>
    <w:rsid w:val="00196762"/>
    <w:rsid w:val="001A25A9"/>
    <w:rsid w:val="001A7056"/>
    <w:rsid w:val="001A7807"/>
    <w:rsid w:val="001B2706"/>
    <w:rsid w:val="001B29BC"/>
    <w:rsid w:val="001B2D0C"/>
    <w:rsid w:val="001B4281"/>
    <w:rsid w:val="001C156A"/>
    <w:rsid w:val="001C20DD"/>
    <w:rsid w:val="001C686B"/>
    <w:rsid w:val="001C765D"/>
    <w:rsid w:val="001D0DC8"/>
    <w:rsid w:val="001D400B"/>
    <w:rsid w:val="001D4B7B"/>
    <w:rsid w:val="001D5201"/>
    <w:rsid w:val="001D58B9"/>
    <w:rsid w:val="001E1D1F"/>
    <w:rsid w:val="001E22E2"/>
    <w:rsid w:val="001E4073"/>
    <w:rsid w:val="001E489C"/>
    <w:rsid w:val="001E7616"/>
    <w:rsid w:val="001F1E6E"/>
    <w:rsid w:val="001F5FE1"/>
    <w:rsid w:val="0020487C"/>
    <w:rsid w:val="002064E0"/>
    <w:rsid w:val="00207F97"/>
    <w:rsid w:val="002109C1"/>
    <w:rsid w:val="002114EC"/>
    <w:rsid w:val="00213B5B"/>
    <w:rsid w:val="00213D2A"/>
    <w:rsid w:val="00215949"/>
    <w:rsid w:val="00216647"/>
    <w:rsid w:val="002172E2"/>
    <w:rsid w:val="00221AE5"/>
    <w:rsid w:val="00221BEF"/>
    <w:rsid w:val="002239E5"/>
    <w:rsid w:val="00223A34"/>
    <w:rsid w:val="00225343"/>
    <w:rsid w:val="002267D9"/>
    <w:rsid w:val="00227C75"/>
    <w:rsid w:val="00230269"/>
    <w:rsid w:val="00230F8F"/>
    <w:rsid w:val="00236E88"/>
    <w:rsid w:val="00245479"/>
    <w:rsid w:val="00246105"/>
    <w:rsid w:val="00246235"/>
    <w:rsid w:val="00251D0C"/>
    <w:rsid w:val="00251F21"/>
    <w:rsid w:val="002549E6"/>
    <w:rsid w:val="00255F3C"/>
    <w:rsid w:val="002626AD"/>
    <w:rsid w:val="00275D72"/>
    <w:rsid w:val="00275E0D"/>
    <w:rsid w:val="0027618F"/>
    <w:rsid w:val="00287517"/>
    <w:rsid w:val="0029188E"/>
    <w:rsid w:val="00291994"/>
    <w:rsid w:val="00295AD1"/>
    <w:rsid w:val="00297378"/>
    <w:rsid w:val="002A1104"/>
    <w:rsid w:val="002A2272"/>
    <w:rsid w:val="002A43BD"/>
    <w:rsid w:val="002A48B9"/>
    <w:rsid w:val="002A52F9"/>
    <w:rsid w:val="002A6D2A"/>
    <w:rsid w:val="002B131E"/>
    <w:rsid w:val="002B7809"/>
    <w:rsid w:val="002C0A9E"/>
    <w:rsid w:val="002C1014"/>
    <w:rsid w:val="002C5CFE"/>
    <w:rsid w:val="002C5F19"/>
    <w:rsid w:val="002D1FD2"/>
    <w:rsid w:val="002D596E"/>
    <w:rsid w:val="002D6283"/>
    <w:rsid w:val="002E2016"/>
    <w:rsid w:val="002E23BE"/>
    <w:rsid w:val="002E37D1"/>
    <w:rsid w:val="002F2932"/>
    <w:rsid w:val="002F357A"/>
    <w:rsid w:val="002F4ACD"/>
    <w:rsid w:val="00303CF5"/>
    <w:rsid w:val="00304F70"/>
    <w:rsid w:val="00306BF2"/>
    <w:rsid w:val="0030725F"/>
    <w:rsid w:val="00312B0F"/>
    <w:rsid w:val="003155DC"/>
    <w:rsid w:val="003215DB"/>
    <w:rsid w:val="00321F79"/>
    <w:rsid w:val="00326CA7"/>
    <w:rsid w:val="00341570"/>
    <w:rsid w:val="003440CE"/>
    <w:rsid w:val="00347876"/>
    <w:rsid w:val="00351FBB"/>
    <w:rsid w:val="00355988"/>
    <w:rsid w:val="00356EBC"/>
    <w:rsid w:val="00361AB1"/>
    <w:rsid w:val="00362609"/>
    <w:rsid w:val="003645DE"/>
    <w:rsid w:val="00365480"/>
    <w:rsid w:val="00365516"/>
    <w:rsid w:val="00371F0B"/>
    <w:rsid w:val="0038029A"/>
    <w:rsid w:val="00382025"/>
    <w:rsid w:val="00383B72"/>
    <w:rsid w:val="003843ED"/>
    <w:rsid w:val="00386CF4"/>
    <w:rsid w:val="003900F7"/>
    <w:rsid w:val="00390F97"/>
    <w:rsid w:val="003930A8"/>
    <w:rsid w:val="00395A9D"/>
    <w:rsid w:val="00396E71"/>
    <w:rsid w:val="00396FE7"/>
    <w:rsid w:val="003A044E"/>
    <w:rsid w:val="003A71D2"/>
    <w:rsid w:val="003B335C"/>
    <w:rsid w:val="003B3438"/>
    <w:rsid w:val="003C4307"/>
    <w:rsid w:val="003D5483"/>
    <w:rsid w:val="003E016C"/>
    <w:rsid w:val="003E154A"/>
    <w:rsid w:val="003E3615"/>
    <w:rsid w:val="003E66AB"/>
    <w:rsid w:val="003E73A4"/>
    <w:rsid w:val="003F5CE4"/>
    <w:rsid w:val="004010D7"/>
    <w:rsid w:val="004027D9"/>
    <w:rsid w:val="00403330"/>
    <w:rsid w:val="00406E7D"/>
    <w:rsid w:val="00411109"/>
    <w:rsid w:val="00413E99"/>
    <w:rsid w:val="00413F8A"/>
    <w:rsid w:val="004163C0"/>
    <w:rsid w:val="00421D63"/>
    <w:rsid w:val="00423445"/>
    <w:rsid w:val="00426C3E"/>
    <w:rsid w:val="00433A9A"/>
    <w:rsid w:val="004472C7"/>
    <w:rsid w:val="0045012A"/>
    <w:rsid w:val="0045318F"/>
    <w:rsid w:val="00455478"/>
    <w:rsid w:val="0045573E"/>
    <w:rsid w:val="00457525"/>
    <w:rsid w:val="00460CE8"/>
    <w:rsid w:val="00460F66"/>
    <w:rsid w:val="004625D9"/>
    <w:rsid w:val="00463A1B"/>
    <w:rsid w:val="00464DFE"/>
    <w:rsid w:val="00470586"/>
    <w:rsid w:val="00471FBF"/>
    <w:rsid w:val="00476028"/>
    <w:rsid w:val="004831C8"/>
    <w:rsid w:val="00483C7B"/>
    <w:rsid w:val="00483F2A"/>
    <w:rsid w:val="00486CB8"/>
    <w:rsid w:val="00492F6E"/>
    <w:rsid w:val="00493A86"/>
    <w:rsid w:val="0049494E"/>
    <w:rsid w:val="004A5BCA"/>
    <w:rsid w:val="004B00F2"/>
    <w:rsid w:val="004B235E"/>
    <w:rsid w:val="004B2D59"/>
    <w:rsid w:val="004B3CC1"/>
    <w:rsid w:val="004C0D97"/>
    <w:rsid w:val="004C208E"/>
    <w:rsid w:val="004C3286"/>
    <w:rsid w:val="004C4BF6"/>
    <w:rsid w:val="004C7818"/>
    <w:rsid w:val="004C78B3"/>
    <w:rsid w:val="004D2D73"/>
    <w:rsid w:val="004D5B66"/>
    <w:rsid w:val="004E1241"/>
    <w:rsid w:val="004E1922"/>
    <w:rsid w:val="004E2C37"/>
    <w:rsid w:val="004E4127"/>
    <w:rsid w:val="004E4969"/>
    <w:rsid w:val="004F05E5"/>
    <w:rsid w:val="004F0CBB"/>
    <w:rsid w:val="004F1D32"/>
    <w:rsid w:val="004F207A"/>
    <w:rsid w:val="004F4E60"/>
    <w:rsid w:val="00500737"/>
    <w:rsid w:val="005019F9"/>
    <w:rsid w:val="00501F6A"/>
    <w:rsid w:val="00510159"/>
    <w:rsid w:val="005113E2"/>
    <w:rsid w:val="00513163"/>
    <w:rsid w:val="005169F1"/>
    <w:rsid w:val="00516C18"/>
    <w:rsid w:val="00520D9E"/>
    <w:rsid w:val="0052245A"/>
    <w:rsid w:val="005270DB"/>
    <w:rsid w:val="005422BE"/>
    <w:rsid w:val="00542C5C"/>
    <w:rsid w:val="00550A64"/>
    <w:rsid w:val="00554750"/>
    <w:rsid w:val="00560512"/>
    <w:rsid w:val="00570B23"/>
    <w:rsid w:val="00580B7A"/>
    <w:rsid w:val="00581959"/>
    <w:rsid w:val="005919E4"/>
    <w:rsid w:val="00594E87"/>
    <w:rsid w:val="005967F8"/>
    <w:rsid w:val="005A04D5"/>
    <w:rsid w:val="005A0EB7"/>
    <w:rsid w:val="005A12B1"/>
    <w:rsid w:val="005A1C33"/>
    <w:rsid w:val="005A3291"/>
    <w:rsid w:val="005A5DCC"/>
    <w:rsid w:val="005A5E09"/>
    <w:rsid w:val="005B060E"/>
    <w:rsid w:val="005B24F7"/>
    <w:rsid w:val="005C08EB"/>
    <w:rsid w:val="005C3BC6"/>
    <w:rsid w:val="005C4D57"/>
    <w:rsid w:val="005C6894"/>
    <w:rsid w:val="005C6AE3"/>
    <w:rsid w:val="005C6DC2"/>
    <w:rsid w:val="005D04D3"/>
    <w:rsid w:val="005D7A45"/>
    <w:rsid w:val="005E7126"/>
    <w:rsid w:val="005F157D"/>
    <w:rsid w:val="005F435E"/>
    <w:rsid w:val="005F55D3"/>
    <w:rsid w:val="005F6D16"/>
    <w:rsid w:val="006010FE"/>
    <w:rsid w:val="00607EA3"/>
    <w:rsid w:val="006110D0"/>
    <w:rsid w:val="00616698"/>
    <w:rsid w:val="0061680E"/>
    <w:rsid w:val="00624262"/>
    <w:rsid w:val="0063125C"/>
    <w:rsid w:val="006318FE"/>
    <w:rsid w:val="00644D4D"/>
    <w:rsid w:val="00645F07"/>
    <w:rsid w:val="006460B6"/>
    <w:rsid w:val="00646784"/>
    <w:rsid w:val="00651634"/>
    <w:rsid w:val="00651AB5"/>
    <w:rsid w:val="00652E7A"/>
    <w:rsid w:val="006545A7"/>
    <w:rsid w:val="00662F89"/>
    <w:rsid w:val="00663028"/>
    <w:rsid w:val="00663674"/>
    <w:rsid w:val="006639EA"/>
    <w:rsid w:val="006648F1"/>
    <w:rsid w:val="0066678D"/>
    <w:rsid w:val="00667889"/>
    <w:rsid w:val="006719CC"/>
    <w:rsid w:val="00671ECD"/>
    <w:rsid w:val="00672169"/>
    <w:rsid w:val="00672BA1"/>
    <w:rsid w:val="00676E64"/>
    <w:rsid w:val="0068660C"/>
    <w:rsid w:val="00691311"/>
    <w:rsid w:val="00692E53"/>
    <w:rsid w:val="00693159"/>
    <w:rsid w:val="00694838"/>
    <w:rsid w:val="006975D4"/>
    <w:rsid w:val="006A30DF"/>
    <w:rsid w:val="006B0681"/>
    <w:rsid w:val="006B7E1E"/>
    <w:rsid w:val="006C0F10"/>
    <w:rsid w:val="006C2D89"/>
    <w:rsid w:val="006C39AB"/>
    <w:rsid w:val="006C6999"/>
    <w:rsid w:val="006D338F"/>
    <w:rsid w:val="006D6534"/>
    <w:rsid w:val="006E1B72"/>
    <w:rsid w:val="006E1F02"/>
    <w:rsid w:val="006E4DBD"/>
    <w:rsid w:val="006E5D9E"/>
    <w:rsid w:val="006E6AE8"/>
    <w:rsid w:val="006E6EF3"/>
    <w:rsid w:val="006E7ACC"/>
    <w:rsid w:val="006E7F0C"/>
    <w:rsid w:val="006F1311"/>
    <w:rsid w:val="006F453F"/>
    <w:rsid w:val="006F69C3"/>
    <w:rsid w:val="006F78A4"/>
    <w:rsid w:val="00700B9A"/>
    <w:rsid w:val="00703D7B"/>
    <w:rsid w:val="0070673D"/>
    <w:rsid w:val="007069F5"/>
    <w:rsid w:val="007111E2"/>
    <w:rsid w:val="00711F39"/>
    <w:rsid w:val="0071373B"/>
    <w:rsid w:val="00716B3C"/>
    <w:rsid w:val="00716C41"/>
    <w:rsid w:val="007219C9"/>
    <w:rsid w:val="00725888"/>
    <w:rsid w:val="00726719"/>
    <w:rsid w:val="00732B12"/>
    <w:rsid w:val="00732BFB"/>
    <w:rsid w:val="007350A4"/>
    <w:rsid w:val="00735BD4"/>
    <w:rsid w:val="00735EA0"/>
    <w:rsid w:val="00742F37"/>
    <w:rsid w:val="00742FFE"/>
    <w:rsid w:val="00746BA3"/>
    <w:rsid w:val="00747BAD"/>
    <w:rsid w:val="00747FB7"/>
    <w:rsid w:val="00750367"/>
    <w:rsid w:val="00750AAA"/>
    <w:rsid w:val="00754997"/>
    <w:rsid w:val="007577B5"/>
    <w:rsid w:val="00761C89"/>
    <w:rsid w:val="007667A8"/>
    <w:rsid w:val="00771754"/>
    <w:rsid w:val="007736CF"/>
    <w:rsid w:val="007860E2"/>
    <w:rsid w:val="00787240"/>
    <w:rsid w:val="00792E69"/>
    <w:rsid w:val="00794530"/>
    <w:rsid w:val="00794AEE"/>
    <w:rsid w:val="00795593"/>
    <w:rsid w:val="00795E67"/>
    <w:rsid w:val="007963A8"/>
    <w:rsid w:val="007966CB"/>
    <w:rsid w:val="007A6E4C"/>
    <w:rsid w:val="007B0224"/>
    <w:rsid w:val="007B63BC"/>
    <w:rsid w:val="007B72DB"/>
    <w:rsid w:val="007C0447"/>
    <w:rsid w:val="007C4007"/>
    <w:rsid w:val="007C4AFC"/>
    <w:rsid w:val="007C4E43"/>
    <w:rsid w:val="007D14CD"/>
    <w:rsid w:val="007D5201"/>
    <w:rsid w:val="007E2FED"/>
    <w:rsid w:val="007E56EF"/>
    <w:rsid w:val="007E5A46"/>
    <w:rsid w:val="007F1BC5"/>
    <w:rsid w:val="007F3ED2"/>
    <w:rsid w:val="007F445B"/>
    <w:rsid w:val="007F5664"/>
    <w:rsid w:val="008011D1"/>
    <w:rsid w:val="008074DC"/>
    <w:rsid w:val="00811FDC"/>
    <w:rsid w:val="0081235B"/>
    <w:rsid w:val="008133F3"/>
    <w:rsid w:val="00817E2B"/>
    <w:rsid w:val="00822C01"/>
    <w:rsid w:val="00830CFB"/>
    <w:rsid w:val="0083157C"/>
    <w:rsid w:val="008318C5"/>
    <w:rsid w:val="0083242A"/>
    <w:rsid w:val="0083535E"/>
    <w:rsid w:val="00836396"/>
    <w:rsid w:val="00842274"/>
    <w:rsid w:val="00845BCB"/>
    <w:rsid w:val="00850A51"/>
    <w:rsid w:val="00850B85"/>
    <w:rsid w:val="0085330C"/>
    <w:rsid w:val="00854A8C"/>
    <w:rsid w:val="00854DA8"/>
    <w:rsid w:val="00857249"/>
    <w:rsid w:val="00863382"/>
    <w:rsid w:val="008705D7"/>
    <w:rsid w:val="00871FD2"/>
    <w:rsid w:val="00873A08"/>
    <w:rsid w:val="008746BA"/>
    <w:rsid w:val="00880E76"/>
    <w:rsid w:val="008851A4"/>
    <w:rsid w:val="008900B6"/>
    <w:rsid w:val="00890F74"/>
    <w:rsid w:val="00892C70"/>
    <w:rsid w:val="008950CE"/>
    <w:rsid w:val="00895E04"/>
    <w:rsid w:val="0089659E"/>
    <w:rsid w:val="008A61BE"/>
    <w:rsid w:val="008A6340"/>
    <w:rsid w:val="008B1164"/>
    <w:rsid w:val="008B5600"/>
    <w:rsid w:val="008B5664"/>
    <w:rsid w:val="008C1955"/>
    <w:rsid w:val="008C4256"/>
    <w:rsid w:val="008D1A36"/>
    <w:rsid w:val="008D318E"/>
    <w:rsid w:val="008D4D10"/>
    <w:rsid w:val="008D62FB"/>
    <w:rsid w:val="008E01F8"/>
    <w:rsid w:val="008E0868"/>
    <w:rsid w:val="008E0ADF"/>
    <w:rsid w:val="008E1C9B"/>
    <w:rsid w:val="008E3089"/>
    <w:rsid w:val="008E4244"/>
    <w:rsid w:val="008E7E7D"/>
    <w:rsid w:val="008F17AC"/>
    <w:rsid w:val="008F4E95"/>
    <w:rsid w:val="008F6BEA"/>
    <w:rsid w:val="008F6DE9"/>
    <w:rsid w:val="00902F82"/>
    <w:rsid w:val="009141D6"/>
    <w:rsid w:val="00915178"/>
    <w:rsid w:val="00916E06"/>
    <w:rsid w:val="00921733"/>
    <w:rsid w:val="00922CE6"/>
    <w:rsid w:val="009230AC"/>
    <w:rsid w:val="00932920"/>
    <w:rsid w:val="009337B3"/>
    <w:rsid w:val="00933B7F"/>
    <w:rsid w:val="0093467E"/>
    <w:rsid w:val="009428D8"/>
    <w:rsid w:val="00944D94"/>
    <w:rsid w:val="00947C98"/>
    <w:rsid w:val="0095250B"/>
    <w:rsid w:val="00955B1E"/>
    <w:rsid w:val="00955F55"/>
    <w:rsid w:val="00956749"/>
    <w:rsid w:val="009567A7"/>
    <w:rsid w:val="00963472"/>
    <w:rsid w:val="0096379D"/>
    <w:rsid w:val="00963F2E"/>
    <w:rsid w:val="009721D5"/>
    <w:rsid w:val="00973A51"/>
    <w:rsid w:val="00975558"/>
    <w:rsid w:val="0098334B"/>
    <w:rsid w:val="00984F6B"/>
    <w:rsid w:val="0098775C"/>
    <w:rsid w:val="00987A99"/>
    <w:rsid w:val="00991478"/>
    <w:rsid w:val="00996BD3"/>
    <w:rsid w:val="009A02DF"/>
    <w:rsid w:val="009A391D"/>
    <w:rsid w:val="009A565A"/>
    <w:rsid w:val="009A62F6"/>
    <w:rsid w:val="009A6923"/>
    <w:rsid w:val="009C2239"/>
    <w:rsid w:val="009C66D0"/>
    <w:rsid w:val="009D0335"/>
    <w:rsid w:val="009D25EA"/>
    <w:rsid w:val="009D4B5E"/>
    <w:rsid w:val="009D5142"/>
    <w:rsid w:val="009D5E09"/>
    <w:rsid w:val="009D6797"/>
    <w:rsid w:val="009D7C8F"/>
    <w:rsid w:val="009E11AB"/>
    <w:rsid w:val="00A00A1C"/>
    <w:rsid w:val="00A0123A"/>
    <w:rsid w:val="00A01BED"/>
    <w:rsid w:val="00A01C8D"/>
    <w:rsid w:val="00A01EE0"/>
    <w:rsid w:val="00A0252D"/>
    <w:rsid w:val="00A1469A"/>
    <w:rsid w:val="00A24595"/>
    <w:rsid w:val="00A2478D"/>
    <w:rsid w:val="00A25C28"/>
    <w:rsid w:val="00A26F34"/>
    <w:rsid w:val="00A304F6"/>
    <w:rsid w:val="00A33CA4"/>
    <w:rsid w:val="00A3651E"/>
    <w:rsid w:val="00A370F8"/>
    <w:rsid w:val="00A40606"/>
    <w:rsid w:val="00A411FE"/>
    <w:rsid w:val="00A42CEF"/>
    <w:rsid w:val="00A46090"/>
    <w:rsid w:val="00A54492"/>
    <w:rsid w:val="00A60518"/>
    <w:rsid w:val="00A64340"/>
    <w:rsid w:val="00A6478D"/>
    <w:rsid w:val="00A733EB"/>
    <w:rsid w:val="00A74908"/>
    <w:rsid w:val="00A77277"/>
    <w:rsid w:val="00A80807"/>
    <w:rsid w:val="00A80F5F"/>
    <w:rsid w:val="00A84498"/>
    <w:rsid w:val="00A8499A"/>
    <w:rsid w:val="00A94C7F"/>
    <w:rsid w:val="00A97DFB"/>
    <w:rsid w:val="00AA23F5"/>
    <w:rsid w:val="00AA63C9"/>
    <w:rsid w:val="00AA691C"/>
    <w:rsid w:val="00AB0641"/>
    <w:rsid w:val="00AB1FBD"/>
    <w:rsid w:val="00AB5995"/>
    <w:rsid w:val="00AB797E"/>
    <w:rsid w:val="00AC42EE"/>
    <w:rsid w:val="00AC6B2C"/>
    <w:rsid w:val="00AD030E"/>
    <w:rsid w:val="00AD0590"/>
    <w:rsid w:val="00AD5C7D"/>
    <w:rsid w:val="00AD76E6"/>
    <w:rsid w:val="00AE0649"/>
    <w:rsid w:val="00AE092A"/>
    <w:rsid w:val="00AE2058"/>
    <w:rsid w:val="00AE25AB"/>
    <w:rsid w:val="00AE3834"/>
    <w:rsid w:val="00AE3FD1"/>
    <w:rsid w:val="00AE54B6"/>
    <w:rsid w:val="00AE5E3E"/>
    <w:rsid w:val="00AF07C5"/>
    <w:rsid w:val="00AF09AA"/>
    <w:rsid w:val="00AF65D6"/>
    <w:rsid w:val="00AF7BC0"/>
    <w:rsid w:val="00B003C1"/>
    <w:rsid w:val="00B069C3"/>
    <w:rsid w:val="00B0716B"/>
    <w:rsid w:val="00B124E1"/>
    <w:rsid w:val="00B148C9"/>
    <w:rsid w:val="00B177DF"/>
    <w:rsid w:val="00B23077"/>
    <w:rsid w:val="00B23C0A"/>
    <w:rsid w:val="00B27ADA"/>
    <w:rsid w:val="00B34395"/>
    <w:rsid w:val="00B35DC2"/>
    <w:rsid w:val="00B40C18"/>
    <w:rsid w:val="00B417F7"/>
    <w:rsid w:val="00B4636E"/>
    <w:rsid w:val="00B504F7"/>
    <w:rsid w:val="00B53C1B"/>
    <w:rsid w:val="00B61CCD"/>
    <w:rsid w:val="00B66C6C"/>
    <w:rsid w:val="00B66DA4"/>
    <w:rsid w:val="00B6720C"/>
    <w:rsid w:val="00B720D7"/>
    <w:rsid w:val="00B73DE3"/>
    <w:rsid w:val="00B758FE"/>
    <w:rsid w:val="00B7630F"/>
    <w:rsid w:val="00B80444"/>
    <w:rsid w:val="00B93030"/>
    <w:rsid w:val="00B96160"/>
    <w:rsid w:val="00B96224"/>
    <w:rsid w:val="00BA010C"/>
    <w:rsid w:val="00BA4638"/>
    <w:rsid w:val="00BB0720"/>
    <w:rsid w:val="00BB174D"/>
    <w:rsid w:val="00BB2A0E"/>
    <w:rsid w:val="00BB3460"/>
    <w:rsid w:val="00BB52F6"/>
    <w:rsid w:val="00BB747B"/>
    <w:rsid w:val="00BB755A"/>
    <w:rsid w:val="00BB7817"/>
    <w:rsid w:val="00BC4E23"/>
    <w:rsid w:val="00BC7AD6"/>
    <w:rsid w:val="00BD1778"/>
    <w:rsid w:val="00BD2FA8"/>
    <w:rsid w:val="00BD57DA"/>
    <w:rsid w:val="00BE0869"/>
    <w:rsid w:val="00BE0A07"/>
    <w:rsid w:val="00BE37A5"/>
    <w:rsid w:val="00BE506D"/>
    <w:rsid w:val="00BF18B4"/>
    <w:rsid w:val="00BF3074"/>
    <w:rsid w:val="00BF4EB2"/>
    <w:rsid w:val="00C03DF7"/>
    <w:rsid w:val="00C044AD"/>
    <w:rsid w:val="00C139B2"/>
    <w:rsid w:val="00C1707F"/>
    <w:rsid w:val="00C20395"/>
    <w:rsid w:val="00C203E2"/>
    <w:rsid w:val="00C23140"/>
    <w:rsid w:val="00C23F46"/>
    <w:rsid w:val="00C27020"/>
    <w:rsid w:val="00C30A52"/>
    <w:rsid w:val="00C37962"/>
    <w:rsid w:val="00C37A6C"/>
    <w:rsid w:val="00C37F6B"/>
    <w:rsid w:val="00C4158F"/>
    <w:rsid w:val="00C424AE"/>
    <w:rsid w:val="00C50494"/>
    <w:rsid w:val="00C53987"/>
    <w:rsid w:val="00C57044"/>
    <w:rsid w:val="00C76F93"/>
    <w:rsid w:val="00C843EA"/>
    <w:rsid w:val="00C9408D"/>
    <w:rsid w:val="00C964EA"/>
    <w:rsid w:val="00C97191"/>
    <w:rsid w:val="00CA5B5D"/>
    <w:rsid w:val="00CB37A7"/>
    <w:rsid w:val="00CB4274"/>
    <w:rsid w:val="00CC0B84"/>
    <w:rsid w:val="00CC3319"/>
    <w:rsid w:val="00CC5D9C"/>
    <w:rsid w:val="00CC68C6"/>
    <w:rsid w:val="00CD120F"/>
    <w:rsid w:val="00CD5C1B"/>
    <w:rsid w:val="00CD68C4"/>
    <w:rsid w:val="00CD72C0"/>
    <w:rsid w:val="00CD7E63"/>
    <w:rsid w:val="00CE18F5"/>
    <w:rsid w:val="00CF0F83"/>
    <w:rsid w:val="00CF4E3A"/>
    <w:rsid w:val="00CF5B93"/>
    <w:rsid w:val="00D0087A"/>
    <w:rsid w:val="00D013DE"/>
    <w:rsid w:val="00D019E2"/>
    <w:rsid w:val="00D06579"/>
    <w:rsid w:val="00D140BC"/>
    <w:rsid w:val="00D22A82"/>
    <w:rsid w:val="00D3051D"/>
    <w:rsid w:val="00D3159D"/>
    <w:rsid w:val="00D32DB6"/>
    <w:rsid w:val="00D332F4"/>
    <w:rsid w:val="00D349F9"/>
    <w:rsid w:val="00D35E61"/>
    <w:rsid w:val="00D40526"/>
    <w:rsid w:val="00D47015"/>
    <w:rsid w:val="00D537DF"/>
    <w:rsid w:val="00D53C2A"/>
    <w:rsid w:val="00D53E95"/>
    <w:rsid w:val="00D56A70"/>
    <w:rsid w:val="00D57E8D"/>
    <w:rsid w:val="00D60EAA"/>
    <w:rsid w:val="00D62546"/>
    <w:rsid w:val="00D75801"/>
    <w:rsid w:val="00D7698D"/>
    <w:rsid w:val="00D81AEB"/>
    <w:rsid w:val="00D82575"/>
    <w:rsid w:val="00D82A0F"/>
    <w:rsid w:val="00D82CDB"/>
    <w:rsid w:val="00D83868"/>
    <w:rsid w:val="00D83A88"/>
    <w:rsid w:val="00DA19AC"/>
    <w:rsid w:val="00DA3EF6"/>
    <w:rsid w:val="00DA44F9"/>
    <w:rsid w:val="00DA5087"/>
    <w:rsid w:val="00DA5267"/>
    <w:rsid w:val="00DA7EF3"/>
    <w:rsid w:val="00DB0730"/>
    <w:rsid w:val="00DB1AB3"/>
    <w:rsid w:val="00DB1BBC"/>
    <w:rsid w:val="00DB498E"/>
    <w:rsid w:val="00DC4A63"/>
    <w:rsid w:val="00DD0EF9"/>
    <w:rsid w:val="00DD1404"/>
    <w:rsid w:val="00DD434F"/>
    <w:rsid w:val="00DD4824"/>
    <w:rsid w:val="00DD7BB0"/>
    <w:rsid w:val="00DE3397"/>
    <w:rsid w:val="00DE400C"/>
    <w:rsid w:val="00DE5CE6"/>
    <w:rsid w:val="00DE62DB"/>
    <w:rsid w:val="00DF202D"/>
    <w:rsid w:val="00DF251F"/>
    <w:rsid w:val="00DF56E3"/>
    <w:rsid w:val="00E05E81"/>
    <w:rsid w:val="00E160BC"/>
    <w:rsid w:val="00E1694A"/>
    <w:rsid w:val="00E16C75"/>
    <w:rsid w:val="00E22B74"/>
    <w:rsid w:val="00E23F22"/>
    <w:rsid w:val="00E24831"/>
    <w:rsid w:val="00E25253"/>
    <w:rsid w:val="00E35CAE"/>
    <w:rsid w:val="00E36DE9"/>
    <w:rsid w:val="00E44DE9"/>
    <w:rsid w:val="00E4712D"/>
    <w:rsid w:val="00E52E19"/>
    <w:rsid w:val="00E53133"/>
    <w:rsid w:val="00E567D3"/>
    <w:rsid w:val="00E56BB4"/>
    <w:rsid w:val="00E57D8E"/>
    <w:rsid w:val="00E62E52"/>
    <w:rsid w:val="00E648CD"/>
    <w:rsid w:val="00E64FA1"/>
    <w:rsid w:val="00E65EC9"/>
    <w:rsid w:val="00E66424"/>
    <w:rsid w:val="00E6786D"/>
    <w:rsid w:val="00E67B1D"/>
    <w:rsid w:val="00E706AE"/>
    <w:rsid w:val="00E7080B"/>
    <w:rsid w:val="00E901AF"/>
    <w:rsid w:val="00E91820"/>
    <w:rsid w:val="00E93D83"/>
    <w:rsid w:val="00E95692"/>
    <w:rsid w:val="00E96A6F"/>
    <w:rsid w:val="00E97B61"/>
    <w:rsid w:val="00EA19A8"/>
    <w:rsid w:val="00EA461A"/>
    <w:rsid w:val="00EA5466"/>
    <w:rsid w:val="00EB2FFB"/>
    <w:rsid w:val="00EB3BE9"/>
    <w:rsid w:val="00EB7507"/>
    <w:rsid w:val="00EB7B63"/>
    <w:rsid w:val="00EC196B"/>
    <w:rsid w:val="00ED14E2"/>
    <w:rsid w:val="00ED1862"/>
    <w:rsid w:val="00ED2E93"/>
    <w:rsid w:val="00ED347D"/>
    <w:rsid w:val="00ED39F1"/>
    <w:rsid w:val="00EE14FE"/>
    <w:rsid w:val="00EE3576"/>
    <w:rsid w:val="00EF128A"/>
    <w:rsid w:val="00EF1D3A"/>
    <w:rsid w:val="00EF2359"/>
    <w:rsid w:val="00EF2ABE"/>
    <w:rsid w:val="00EF6042"/>
    <w:rsid w:val="00EF61E8"/>
    <w:rsid w:val="00F00E42"/>
    <w:rsid w:val="00F00F18"/>
    <w:rsid w:val="00F07840"/>
    <w:rsid w:val="00F17CAE"/>
    <w:rsid w:val="00F201AF"/>
    <w:rsid w:val="00F227EE"/>
    <w:rsid w:val="00F23393"/>
    <w:rsid w:val="00F26965"/>
    <w:rsid w:val="00F27DB6"/>
    <w:rsid w:val="00F317F3"/>
    <w:rsid w:val="00F31921"/>
    <w:rsid w:val="00F33889"/>
    <w:rsid w:val="00F368FE"/>
    <w:rsid w:val="00F375CB"/>
    <w:rsid w:val="00F37C48"/>
    <w:rsid w:val="00F40E4A"/>
    <w:rsid w:val="00F44543"/>
    <w:rsid w:val="00F479FB"/>
    <w:rsid w:val="00F50EE1"/>
    <w:rsid w:val="00F5144E"/>
    <w:rsid w:val="00F529B7"/>
    <w:rsid w:val="00F52A49"/>
    <w:rsid w:val="00F549AC"/>
    <w:rsid w:val="00F574C4"/>
    <w:rsid w:val="00F57D48"/>
    <w:rsid w:val="00F57EFD"/>
    <w:rsid w:val="00F6312A"/>
    <w:rsid w:val="00F650D4"/>
    <w:rsid w:val="00F673B3"/>
    <w:rsid w:val="00F67824"/>
    <w:rsid w:val="00F7215E"/>
    <w:rsid w:val="00F745F5"/>
    <w:rsid w:val="00F803A7"/>
    <w:rsid w:val="00F8279D"/>
    <w:rsid w:val="00F827C5"/>
    <w:rsid w:val="00F8581A"/>
    <w:rsid w:val="00F9011A"/>
    <w:rsid w:val="00FA291D"/>
    <w:rsid w:val="00FB217D"/>
    <w:rsid w:val="00FB27CD"/>
    <w:rsid w:val="00FB293D"/>
    <w:rsid w:val="00FB5C70"/>
    <w:rsid w:val="00FB615D"/>
    <w:rsid w:val="00FB7D86"/>
    <w:rsid w:val="00FC33BA"/>
    <w:rsid w:val="00FC4630"/>
    <w:rsid w:val="00FD5592"/>
    <w:rsid w:val="00FE1BCD"/>
    <w:rsid w:val="00FE4B4A"/>
    <w:rsid w:val="00FE62AA"/>
    <w:rsid w:val="00FF0615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DD6F58"/>
  <w14:defaultImageDpi w14:val="0"/>
  <w15:docId w15:val="{7D187F80-2C98-436A-94AD-FA2F9BD4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Teksttreci">
    <w:name w:val="Tekst treści_"/>
    <w:link w:val="Teksttreci0"/>
    <w:rsid w:val="006C0F10"/>
  </w:style>
  <w:style w:type="paragraph" w:customStyle="1" w:styleId="Teksttreci0">
    <w:name w:val="Tekst treści"/>
    <w:basedOn w:val="Normalny"/>
    <w:link w:val="Teksttreci"/>
    <w:rsid w:val="006C0F10"/>
    <w:pPr>
      <w:autoSpaceDE/>
      <w:autoSpaceDN/>
      <w:adjustRightInd/>
      <w:spacing w:line="360" w:lineRule="auto"/>
      <w:ind w:firstLine="400"/>
    </w:pPr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D140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47876"/>
    <w:pPr>
      <w:ind w:left="720"/>
      <w:contextualSpacing/>
    </w:pPr>
  </w:style>
  <w:style w:type="character" w:customStyle="1" w:styleId="normaltextrun">
    <w:name w:val="normaltextrun"/>
    <w:basedOn w:val="Domylnaczcionkaakapitu"/>
    <w:rsid w:val="00947C98"/>
    <w:rPr>
      <w:rFonts w:cs="Times New Roman"/>
    </w:rPr>
  </w:style>
  <w:style w:type="character" w:customStyle="1" w:styleId="eop">
    <w:name w:val="eop"/>
    <w:basedOn w:val="Domylnaczcionkaakapitu"/>
    <w:rsid w:val="00947C98"/>
    <w:rPr>
      <w:rFonts w:cs="Times New Roman"/>
    </w:rPr>
  </w:style>
  <w:style w:type="character" w:customStyle="1" w:styleId="scxw247032215">
    <w:name w:val="scxw247032215"/>
    <w:basedOn w:val="Domylnaczcionkaakapitu"/>
    <w:rsid w:val="00947C98"/>
    <w:rPr>
      <w:rFonts w:cs="Times New Roman"/>
    </w:rPr>
  </w:style>
  <w:style w:type="character" w:customStyle="1" w:styleId="scxw143217229">
    <w:name w:val="scxw143217229"/>
    <w:basedOn w:val="Domylnaczcionkaakapitu"/>
    <w:rsid w:val="00D47015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8E0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01F8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8E0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01F8"/>
    <w:rPr>
      <w:rFonts w:ascii="Arial" w:hAnsi="Arial"/>
    </w:rPr>
  </w:style>
  <w:style w:type="paragraph" w:styleId="Bezodstpw">
    <w:name w:val="No Spacing"/>
    <w:uiPriority w:val="1"/>
    <w:qFormat/>
    <w:rsid w:val="008E01F8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2640</Words>
  <Characters>15841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/>
  <LinksUpToDate>false</LinksUpToDate>
  <CharactersWithSpaces>18445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</dc:title>
  <dc:subject/>
  <dc:creator>Izabela Orłowska</dc:creator>
  <cp:keywords/>
  <dc:description/>
  <cp:lastModifiedBy>Anna Knaś</cp:lastModifiedBy>
  <cp:revision>2</cp:revision>
  <cp:lastPrinted>2025-04-24T12:32:00Z</cp:lastPrinted>
  <dcterms:created xsi:type="dcterms:W3CDTF">2025-04-30T05:00:00Z</dcterms:created>
  <dcterms:modified xsi:type="dcterms:W3CDTF">2025-04-30T05:00:00Z</dcterms:modified>
</cp:coreProperties>
</file>