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D3BA" w14:textId="77777777" w:rsidR="00980A5E" w:rsidRDefault="00980A5E" w:rsidP="00A5498B">
      <w:pPr>
        <w:pStyle w:val="Para"/>
        <w:rPr>
          <w:b/>
          <w:bCs/>
          <w:sz w:val="32"/>
          <w:szCs w:val="32"/>
          <w:lang w:val="pl-PL"/>
        </w:rPr>
      </w:pPr>
    </w:p>
    <w:p w14:paraId="7603EFA2" w14:textId="73117999" w:rsidR="00A5498B" w:rsidRPr="00271D0C" w:rsidRDefault="00A5498B" w:rsidP="00A5498B">
      <w:pPr>
        <w:pStyle w:val="Para"/>
        <w:rPr>
          <w:b/>
          <w:bCs/>
          <w:sz w:val="32"/>
          <w:szCs w:val="32"/>
          <w:lang w:val="pl-PL"/>
        </w:rPr>
      </w:pPr>
      <w:r w:rsidRPr="00271D0C">
        <w:rPr>
          <w:b/>
          <w:bCs/>
          <w:sz w:val="32"/>
          <w:szCs w:val="32"/>
          <w:lang w:val="pl-PL"/>
        </w:rPr>
        <w:t xml:space="preserve">Pierwszy </w:t>
      </w:r>
      <w:r w:rsidR="00E4267E" w:rsidRPr="00271D0C">
        <w:rPr>
          <w:b/>
          <w:bCs/>
          <w:sz w:val="32"/>
          <w:szCs w:val="32"/>
          <w:lang w:val="pl-PL"/>
        </w:rPr>
        <w:t xml:space="preserve">roczny </w:t>
      </w:r>
      <w:r w:rsidRPr="00271D0C">
        <w:rPr>
          <w:b/>
          <w:bCs/>
          <w:sz w:val="32"/>
          <w:szCs w:val="32"/>
          <w:lang w:val="pl-PL"/>
        </w:rPr>
        <w:t>plan działań wdrażania Krajowej Strategii Edukacji Finansowej – do 31 grudnia 2025 r.</w:t>
      </w:r>
    </w:p>
    <w:p w14:paraId="204BACDE" w14:textId="53A1A6F4" w:rsidR="00A5498B" w:rsidRPr="00271D0C" w:rsidRDefault="00CB127D" w:rsidP="00E02324">
      <w:pPr>
        <w:pStyle w:val="Para"/>
        <w:rPr>
          <w:sz w:val="22"/>
          <w:lang w:val="pl-PL"/>
        </w:rPr>
      </w:pPr>
      <w:r w:rsidRPr="00271D0C">
        <w:rPr>
          <w:sz w:val="22"/>
          <w:lang w:val="pl-PL"/>
        </w:rPr>
        <w:t>O</w:t>
      </w:r>
      <w:r w:rsidR="00A5498B" w:rsidRPr="00271D0C">
        <w:rPr>
          <w:sz w:val="22"/>
          <w:lang w:val="pl-PL"/>
        </w:rPr>
        <w:t xml:space="preserve">pracowany przez Komitet Wdrażający </w:t>
      </w:r>
      <w:r w:rsidR="005B63CD" w:rsidRPr="00271D0C">
        <w:rPr>
          <w:sz w:val="22"/>
          <w:lang w:val="pl-PL"/>
        </w:rPr>
        <w:t xml:space="preserve">Krajową </w:t>
      </w:r>
      <w:r w:rsidR="00A5498B" w:rsidRPr="00271D0C">
        <w:rPr>
          <w:sz w:val="22"/>
          <w:lang w:val="pl-PL"/>
        </w:rPr>
        <w:t xml:space="preserve">Strategię </w:t>
      </w:r>
      <w:r w:rsidR="005B63CD" w:rsidRPr="00271D0C">
        <w:rPr>
          <w:sz w:val="22"/>
          <w:lang w:val="pl-PL"/>
        </w:rPr>
        <w:t xml:space="preserve">Edukacji Finansowej </w:t>
      </w:r>
      <w:r w:rsidR="00A5498B" w:rsidRPr="00271D0C">
        <w:rPr>
          <w:sz w:val="22"/>
          <w:lang w:val="pl-PL"/>
        </w:rPr>
        <w:t>oraz</w:t>
      </w:r>
      <w:r w:rsidR="005B63CD" w:rsidRPr="00271D0C">
        <w:rPr>
          <w:sz w:val="22"/>
          <w:lang w:val="pl-PL"/>
        </w:rPr>
        <w:t xml:space="preserve"> zatwierdzony przez </w:t>
      </w:r>
      <w:r w:rsidR="00A5498B" w:rsidRPr="00271D0C">
        <w:rPr>
          <w:sz w:val="22"/>
          <w:lang w:val="pl-PL"/>
        </w:rPr>
        <w:t>Radę Edukacji Finansowej</w:t>
      </w:r>
      <w:bookmarkStart w:id="0" w:name="_Hlk130804490"/>
    </w:p>
    <w:p w14:paraId="01F99635" w14:textId="387FF125" w:rsidR="00E02324" w:rsidRPr="00271D0C" w:rsidRDefault="00BE05AA" w:rsidP="00BE05AA">
      <w:pPr>
        <w:pStyle w:val="Para"/>
        <w:spacing w:before="0" w:after="0" w:line="240" w:lineRule="auto"/>
        <w:rPr>
          <w:u w:val="single"/>
          <w:lang w:val="pl-PL"/>
        </w:rPr>
      </w:pPr>
      <w:r w:rsidRPr="00271D0C">
        <w:rPr>
          <w:u w:val="single"/>
          <w:lang w:val="pl-PL"/>
        </w:rPr>
        <w:t xml:space="preserve">Skróty </w:t>
      </w:r>
      <w:r w:rsidR="00E20B04" w:rsidRPr="00271D0C">
        <w:rPr>
          <w:u w:val="single"/>
          <w:lang w:val="pl-PL"/>
        </w:rPr>
        <w:t xml:space="preserve">występujące </w:t>
      </w:r>
      <w:r w:rsidRPr="00271D0C">
        <w:rPr>
          <w:u w:val="single"/>
          <w:lang w:val="pl-PL"/>
        </w:rPr>
        <w:t>w tabeli:</w:t>
      </w:r>
    </w:p>
    <w:p w14:paraId="7032FE24" w14:textId="30B5C41C" w:rsidR="00BE05AA" w:rsidRPr="00271D0C" w:rsidRDefault="00BE05AA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FEF – Fundusz Edukacji Finansowej</w:t>
      </w:r>
    </w:p>
    <w:p w14:paraId="48312616" w14:textId="4A1B8D18" w:rsidR="00BE05AA" w:rsidRPr="00271D0C" w:rsidRDefault="00BE05AA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KW – Komitet Wdrażający Krajową Strategię Edukacji Finansowej</w:t>
      </w:r>
    </w:p>
    <w:p w14:paraId="64EED9B1" w14:textId="3B5E8602" w:rsidR="00BE05AA" w:rsidRPr="00271D0C" w:rsidRDefault="00BE05AA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MF – Ministerstwo Finansów</w:t>
      </w:r>
    </w:p>
    <w:p w14:paraId="3447CFC5" w14:textId="7C49774C" w:rsidR="008523BE" w:rsidRPr="00271D0C" w:rsidRDefault="008523BE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OECD/INFE – Międzynarodowa Sieć Edukacji Finansowej OECD</w:t>
      </w:r>
    </w:p>
    <w:p w14:paraId="1E0B4F70" w14:textId="1E00BF7E" w:rsidR="00BE05AA" w:rsidRPr="00271D0C" w:rsidRDefault="00BE05AA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REF – Rada Edukacji Finansowej</w:t>
      </w:r>
    </w:p>
    <w:p w14:paraId="1DBEFC39" w14:textId="374A7FAB" w:rsidR="00BE05AA" w:rsidRPr="00271D0C" w:rsidRDefault="00BE05AA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Strategia</w:t>
      </w:r>
      <w:r w:rsidR="00F63874" w:rsidRPr="00271D0C">
        <w:rPr>
          <w:lang w:val="pl-PL"/>
        </w:rPr>
        <w:t>, KSEF</w:t>
      </w:r>
      <w:r w:rsidRPr="00271D0C">
        <w:rPr>
          <w:lang w:val="pl-PL"/>
        </w:rPr>
        <w:t xml:space="preserve"> – Krajowa Strategia Edukacji Finansowej</w:t>
      </w:r>
    </w:p>
    <w:p w14:paraId="70850556" w14:textId="0F26D521" w:rsidR="00CB769A" w:rsidRPr="00271D0C" w:rsidRDefault="00CB769A" w:rsidP="00BE05AA">
      <w:pPr>
        <w:pStyle w:val="Para"/>
        <w:spacing w:before="0" w:after="0" w:line="240" w:lineRule="auto"/>
        <w:rPr>
          <w:lang w:val="pl-PL"/>
        </w:rPr>
      </w:pPr>
      <w:r w:rsidRPr="00271D0C">
        <w:rPr>
          <w:lang w:val="pl-PL"/>
        </w:rPr>
        <w:t>ZUS – Zakład Ubezpieczeń Społecznych</w:t>
      </w:r>
    </w:p>
    <w:p w14:paraId="18BB9156" w14:textId="77777777" w:rsidR="00BE05AA" w:rsidRPr="00271D0C" w:rsidRDefault="00BE05AA" w:rsidP="00BE05AA">
      <w:pPr>
        <w:pStyle w:val="Para"/>
        <w:spacing w:before="0" w:after="0" w:line="240" w:lineRule="auto"/>
        <w:rPr>
          <w:lang w:val="pl-PL"/>
        </w:rPr>
      </w:pPr>
    </w:p>
    <w:tbl>
      <w:tblPr>
        <w:tblStyle w:val="OECD"/>
        <w:tblW w:w="14004" w:type="dxa"/>
        <w:tblLayout w:type="fixed"/>
        <w:tblLook w:val="04A0" w:firstRow="1" w:lastRow="0" w:firstColumn="1" w:lastColumn="0" w:noHBand="0" w:noVBand="1"/>
      </w:tblPr>
      <w:tblGrid>
        <w:gridCol w:w="1476"/>
        <w:gridCol w:w="3069"/>
        <w:gridCol w:w="3467"/>
        <w:gridCol w:w="3328"/>
        <w:gridCol w:w="1418"/>
        <w:gridCol w:w="1246"/>
      </w:tblGrid>
      <w:tr w:rsidR="00F63874" w:rsidRPr="00271D0C" w14:paraId="12B83697" w14:textId="4AF567E0" w:rsidTr="00D57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76" w:type="dxa"/>
            <w:hideMark/>
          </w:tcPr>
          <w:bookmarkEnd w:id="0"/>
          <w:p w14:paraId="12338E21" w14:textId="567114D5" w:rsidR="00F63874" w:rsidRPr="00271D0C" w:rsidRDefault="00F63874" w:rsidP="008F6C94">
            <w:pPr>
              <w:pStyle w:val="TableColumn"/>
              <w:rPr>
                <w:b/>
                <w:bCs/>
                <w:lang w:val="pl-PL"/>
              </w:rPr>
            </w:pPr>
            <w:r w:rsidRPr="00271D0C">
              <w:rPr>
                <w:b/>
                <w:bCs/>
                <w:lang w:val="pl-PL"/>
              </w:rPr>
              <w:t>Kluczowe priorytety Strategii</w:t>
            </w:r>
          </w:p>
        </w:tc>
        <w:tc>
          <w:tcPr>
            <w:tcW w:w="3069" w:type="dxa"/>
            <w:hideMark/>
          </w:tcPr>
          <w:p w14:paraId="5EE0346B" w14:textId="56C8EE8C" w:rsidR="00F63874" w:rsidRPr="00271D0C" w:rsidRDefault="00F63874" w:rsidP="008F6C94">
            <w:pPr>
              <w:pStyle w:val="TableColumn"/>
              <w:rPr>
                <w:b/>
                <w:bCs/>
                <w:lang w:val="pl-PL"/>
              </w:rPr>
            </w:pPr>
            <w:r w:rsidRPr="00271D0C">
              <w:rPr>
                <w:b/>
                <w:bCs/>
                <w:lang w:val="pl-PL"/>
              </w:rPr>
              <w:t>Działania pierwszego planu wdrażania Strategii</w:t>
            </w:r>
          </w:p>
        </w:tc>
        <w:tc>
          <w:tcPr>
            <w:tcW w:w="3467" w:type="dxa"/>
          </w:tcPr>
          <w:p w14:paraId="39BF029F" w14:textId="0A185859" w:rsidR="00F63874" w:rsidRPr="00271D0C" w:rsidRDefault="00F63874" w:rsidP="008F6C94">
            <w:pPr>
              <w:pStyle w:val="TableColumn"/>
              <w:rPr>
                <w:b/>
                <w:bCs/>
                <w:lang w:val="pl-PL"/>
              </w:rPr>
            </w:pPr>
            <w:r w:rsidRPr="00271D0C">
              <w:rPr>
                <w:b/>
                <w:bCs/>
                <w:color w:val="auto"/>
                <w:lang w:val="pl-PL"/>
              </w:rPr>
              <w:t>Działania do realizacji do 31 grudnia 2025 r.</w:t>
            </w:r>
          </w:p>
        </w:tc>
        <w:tc>
          <w:tcPr>
            <w:tcW w:w="3328" w:type="dxa"/>
          </w:tcPr>
          <w:p w14:paraId="4C60CDB6" w14:textId="50472769" w:rsidR="00F63874" w:rsidRPr="00271D0C" w:rsidRDefault="00F63874" w:rsidP="008F6C94">
            <w:pPr>
              <w:pStyle w:val="TableColumn"/>
              <w:rPr>
                <w:b/>
                <w:bCs/>
                <w:lang w:val="pl-PL"/>
              </w:rPr>
            </w:pPr>
            <w:r w:rsidRPr="00271D0C">
              <w:rPr>
                <w:b/>
                <w:bCs/>
                <w:lang w:val="pl-PL"/>
              </w:rPr>
              <w:t>Zadania</w:t>
            </w:r>
          </w:p>
        </w:tc>
        <w:tc>
          <w:tcPr>
            <w:tcW w:w="1418" w:type="dxa"/>
          </w:tcPr>
          <w:p w14:paraId="7C7F064C" w14:textId="15982DB9" w:rsidR="00F63874" w:rsidRPr="00271D0C" w:rsidRDefault="00152875" w:rsidP="008F6C94">
            <w:pPr>
              <w:pStyle w:val="TableColumn"/>
              <w:rPr>
                <w:b/>
                <w:bCs/>
                <w:lang w:val="pl-PL"/>
              </w:rPr>
            </w:pPr>
            <w:r w:rsidRPr="00271D0C">
              <w:rPr>
                <w:b/>
                <w:bCs/>
                <w:lang w:val="pl-PL"/>
              </w:rPr>
              <w:t xml:space="preserve">Kto </w:t>
            </w:r>
            <w:r w:rsidR="00AB7364" w:rsidRPr="00271D0C">
              <w:rPr>
                <w:b/>
                <w:bCs/>
                <w:lang w:val="pl-PL"/>
              </w:rPr>
              <w:t xml:space="preserve">koordynuje </w:t>
            </w:r>
            <w:r w:rsidR="00142D32" w:rsidRPr="00271D0C">
              <w:rPr>
                <w:b/>
                <w:bCs/>
                <w:lang w:val="pl-PL"/>
              </w:rPr>
              <w:t xml:space="preserve">realizację </w:t>
            </w:r>
            <w:r w:rsidRPr="00271D0C">
              <w:rPr>
                <w:b/>
                <w:bCs/>
                <w:lang w:val="pl-PL"/>
              </w:rPr>
              <w:t>zadani</w:t>
            </w:r>
            <w:r w:rsidR="00142D32" w:rsidRPr="00271D0C">
              <w:rPr>
                <w:b/>
                <w:bCs/>
                <w:lang w:val="pl-PL"/>
              </w:rPr>
              <w:t>a</w:t>
            </w:r>
          </w:p>
        </w:tc>
        <w:tc>
          <w:tcPr>
            <w:tcW w:w="1246" w:type="dxa"/>
          </w:tcPr>
          <w:p w14:paraId="485BFF0B" w14:textId="3E9886FA" w:rsidR="00F63874" w:rsidRPr="00271D0C" w:rsidRDefault="00F63874" w:rsidP="008F6C94">
            <w:pPr>
              <w:pStyle w:val="TableColumn"/>
              <w:rPr>
                <w:b/>
                <w:bCs/>
                <w:lang w:val="pl-PL"/>
              </w:rPr>
            </w:pPr>
            <w:r w:rsidRPr="00271D0C">
              <w:rPr>
                <w:b/>
                <w:bCs/>
                <w:lang w:val="pl-PL"/>
              </w:rPr>
              <w:t>Termin realizacji</w:t>
            </w:r>
          </w:p>
        </w:tc>
      </w:tr>
      <w:tr w:rsidR="00F63874" w:rsidRPr="00271D0C" w14:paraId="0ED85AFD" w14:textId="4269CCAD" w:rsidTr="00D575F3">
        <w:tc>
          <w:tcPr>
            <w:tcW w:w="1476" w:type="dxa"/>
            <w:vMerge w:val="restart"/>
            <w:hideMark/>
          </w:tcPr>
          <w:p w14:paraId="4012E9DD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1. Zwiększenie i utrzymanie odporności finansowej i dobrostanu finansowego mieszkańców Polski poprzez odpowiedzialne planowanie finansów osobistych, unikanie nadmiernego zadłużenia i doskonalenie umiejętności zarządzania ryzykiem</w:t>
            </w:r>
          </w:p>
        </w:tc>
        <w:tc>
          <w:tcPr>
            <w:tcW w:w="3069" w:type="dxa"/>
            <w:noWrap/>
            <w:hideMark/>
          </w:tcPr>
          <w:p w14:paraId="30A2A72A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Opracowanie i wdrożenie nowych oraz istniejących programów edukacji finansowej dla priorytetowych grup docelowych, które mogą być narażane na trudności finansowe (osoby o niskich dochodach, migranci i uchodźcy, konsumenci zagrożeni nadmiernym zadłużeniem lub już nadmiernie zadłużeni), z uwzględnieniem ich potrzeb oraz preferencji w zakresie uczenia się, określonych na podstawie wyników badań ilościowych i jakościowych (w tym sondaży badających ich obecny poziom kompetencji finansowych, zainteresowania oraz preferowane kanały uczenia się, istniejące bariery w dostępie do nauki itp.). Owe programy edukacji finansowej mogą koncentrować się, między innymi, na umiejętnościach podstawowych, takich jak planowanie budżetu domowego, zarządzanie finansami osobistymi, oszczędzanie w </w:t>
            </w:r>
            <w:r w:rsidRPr="00271D0C">
              <w:rPr>
                <w:lang w:val="pl-PL"/>
              </w:rPr>
              <w:lastRenderedPageBreak/>
              <w:t>ramach tworzenia poduszki finansowej, konieczność posiadania odpowiedniego ubezpieczenia, racjonalne zaciąganie zobowiązań i zarządzanie nimi, oraz na działaniach podnoszących świadomość na temat podatków i budżetu (na poziomie krajowym i lokalnym).</w:t>
            </w:r>
          </w:p>
        </w:tc>
        <w:tc>
          <w:tcPr>
            <w:tcW w:w="3467" w:type="dxa"/>
          </w:tcPr>
          <w:p w14:paraId="32A48A1E" w14:textId="276894C7" w:rsidR="00F63874" w:rsidRPr="00271D0C" w:rsidRDefault="00F63874" w:rsidP="001B6DE0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lastRenderedPageBreak/>
              <w:t xml:space="preserve">Rekomendowanie </w:t>
            </w:r>
            <w:r w:rsidRPr="00271D0C">
              <w:rPr>
                <w:color w:val="000000" w:themeColor="text1"/>
                <w:lang w:val="pl-PL"/>
              </w:rPr>
              <w:t>interesariuszom edukacji finansowej</w:t>
            </w:r>
            <w:r w:rsidR="00AB7364" w:rsidRPr="00271D0C">
              <w:rPr>
                <w:rStyle w:val="Odwoanieprzypisudolnego"/>
                <w:color w:val="000000" w:themeColor="text1"/>
                <w:lang w:val="pl-PL"/>
              </w:rPr>
              <w:footnoteReference w:id="1"/>
            </w:r>
            <w:r w:rsidRPr="00271D0C">
              <w:rPr>
                <w:color w:val="000000" w:themeColor="text1"/>
                <w:lang w:val="pl-PL"/>
              </w:rPr>
              <w:t xml:space="preserve"> opracowywania i wdrażania </w:t>
            </w:r>
            <w:r w:rsidRPr="00271D0C">
              <w:rPr>
                <w:lang w:val="pl-PL"/>
              </w:rPr>
              <w:t xml:space="preserve">nowych oraz istniejących programów, projektów i innych działań w zakresie </w:t>
            </w:r>
            <w:r w:rsidRPr="00271D0C">
              <w:rPr>
                <w:color w:val="000000" w:themeColor="text1"/>
                <w:lang w:val="pl-PL"/>
              </w:rPr>
              <w:t xml:space="preserve">edukacji finansowej dla priorytetowych grup docelowych, które mogą być narażane na trudności finansowe, </w:t>
            </w:r>
            <w:r w:rsidRPr="00271D0C">
              <w:rPr>
                <w:lang w:val="pl-PL"/>
              </w:rPr>
              <w:t>tj.: osoby o niskich dochodach, migranci i uchodźcy, konsumenci zagrożeni nadmiernym zadłużeniem lub już nadmiernie zadłużeni.</w:t>
            </w:r>
          </w:p>
          <w:p w14:paraId="4085B899" w14:textId="40070DC3" w:rsidR="00F63874" w:rsidRPr="00271D0C" w:rsidRDefault="00F63874" w:rsidP="00F27600">
            <w:pPr>
              <w:pStyle w:val="TableCell"/>
              <w:numPr>
                <w:ilvl w:val="0"/>
                <w:numId w:val="1"/>
              </w:numPr>
              <w:jc w:val="left"/>
              <w:rPr>
                <w:lang w:val="pl-PL"/>
              </w:rPr>
            </w:pPr>
            <w:bookmarkStart w:id="1" w:name="_Hlk191300182"/>
            <w:r w:rsidRPr="00271D0C">
              <w:rPr>
                <w:b/>
                <w:bCs/>
                <w:lang w:val="pl-PL"/>
              </w:rPr>
              <w:t>Wspieranie</w:t>
            </w:r>
            <w:r w:rsidRPr="00271D0C">
              <w:rPr>
                <w:lang w:val="pl-PL"/>
              </w:rPr>
              <w:t xml:space="preserve"> opracowania i wdrożenia nowych oraz istniejących programów edukacji finansowej, o których mowa w punkcie 1, poprzez priorytetowe </w:t>
            </w:r>
            <w:r w:rsidR="008D58AE" w:rsidRPr="00271D0C">
              <w:rPr>
                <w:lang w:val="pl-PL"/>
              </w:rPr>
              <w:t xml:space="preserve">traktowanie wniosków o </w:t>
            </w:r>
            <w:r w:rsidRPr="00271D0C">
              <w:rPr>
                <w:b/>
                <w:bCs/>
                <w:lang w:val="pl-PL"/>
              </w:rPr>
              <w:t>przyznawani</w:t>
            </w:r>
            <w:r w:rsidR="008D58AE" w:rsidRPr="00271D0C">
              <w:rPr>
                <w:b/>
                <w:bCs/>
                <w:lang w:val="pl-PL"/>
              </w:rPr>
              <w:t>e</w:t>
            </w:r>
            <w:r w:rsidRPr="00271D0C">
              <w:rPr>
                <w:b/>
                <w:bCs/>
                <w:lang w:val="pl-PL"/>
              </w:rPr>
              <w:t xml:space="preserve"> dotacji z FEF</w:t>
            </w:r>
            <w:r w:rsidRPr="00271D0C">
              <w:rPr>
                <w:lang w:val="pl-PL"/>
              </w:rPr>
              <w:t xml:space="preserve"> na ich opracowanie i wdrażanie</w:t>
            </w:r>
            <w:bookmarkEnd w:id="1"/>
            <w:r w:rsidR="008D58AE" w:rsidRPr="00271D0C">
              <w:rPr>
                <w:lang w:val="pl-PL"/>
              </w:rPr>
              <w:t>, składanych w ramach procedury nieobjętej programem</w:t>
            </w:r>
            <w:r w:rsidRPr="00271D0C">
              <w:rPr>
                <w:lang w:val="pl-PL"/>
              </w:rPr>
              <w:t>.</w:t>
            </w:r>
          </w:p>
          <w:p w14:paraId="43D94222" w14:textId="773F2055" w:rsidR="00F63874" w:rsidRPr="00271D0C" w:rsidRDefault="00565D89" w:rsidP="001B6DE0">
            <w:pPr>
              <w:pStyle w:val="TableCell"/>
              <w:widowControl/>
              <w:numPr>
                <w:ilvl w:val="0"/>
                <w:numId w:val="1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Rozpoczęcie prac nad p</w:t>
            </w:r>
            <w:r w:rsidR="00F63874" w:rsidRPr="00271D0C">
              <w:rPr>
                <w:b/>
                <w:bCs/>
                <w:lang w:val="pl-PL"/>
              </w:rPr>
              <w:t>rzygotowanie</w:t>
            </w:r>
            <w:r w:rsidR="00E64469" w:rsidRPr="00271D0C">
              <w:rPr>
                <w:b/>
                <w:bCs/>
                <w:lang w:val="pl-PL"/>
              </w:rPr>
              <w:t>m</w:t>
            </w:r>
            <w:r w:rsidR="00F63874" w:rsidRPr="00271D0C">
              <w:rPr>
                <w:b/>
                <w:bCs/>
                <w:lang w:val="pl-PL"/>
              </w:rPr>
              <w:t xml:space="preserve"> założeń </w:t>
            </w:r>
            <w:r w:rsidR="00F63874" w:rsidRPr="00271D0C">
              <w:rPr>
                <w:lang w:val="pl-PL"/>
              </w:rPr>
              <w:t xml:space="preserve"> szkolenia/cyklu szkoleń typu „krok po kroku” do samodzielnej nauki w zakresie </w:t>
            </w:r>
            <w:r w:rsidR="00F63874" w:rsidRPr="00271D0C">
              <w:rPr>
                <w:lang w:val="pl-PL"/>
              </w:rPr>
              <w:lastRenderedPageBreak/>
              <w:t xml:space="preserve">planowania budżetu domowego, zarządzania finansami osobistymi itp. Szkolenie/cykl szkoleń docelowo będzie </w:t>
            </w:r>
            <w:r w:rsidR="00F27600" w:rsidRPr="00271D0C">
              <w:rPr>
                <w:lang w:val="pl-PL"/>
              </w:rPr>
              <w:t xml:space="preserve">mógł być </w:t>
            </w:r>
            <w:r w:rsidR="00F63874" w:rsidRPr="00271D0C">
              <w:rPr>
                <w:lang w:val="pl-PL"/>
              </w:rPr>
              <w:t xml:space="preserve">dostępny </w:t>
            </w:r>
            <w:r w:rsidR="00F27600" w:rsidRPr="00271D0C">
              <w:rPr>
                <w:lang w:val="pl-PL"/>
              </w:rPr>
              <w:t xml:space="preserve">np. </w:t>
            </w:r>
            <w:r w:rsidR="00F63874" w:rsidRPr="00271D0C">
              <w:rPr>
                <w:lang w:val="pl-PL"/>
              </w:rPr>
              <w:t>na przyszłej platformie edukacji finansowej.</w:t>
            </w:r>
            <w:r w:rsidR="00465312" w:rsidRPr="00271D0C">
              <w:rPr>
                <w:rFonts w:asciiTheme="minorHAnsi" w:hAnsiTheme="minorHAnsi"/>
                <w:color w:val="auto"/>
                <w:sz w:val="22"/>
                <w:lang w:val="pl-PL"/>
              </w:rPr>
              <w:t xml:space="preserve"> </w:t>
            </w:r>
          </w:p>
        </w:tc>
        <w:tc>
          <w:tcPr>
            <w:tcW w:w="3328" w:type="dxa"/>
          </w:tcPr>
          <w:p w14:paraId="49ED5232" w14:textId="4BC8481A" w:rsidR="00F63874" w:rsidRPr="00271D0C" w:rsidRDefault="00F63874" w:rsidP="003B5318">
            <w:pPr>
              <w:pStyle w:val="Akapitzlist"/>
              <w:numPr>
                <w:ilvl w:val="0"/>
                <w:numId w:val="2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lastRenderedPageBreak/>
              <w:t>Przyjęcie uchwały REF zatwierdzającej roczny plan działań na 2025 i opublikowanie informacji o rekomendacjach na stronie MF</w:t>
            </w:r>
            <w:r w:rsidR="00C36E36" w:rsidRPr="00271D0C">
              <w:rPr>
                <w:color w:val="000000" w:themeColor="text1"/>
                <w:lang w:val="pl-PL"/>
              </w:rPr>
              <w:t xml:space="preserve"> w zakładkach REF</w:t>
            </w:r>
            <w:r w:rsidRPr="00271D0C">
              <w:rPr>
                <w:color w:val="000000" w:themeColor="text1"/>
                <w:lang w:val="pl-PL"/>
              </w:rPr>
              <w:t xml:space="preserve"> i FEF</w:t>
            </w:r>
            <w:r w:rsidR="008F75E6" w:rsidRPr="00271D0C">
              <w:rPr>
                <w:color w:val="000000" w:themeColor="text1"/>
                <w:lang w:val="pl-PL"/>
              </w:rPr>
              <w:t xml:space="preserve"> oraz poinformowanie o rekomendacjach interesariuszy edukacji finansowej.</w:t>
            </w:r>
          </w:p>
          <w:p w14:paraId="4F6ACF53" w14:textId="68E6319D" w:rsidR="00F63874" w:rsidRPr="00271D0C" w:rsidRDefault="00F63874" w:rsidP="003B5318">
            <w:pPr>
              <w:pStyle w:val="Akapitzlist"/>
              <w:numPr>
                <w:ilvl w:val="0"/>
                <w:numId w:val="2"/>
              </w:numPr>
              <w:jc w:val="left"/>
              <w:rPr>
                <w:color w:val="000000" w:themeColor="text1"/>
                <w:lang w:val="pl-PL"/>
              </w:rPr>
            </w:pPr>
            <w:bookmarkStart w:id="2" w:name="_Hlk189045333"/>
            <w:r w:rsidRPr="00271D0C">
              <w:rPr>
                <w:color w:val="000000" w:themeColor="text1"/>
                <w:lang w:val="pl-PL"/>
              </w:rPr>
              <w:t xml:space="preserve">Opublikowanie na stronie </w:t>
            </w:r>
            <w:r w:rsidR="00C36E36" w:rsidRPr="00271D0C">
              <w:rPr>
                <w:color w:val="000000" w:themeColor="text1"/>
                <w:lang w:val="pl-PL"/>
              </w:rPr>
              <w:t xml:space="preserve">MF w zakładce </w:t>
            </w:r>
            <w:r w:rsidRPr="00271D0C">
              <w:rPr>
                <w:color w:val="000000" w:themeColor="text1"/>
                <w:lang w:val="pl-PL"/>
              </w:rPr>
              <w:t>FEF tematyk i grup docelowych programów edukacji finansowej, którym priorytetowo będą przyznawane dotacje z FEF</w:t>
            </w:r>
            <w:r w:rsidR="0052260F" w:rsidRPr="00271D0C">
              <w:rPr>
                <w:color w:val="000000" w:themeColor="text1"/>
                <w:lang w:val="pl-PL"/>
              </w:rPr>
              <w:t xml:space="preserve"> składanych</w:t>
            </w:r>
            <w:r w:rsidR="00194CD0" w:rsidRPr="00271D0C">
              <w:rPr>
                <w:color w:val="000000" w:themeColor="text1"/>
                <w:lang w:val="pl-PL"/>
              </w:rPr>
              <w:t xml:space="preserve"> w ramach procedury </w:t>
            </w:r>
            <w:r w:rsidR="0052260F" w:rsidRPr="00271D0C">
              <w:rPr>
                <w:color w:val="000000" w:themeColor="text1"/>
                <w:lang w:val="pl-PL"/>
              </w:rPr>
              <w:t>nieobjętej programem</w:t>
            </w:r>
            <w:r w:rsidRPr="00271D0C">
              <w:rPr>
                <w:color w:val="000000" w:themeColor="text1"/>
                <w:lang w:val="pl-PL"/>
              </w:rPr>
              <w:t xml:space="preserve">. </w:t>
            </w:r>
          </w:p>
          <w:bookmarkEnd w:id="2"/>
          <w:p w14:paraId="4FD85F41" w14:textId="713792AD" w:rsidR="00F63874" w:rsidRPr="00271D0C" w:rsidRDefault="00A42C32" w:rsidP="003B5318">
            <w:pPr>
              <w:pStyle w:val="Akapitzlist"/>
              <w:numPr>
                <w:ilvl w:val="0"/>
                <w:numId w:val="2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Rozpoczęcie</w:t>
            </w:r>
            <w:r w:rsidR="00194CD0" w:rsidRPr="00271D0C">
              <w:rPr>
                <w:color w:val="000000" w:themeColor="text1"/>
                <w:lang w:val="pl-PL"/>
              </w:rPr>
              <w:t xml:space="preserve"> przez KW</w:t>
            </w:r>
            <w:r w:rsidR="009F1444">
              <w:rPr>
                <w:color w:val="000000" w:themeColor="text1"/>
                <w:lang w:val="pl-PL"/>
              </w:rPr>
              <w:t xml:space="preserve"> we współpracy z interesariuszami edukacji finansowej</w:t>
            </w:r>
            <w:r w:rsidRPr="00271D0C">
              <w:rPr>
                <w:color w:val="000000" w:themeColor="text1"/>
                <w:lang w:val="pl-PL"/>
              </w:rPr>
              <w:t xml:space="preserve"> prac nad p</w:t>
            </w:r>
            <w:r w:rsidR="00F63874" w:rsidRPr="00271D0C">
              <w:rPr>
                <w:color w:val="000000" w:themeColor="text1"/>
                <w:lang w:val="pl-PL"/>
              </w:rPr>
              <w:t>rzygotowanie</w:t>
            </w:r>
            <w:r w:rsidRPr="00271D0C">
              <w:rPr>
                <w:color w:val="000000" w:themeColor="text1"/>
                <w:lang w:val="pl-PL"/>
              </w:rPr>
              <w:t>m</w:t>
            </w:r>
            <w:r w:rsidR="00F63874" w:rsidRPr="00271D0C">
              <w:rPr>
                <w:color w:val="000000" w:themeColor="text1"/>
                <w:lang w:val="pl-PL"/>
              </w:rPr>
              <w:t xml:space="preserve"> </w:t>
            </w:r>
            <w:r w:rsidR="00194CD0" w:rsidRPr="00271D0C">
              <w:rPr>
                <w:color w:val="000000" w:themeColor="text1"/>
                <w:lang w:val="pl-PL"/>
              </w:rPr>
              <w:t>założeń szkolenia/cyklu szkoleń</w:t>
            </w:r>
            <w:r w:rsidR="00F63874" w:rsidRPr="00271D0C">
              <w:rPr>
                <w:color w:val="000000" w:themeColor="text1"/>
                <w:lang w:val="pl-PL"/>
              </w:rPr>
              <w:t>, o którym mowa w pkt 3 obok.</w:t>
            </w:r>
          </w:p>
        </w:tc>
        <w:tc>
          <w:tcPr>
            <w:tcW w:w="1418" w:type="dxa"/>
          </w:tcPr>
          <w:p w14:paraId="4A8FC44E" w14:textId="6BFE690D" w:rsidR="00F63874" w:rsidRPr="00271D0C" w:rsidRDefault="00F63874" w:rsidP="002351FF">
            <w:pPr>
              <w:pStyle w:val="Akapitzlist"/>
              <w:numPr>
                <w:ilvl w:val="0"/>
                <w:numId w:val="16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REF</w:t>
            </w:r>
          </w:p>
          <w:p w14:paraId="56CC9E1A" w14:textId="77777777" w:rsidR="00F63874" w:rsidRPr="00271D0C" w:rsidRDefault="00D575F3" w:rsidP="002351FF">
            <w:pPr>
              <w:pStyle w:val="Akapitzlist"/>
              <w:numPr>
                <w:ilvl w:val="0"/>
                <w:numId w:val="16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MF</w:t>
            </w:r>
          </w:p>
          <w:p w14:paraId="14B2756A" w14:textId="49755EC2" w:rsidR="00D575F3" w:rsidRPr="00271D0C" w:rsidRDefault="00F27600" w:rsidP="002351FF">
            <w:pPr>
              <w:pStyle w:val="Akapitzlist"/>
              <w:numPr>
                <w:ilvl w:val="0"/>
                <w:numId w:val="16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KW</w:t>
            </w:r>
          </w:p>
        </w:tc>
        <w:tc>
          <w:tcPr>
            <w:tcW w:w="1246" w:type="dxa"/>
          </w:tcPr>
          <w:p w14:paraId="12DD4E2C" w14:textId="30219DE0" w:rsidR="00F63874" w:rsidRPr="00271D0C" w:rsidRDefault="00F63874" w:rsidP="002351FF">
            <w:pPr>
              <w:pStyle w:val="Akapitzlist"/>
              <w:numPr>
                <w:ilvl w:val="0"/>
                <w:numId w:val="5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 kw.</w:t>
            </w:r>
          </w:p>
          <w:p w14:paraId="2349AA0C" w14:textId="09A12432" w:rsidR="00F63874" w:rsidRPr="00271D0C" w:rsidRDefault="00071951" w:rsidP="002351FF">
            <w:pPr>
              <w:pStyle w:val="Akapitzlist"/>
              <w:numPr>
                <w:ilvl w:val="0"/>
                <w:numId w:val="5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Zadanie</w:t>
            </w:r>
            <w:r w:rsidR="00C36E36" w:rsidRPr="00271D0C">
              <w:rPr>
                <w:color w:val="000000" w:themeColor="text1"/>
                <w:lang w:val="pl-PL"/>
              </w:rPr>
              <w:t xml:space="preserve"> ciągłe</w:t>
            </w:r>
          </w:p>
          <w:p w14:paraId="0A90C85C" w14:textId="59471013" w:rsidR="00F63874" w:rsidRPr="00271D0C" w:rsidRDefault="00F63874" w:rsidP="002351FF">
            <w:pPr>
              <w:pStyle w:val="Akapitzlist"/>
              <w:numPr>
                <w:ilvl w:val="0"/>
                <w:numId w:val="5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IV kw.</w:t>
            </w:r>
          </w:p>
          <w:p w14:paraId="122284EB" w14:textId="36530E1A" w:rsidR="00F63874" w:rsidRPr="00271D0C" w:rsidRDefault="00F63874" w:rsidP="0015698B">
            <w:pPr>
              <w:jc w:val="left"/>
              <w:rPr>
                <w:color w:val="000000" w:themeColor="text1"/>
                <w:lang w:val="pl-PL"/>
              </w:rPr>
            </w:pPr>
          </w:p>
        </w:tc>
      </w:tr>
      <w:tr w:rsidR="00F63874" w:rsidRPr="00271D0C" w14:paraId="769E255C" w14:textId="2BFB4662" w:rsidTr="00D575F3">
        <w:tc>
          <w:tcPr>
            <w:tcW w:w="1476" w:type="dxa"/>
            <w:vMerge/>
            <w:hideMark/>
          </w:tcPr>
          <w:p w14:paraId="1D274559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069C2BF8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Nawiązanie współpracy z instytucjami pomocy społecznej lub organizacjami udzielającymi porad w zakresie zadłużenia, w celu zbadania możliwości dostarczania treści edukacji finansowej dokładnie w czasie, gdy są one potrzebne, osobom borykającym się z problemami zadłużenia (konsumenci zagrożeni nadmiernym zadłużeniem lub już nadmiernie zadłużeni).</w:t>
            </w:r>
          </w:p>
        </w:tc>
        <w:tc>
          <w:tcPr>
            <w:tcW w:w="3467" w:type="dxa"/>
          </w:tcPr>
          <w:p w14:paraId="308A678A" w14:textId="120BB32E" w:rsidR="00F63874" w:rsidRPr="00271D0C" w:rsidRDefault="00F63874" w:rsidP="001B6DE0">
            <w:pPr>
              <w:pStyle w:val="TableCell"/>
              <w:widowControl/>
              <w:numPr>
                <w:ilvl w:val="0"/>
                <w:numId w:val="1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Nawiązanie współpracy</w:t>
            </w:r>
            <w:r w:rsidRPr="00271D0C">
              <w:rPr>
                <w:lang w:val="pl-PL"/>
              </w:rPr>
              <w:t xml:space="preserve"> z instytucjami pomocy społecznej i organizacjami udzielającymi porad w zakresie zadłużenia, w celu zbadania możliwości dostarczania treści edukacji finansowej dokładnie w czasie, gdy są one potrzebne, osobom borykającym się z problemami zadłużenia.</w:t>
            </w:r>
          </w:p>
          <w:p w14:paraId="039A6810" w14:textId="719A6B2B" w:rsidR="00F63874" w:rsidRPr="00271D0C" w:rsidRDefault="00F63874" w:rsidP="001B6DE0">
            <w:pPr>
              <w:pStyle w:val="TableCell"/>
              <w:widowControl/>
              <w:numPr>
                <w:ilvl w:val="0"/>
                <w:numId w:val="1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Zachęcanie</w:t>
            </w:r>
            <w:r w:rsidRPr="00271D0C">
              <w:rPr>
                <w:lang w:val="pl-PL"/>
              </w:rPr>
              <w:t xml:space="preserve"> instytucji pomocy społecznej do upowszechniania (np. na swoich stronach Internetowych) treści i porad o tematyce zadłużenia wraz z kontaktami do poradnictwa oddłużeniowego.</w:t>
            </w:r>
          </w:p>
        </w:tc>
        <w:tc>
          <w:tcPr>
            <w:tcW w:w="3328" w:type="dxa"/>
          </w:tcPr>
          <w:p w14:paraId="65A51663" w14:textId="4B76791D" w:rsidR="00F63874" w:rsidRPr="00271D0C" w:rsidRDefault="00F63874" w:rsidP="001B6DE0">
            <w:pPr>
              <w:pStyle w:val="TableCell"/>
              <w:widowControl/>
              <w:numPr>
                <w:ilvl w:val="0"/>
                <w:numId w:val="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wystąpienie REF/MF  (w zależności od rodzaju podmiotu) do instytucji pomocy społecznej i organizacji udzielających porad w zakresie zadłużenia, z propozycją nawiązania współpracy, o której mowa w pkt 4 obok. </w:t>
            </w:r>
          </w:p>
          <w:p w14:paraId="1BA6129E" w14:textId="6AEC3DBD" w:rsidR="00F63874" w:rsidRPr="00271D0C" w:rsidRDefault="00F63874" w:rsidP="001B6DE0">
            <w:pPr>
              <w:pStyle w:val="TableCell"/>
              <w:widowControl/>
              <w:numPr>
                <w:ilvl w:val="0"/>
                <w:numId w:val="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Pisemne wystąpienie REF/MF  (w zależności od rodzaju instytucji) do instytucji pomocy społecznej z prośbą o upowszechnianie treści, o których mowa w pkt 5 obok.</w:t>
            </w:r>
          </w:p>
        </w:tc>
        <w:tc>
          <w:tcPr>
            <w:tcW w:w="1418" w:type="dxa"/>
          </w:tcPr>
          <w:p w14:paraId="677E8BD7" w14:textId="77777777" w:rsidR="00F63874" w:rsidRPr="00271D0C" w:rsidRDefault="00D575F3" w:rsidP="002351FF">
            <w:pPr>
              <w:pStyle w:val="TableCell"/>
              <w:widowControl/>
              <w:numPr>
                <w:ilvl w:val="0"/>
                <w:numId w:val="17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  <w:p w14:paraId="022E0550" w14:textId="317CF934" w:rsidR="00D575F3" w:rsidRPr="00271D0C" w:rsidRDefault="00D575F3" w:rsidP="002351FF">
            <w:pPr>
              <w:pStyle w:val="TableCell"/>
              <w:widowControl/>
              <w:numPr>
                <w:ilvl w:val="0"/>
                <w:numId w:val="17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72E9C61B" w14:textId="1D4F3196" w:rsidR="00F63874" w:rsidRPr="00271D0C" w:rsidRDefault="00F63874" w:rsidP="002351FF">
            <w:pPr>
              <w:pStyle w:val="TableCell"/>
              <w:widowControl/>
              <w:numPr>
                <w:ilvl w:val="0"/>
                <w:numId w:val="5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II kw. </w:t>
            </w:r>
          </w:p>
          <w:p w14:paraId="2D474703" w14:textId="3AE6B90B" w:rsidR="00F63874" w:rsidRPr="00271D0C" w:rsidRDefault="00F63874" w:rsidP="002351FF">
            <w:pPr>
              <w:pStyle w:val="TableCell"/>
              <w:widowControl/>
              <w:numPr>
                <w:ilvl w:val="0"/>
                <w:numId w:val="5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kw.</w:t>
            </w:r>
          </w:p>
          <w:p w14:paraId="4E20EE05" w14:textId="6B866339" w:rsidR="00F63874" w:rsidRPr="00271D0C" w:rsidRDefault="00F63874" w:rsidP="00605011">
            <w:pPr>
              <w:pStyle w:val="TableCell"/>
              <w:widowControl/>
              <w:ind w:left="360"/>
              <w:jc w:val="left"/>
              <w:rPr>
                <w:lang w:val="pl-PL"/>
              </w:rPr>
            </w:pPr>
          </w:p>
        </w:tc>
      </w:tr>
      <w:tr w:rsidR="00F63874" w:rsidRPr="00271D0C" w14:paraId="47D640FB" w14:textId="4AFA2EEF" w:rsidTr="00D575F3">
        <w:tc>
          <w:tcPr>
            <w:tcW w:w="1476" w:type="dxa"/>
            <w:vMerge/>
            <w:hideMark/>
          </w:tcPr>
          <w:p w14:paraId="2C0C381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6BD0224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i przeprowadzenie szeroko zakrojonych kampanii informacyjnych na temat różnego rodzaju ryzyka związanego z zaciąganiem kredytów i pożyczek oraz nadmiernym zadłużeniem, jak również na temat znaczenia tworzenia „buforów” finansowych lub pozyskania ubezpieczenia w celu ochrony odporności finansowej gospodarstw domowych w sytuacji nieoczekiwanych zdarzeń finansowych (osoby o niskich dochodach, konsumenci zagrożeni nadmiernym zadłużeniem lub już nadmiernie zadłużeni).</w:t>
            </w:r>
          </w:p>
        </w:tc>
        <w:tc>
          <w:tcPr>
            <w:tcW w:w="3467" w:type="dxa"/>
          </w:tcPr>
          <w:p w14:paraId="1916E800" w14:textId="5041547D" w:rsidR="00F63874" w:rsidRPr="00271D0C" w:rsidRDefault="00F63874" w:rsidP="002351FF">
            <w:pPr>
              <w:pStyle w:val="TableCell"/>
              <w:widowControl/>
              <w:numPr>
                <w:ilvl w:val="0"/>
                <w:numId w:val="52"/>
              </w:numPr>
              <w:jc w:val="left"/>
              <w:rPr>
                <w:lang w:val="pl-PL"/>
              </w:rPr>
            </w:pPr>
            <w:bookmarkStart w:id="3" w:name="_Hlk189045845"/>
            <w:r w:rsidRPr="00271D0C">
              <w:rPr>
                <w:b/>
                <w:bCs/>
                <w:lang w:val="pl-PL"/>
              </w:rPr>
              <w:t>Przygotowanie</w:t>
            </w:r>
            <w:r w:rsidR="0052260F" w:rsidRPr="00271D0C">
              <w:rPr>
                <w:b/>
                <w:bCs/>
                <w:lang w:val="pl-PL"/>
              </w:rPr>
              <w:t xml:space="preserve"> ogólnych założeń</w:t>
            </w:r>
            <w:r w:rsidRPr="00271D0C">
              <w:rPr>
                <w:b/>
                <w:bCs/>
                <w:lang w:val="pl-PL"/>
              </w:rPr>
              <w:t xml:space="preserve">  kampanii</w:t>
            </w:r>
            <w:r w:rsidRPr="00271D0C">
              <w:rPr>
                <w:lang w:val="pl-PL"/>
              </w:rPr>
              <w:t xml:space="preserve"> informacyjnej na temat ryzyka związanego z zaciąganiem kredytów i pożyczek, nadmiernym zadłużeniem oraz na temat znaczenia tworzenia „buforów” finansowych lub pozyskania ubezpieczenia w celu ochrony odporności finansowej gospodarstw domowych w sytuacji nieoczekiwanych zdarzeń finansowych. </w:t>
            </w:r>
            <w:bookmarkEnd w:id="3"/>
          </w:p>
        </w:tc>
        <w:tc>
          <w:tcPr>
            <w:tcW w:w="3328" w:type="dxa"/>
          </w:tcPr>
          <w:p w14:paraId="1FE85BCB" w14:textId="6878A99E" w:rsidR="00F63874" w:rsidRPr="00271D0C" w:rsidRDefault="00F63874" w:rsidP="001B6DE0">
            <w:pPr>
              <w:pStyle w:val="TableCell"/>
              <w:widowControl/>
              <w:numPr>
                <w:ilvl w:val="0"/>
                <w:numId w:val="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Przygotowanie </w:t>
            </w:r>
            <w:r w:rsidR="00F71DB6" w:rsidRPr="00271D0C">
              <w:rPr>
                <w:lang w:val="pl-PL"/>
              </w:rPr>
              <w:t>przez</w:t>
            </w:r>
            <w:r w:rsidRPr="00271D0C">
              <w:rPr>
                <w:lang w:val="pl-PL"/>
              </w:rPr>
              <w:t xml:space="preserve"> KW </w:t>
            </w:r>
            <w:r w:rsidR="009F1444">
              <w:rPr>
                <w:lang w:val="pl-PL"/>
              </w:rPr>
              <w:t>we współpracy z interesariuszami edukacji finansowej</w:t>
            </w:r>
            <w:r w:rsidR="009F1444" w:rsidRPr="00271D0C">
              <w:rPr>
                <w:lang w:val="pl-PL"/>
              </w:rPr>
              <w:t xml:space="preserve"> </w:t>
            </w:r>
            <w:r w:rsidR="00F71DB6" w:rsidRPr="00271D0C">
              <w:rPr>
                <w:lang w:val="pl-PL"/>
              </w:rPr>
              <w:t>ogólnych założeń kampanii</w:t>
            </w:r>
            <w:r w:rsidRPr="00271D0C">
              <w:rPr>
                <w:lang w:val="pl-PL"/>
              </w:rPr>
              <w:t>, o któr</w:t>
            </w:r>
            <w:r w:rsidR="00F71DB6" w:rsidRPr="00271D0C">
              <w:rPr>
                <w:lang w:val="pl-PL"/>
              </w:rPr>
              <w:t>ej</w:t>
            </w:r>
            <w:r w:rsidRPr="00271D0C">
              <w:rPr>
                <w:lang w:val="pl-PL"/>
              </w:rPr>
              <w:t xml:space="preserve"> mowa w pkt 6 obok</w:t>
            </w:r>
            <w:r w:rsidR="00F71DB6" w:rsidRPr="00271D0C">
              <w:rPr>
                <w:lang w:val="pl-PL"/>
              </w:rPr>
              <w:t>.</w:t>
            </w:r>
          </w:p>
        </w:tc>
        <w:tc>
          <w:tcPr>
            <w:tcW w:w="1418" w:type="dxa"/>
          </w:tcPr>
          <w:p w14:paraId="0734C683" w14:textId="47723A97" w:rsidR="00F63874" w:rsidRPr="00271D0C" w:rsidRDefault="00F71DB6" w:rsidP="002351FF">
            <w:pPr>
              <w:pStyle w:val="TableCell"/>
              <w:widowControl/>
              <w:numPr>
                <w:ilvl w:val="0"/>
                <w:numId w:val="18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KW</w:t>
            </w:r>
          </w:p>
        </w:tc>
        <w:tc>
          <w:tcPr>
            <w:tcW w:w="1246" w:type="dxa"/>
          </w:tcPr>
          <w:p w14:paraId="2D1E348D" w14:textId="2A6293B3" w:rsidR="00F63874" w:rsidRPr="00271D0C" w:rsidRDefault="00F63874" w:rsidP="002351FF">
            <w:pPr>
              <w:pStyle w:val="TableCell"/>
              <w:widowControl/>
              <w:numPr>
                <w:ilvl w:val="0"/>
                <w:numId w:val="5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</w:t>
            </w:r>
            <w:r w:rsidR="00F71DB6" w:rsidRPr="00271D0C">
              <w:rPr>
                <w:lang w:val="pl-PL"/>
              </w:rPr>
              <w:t>II</w:t>
            </w:r>
            <w:r w:rsidRPr="00271D0C">
              <w:rPr>
                <w:lang w:val="pl-PL"/>
              </w:rPr>
              <w:t xml:space="preserve"> kw.</w:t>
            </w:r>
          </w:p>
        </w:tc>
      </w:tr>
      <w:tr w:rsidR="00F63874" w:rsidRPr="00271D0C" w14:paraId="438BD64F" w14:textId="1C7C4884" w:rsidTr="00D575F3">
        <w:trPr>
          <w:trHeight w:val="1031"/>
        </w:trPr>
        <w:tc>
          <w:tcPr>
            <w:tcW w:w="1476" w:type="dxa"/>
            <w:vMerge/>
            <w:hideMark/>
          </w:tcPr>
          <w:p w14:paraId="0187AFAF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hideMark/>
          </w:tcPr>
          <w:p w14:paraId="4D6B7F86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i wdrożenie programów mających na celu podniesienie poziomu cyfrowych kompetencji finansowych mieszkańców Polski.</w:t>
            </w:r>
          </w:p>
        </w:tc>
        <w:tc>
          <w:tcPr>
            <w:tcW w:w="3467" w:type="dxa"/>
          </w:tcPr>
          <w:p w14:paraId="09525DCD" w14:textId="5CD7731E" w:rsidR="00F63874" w:rsidRPr="00271D0C" w:rsidRDefault="00F63874" w:rsidP="002351FF">
            <w:pPr>
              <w:pStyle w:val="TableCell"/>
              <w:widowControl/>
              <w:numPr>
                <w:ilvl w:val="0"/>
                <w:numId w:val="53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 xml:space="preserve">Rekomendowanie </w:t>
            </w:r>
            <w:r w:rsidRPr="00271D0C">
              <w:rPr>
                <w:lang w:val="pl-PL"/>
              </w:rPr>
              <w:t>interesariuszom edukacji finansowej opracowywania i wdrażania programów mających na celu podniesienie poziomu cyfrowych kompetencji finansowych mieszkańców Polski.</w:t>
            </w:r>
          </w:p>
        </w:tc>
        <w:tc>
          <w:tcPr>
            <w:tcW w:w="3328" w:type="dxa"/>
          </w:tcPr>
          <w:p w14:paraId="621CC2A8" w14:textId="4C4D29F1" w:rsidR="00F63874" w:rsidRPr="00271D0C" w:rsidRDefault="00F63874" w:rsidP="001B6DE0">
            <w:pPr>
              <w:pStyle w:val="TableCell"/>
              <w:widowControl/>
              <w:numPr>
                <w:ilvl w:val="0"/>
                <w:numId w:val="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pkt 1.</w:t>
            </w:r>
          </w:p>
        </w:tc>
        <w:tc>
          <w:tcPr>
            <w:tcW w:w="1418" w:type="dxa"/>
          </w:tcPr>
          <w:p w14:paraId="18FE8C63" w14:textId="14D52D6E" w:rsidR="00F63874" w:rsidRPr="00271D0C" w:rsidRDefault="00D575F3" w:rsidP="002351FF">
            <w:pPr>
              <w:pStyle w:val="TableCell"/>
              <w:widowControl/>
              <w:numPr>
                <w:ilvl w:val="0"/>
                <w:numId w:val="19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</w:t>
            </w:r>
          </w:p>
        </w:tc>
        <w:tc>
          <w:tcPr>
            <w:tcW w:w="1246" w:type="dxa"/>
          </w:tcPr>
          <w:p w14:paraId="0309E56D" w14:textId="0EB0356F" w:rsidR="00F63874" w:rsidRPr="00271D0C" w:rsidRDefault="00F63874" w:rsidP="002351FF">
            <w:pPr>
              <w:pStyle w:val="TableCell"/>
              <w:widowControl/>
              <w:numPr>
                <w:ilvl w:val="0"/>
                <w:numId w:val="5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 kw.</w:t>
            </w:r>
          </w:p>
        </w:tc>
      </w:tr>
      <w:tr w:rsidR="00F63874" w:rsidRPr="00271D0C" w14:paraId="0EAD8FE5" w14:textId="1ED185AB" w:rsidTr="00D575F3">
        <w:tc>
          <w:tcPr>
            <w:tcW w:w="1476" w:type="dxa"/>
            <w:vMerge/>
            <w:hideMark/>
          </w:tcPr>
          <w:p w14:paraId="66A97EA5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0F6C7A01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Opracowanie i wdrożenie działań podnoszących świadomość na temat różnych rodzajów ryzyka związanego z </w:t>
            </w:r>
            <w:r w:rsidRPr="00271D0C">
              <w:rPr>
                <w:lang w:val="pl-PL"/>
              </w:rPr>
              <w:lastRenderedPageBreak/>
              <w:t>cyberbezpieczeństwem oraz oszustwami i próbami wyłudzenia w Internecie, tak by mieszkańcy Polski wiedzieli, jak bezpiecznie korzystać z narzędzi i usług online.</w:t>
            </w:r>
          </w:p>
        </w:tc>
        <w:tc>
          <w:tcPr>
            <w:tcW w:w="3467" w:type="dxa"/>
          </w:tcPr>
          <w:p w14:paraId="6FCE18B4" w14:textId="0C8F8E3D" w:rsidR="00F63874" w:rsidRPr="00271D0C" w:rsidRDefault="00F63874" w:rsidP="002351FF">
            <w:pPr>
              <w:pStyle w:val="TableCell"/>
              <w:widowControl/>
              <w:numPr>
                <w:ilvl w:val="0"/>
                <w:numId w:val="54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Realizacja</w:t>
            </w:r>
            <w:r w:rsidRPr="00271D0C">
              <w:rPr>
                <w:lang w:val="pl-PL"/>
              </w:rPr>
              <w:t xml:space="preserve"> </w:t>
            </w:r>
            <w:r w:rsidRPr="00271D0C">
              <w:rPr>
                <w:b/>
                <w:bCs/>
                <w:lang w:val="pl-PL"/>
              </w:rPr>
              <w:t>kampanii</w:t>
            </w:r>
            <w:r w:rsidRPr="00271D0C">
              <w:rPr>
                <w:lang w:val="pl-PL"/>
              </w:rPr>
              <w:t xml:space="preserve"> informacyjnej nt. bezpieczeństwa finansowego, w tym </w:t>
            </w:r>
            <w:r w:rsidRPr="00271D0C">
              <w:rPr>
                <w:lang w:val="pl-PL"/>
              </w:rPr>
              <w:lastRenderedPageBreak/>
              <w:t xml:space="preserve">bezpieczeństwa finansowego w Internecie, </w:t>
            </w:r>
            <w:r w:rsidRPr="00271D0C">
              <w:rPr>
                <w:b/>
                <w:bCs/>
                <w:lang w:val="pl-PL"/>
              </w:rPr>
              <w:t>finansowanej z FEF.</w:t>
            </w:r>
          </w:p>
        </w:tc>
        <w:tc>
          <w:tcPr>
            <w:tcW w:w="3328" w:type="dxa"/>
          </w:tcPr>
          <w:p w14:paraId="20B34589" w14:textId="772BD12F" w:rsidR="00F63874" w:rsidRPr="00271D0C" w:rsidRDefault="00F63874" w:rsidP="002351FF">
            <w:pPr>
              <w:pStyle w:val="TableCell"/>
              <w:widowControl/>
              <w:numPr>
                <w:ilvl w:val="0"/>
                <w:numId w:val="2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 xml:space="preserve">Realizacja kampanii, o której mowa w pkt 8 obok, przez wykonawcę wyłonionego w </w:t>
            </w:r>
            <w:r w:rsidRPr="00271D0C">
              <w:rPr>
                <w:lang w:val="pl-PL"/>
              </w:rPr>
              <w:lastRenderedPageBreak/>
              <w:t>ramach konkursu ogłoszonego przez MF w listopadzie 2024 r.</w:t>
            </w:r>
          </w:p>
        </w:tc>
        <w:tc>
          <w:tcPr>
            <w:tcW w:w="1418" w:type="dxa"/>
          </w:tcPr>
          <w:p w14:paraId="0EC5CE08" w14:textId="4CB3EAF6" w:rsidR="00F63874" w:rsidRPr="00271D0C" w:rsidRDefault="00D575F3" w:rsidP="002351FF">
            <w:pPr>
              <w:pStyle w:val="TableCell"/>
              <w:widowControl/>
              <w:numPr>
                <w:ilvl w:val="0"/>
                <w:numId w:val="20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MF</w:t>
            </w:r>
          </w:p>
        </w:tc>
        <w:tc>
          <w:tcPr>
            <w:tcW w:w="1246" w:type="dxa"/>
          </w:tcPr>
          <w:p w14:paraId="4DCDD356" w14:textId="785C7A1E" w:rsidR="00F63874" w:rsidRPr="00271D0C" w:rsidRDefault="00F63874" w:rsidP="002351FF">
            <w:pPr>
              <w:pStyle w:val="TableCell"/>
              <w:widowControl/>
              <w:numPr>
                <w:ilvl w:val="0"/>
                <w:numId w:val="5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i IV kw.</w:t>
            </w:r>
          </w:p>
        </w:tc>
      </w:tr>
      <w:tr w:rsidR="00F63874" w:rsidRPr="00271D0C" w14:paraId="781D0F31" w14:textId="49F3DB20" w:rsidTr="00D575F3">
        <w:tc>
          <w:tcPr>
            <w:tcW w:w="1476" w:type="dxa"/>
            <w:vMerge w:val="restart"/>
            <w:hideMark/>
          </w:tcPr>
          <w:p w14:paraId="3375F3B2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2. Poprawa zdolności mieszkańców Polski do podejmowania długoterminowych decyzji finansowych oraz zabezpieczenia własnego dobrostanu finansowego w długim okresie i na starość</w:t>
            </w:r>
          </w:p>
        </w:tc>
        <w:tc>
          <w:tcPr>
            <w:tcW w:w="3069" w:type="dxa"/>
            <w:noWrap/>
            <w:hideMark/>
          </w:tcPr>
          <w:p w14:paraId="4F12D3A6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Nawiązanie współpracy z Zakładem Ubezpieczeń Społecznych i innymi podmiotami systemu emerytalnego w celu opracowania programów rozwijania świadomości na temat znaczenia długoterminowego oszczędzania, znajomości systemu emerytalnego oraz ustalania oczekiwanego poziomu dochodu na emeryturze na podstawie kwoty wniesionych składek.</w:t>
            </w:r>
          </w:p>
        </w:tc>
        <w:tc>
          <w:tcPr>
            <w:tcW w:w="3467" w:type="dxa"/>
          </w:tcPr>
          <w:p w14:paraId="3FFFA7C7" w14:textId="6D01E7A2" w:rsidR="00F63874" w:rsidRPr="00271D0C" w:rsidRDefault="00F63874" w:rsidP="001E0940">
            <w:pPr>
              <w:pStyle w:val="TableCell"/>
              <w:widowControl/>
              <w:numPr>
                <w:ilvl w:val="0"/>
                <w:numId w:val="55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Nawiązanie współpracy</w:t>
            </w:r>
            <w:r w:rsidRPr="00271D0C">
              <w:rPr>
                <w:lang w:val="pl-PL"/>
              </w:rPr>
              <w:t xml:space="preserve"> z ZUS i innymi podmiotami systemu emerytalnego w celu opracowania programów rozwijania świadomości na temat znaczenia długoterminowego oszczędzania, znajomości systemu emerytalnego oraz ustalania oczekiwanego poziomu dochodu na emeryturze na podstawie kwoty wniesionych składek.</w:t>
            </w:r>
          </w:p>
        </w:tc>
        <w:tc>
          <w:tcPr>
            <w:tcW w:w="3328" w:type="dxa"/>
          </w:tcPr>
          <w:p w14:paraId="6AFB0C40" w14:textId="7C2634B4" w:rsidR="00F63874" w:rsidRPr="00271D0C" w:rsidRDefault="00F63874" w:rsidP="002351FF">
            <w:pPr>
              <w:pStyle w:val="Akapitzlist"/>
              <w:numPr>
                <w:ilvl w:val="0"/>
                <w:numId w:val="6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 xml:space="preserve">Pisemne wystąpienie REF/MF  (w zależności od </w:t>
            </w:r>
            <w:r w:rsidR="00457D48" w:rsidRPr="00271D0C">
              <w:rPr>
                <w:color w:val="000000" w:themeColor="text1"/>
                <w:lang w:val="pl-PL"/>
              </w:rPr>
              <w:t xml:space="preserve">rodzaju </w:t>
            </w:r>
            <w:r w:rsidRPr="00271D0C">
              <w:rPr>
                <w:color w:val="000000" w:themeColor="text1"/>
                <w:lang w:val="pl-PL"/>
              </w:rPr>
              <w:t>podmiotu) do ZUS i innych podmiotów systemu emerytalnego, z propozycją nawiązania współpracy, o której mowa w pkt 9 obok.</w:t>
            </w:r>
          </w:p>
        </w:tc>
        <w:tc>
          <w:tcPr>
            <w:tcW w:w="1418" w:type="dxa"/>
          </w:tcPr>
          <w:p w14:paraId="55AAB683" w14:textId="7035CC00" w:rsidR="00F63874" w:rsidRPr="00271D0C" w:rsidRDefault="00457D48" w:rsidP="002351FF">
            <w:pPr>
              <w:pStyle w:val="TableCell"/>
              <w:widowControl/>
              <w:numPr>
                <w:ilvl w:val="0"/>
                <w:numId w:val="2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40B08A95" w14:textId="557DC992" w:rsidR="00F63874" w:rsidRPr="00271D0C" w:rsidRDefault="00F63874" w:rsidP="002351FF">
            <w:pPr>
              <w:pStyle w:val="TableCell"/>
              <w:widowControl/>
              <w:numPr>
                <w:ilvl w:val="0"/>
                <w:numId w:val="5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 i III kw.</w:t>
            </w:r>
          </w:p>
        </w:tc>
      </w:tr>
      <w:tr w:rsidR="00F63874" w:rsidRPr="00271D0C" w14:paraId="721F3315" w14:textId="0F47F298" w:rsidTr="00D575F3">
        <w:tc>
          <w:tcPr>
            <w:tcW w:w="1476" w:type="dxa"/>
            <w:vMerge/>
            <w:hideMark/>
          </w:tcPr>
          <w:p w14:paraId="0DDCB7C0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6781F86B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Przygotowanie kampanii dnia/tygodnia świadomości emerytalnej, organizowanej raz w roku z udziałem wszystkich właściwych interesariuszy, w celu promowania wiedzy na temat emerytur.</w:t>
            </w:r>
          </w:p>
        </w:tc>
        <w:tc>
          <w:tcPr>
            <w:tcW w:w="3467" w:type="dxa"/>
          </w:tcPr>
          <w:p w14:paraId="643F7A9E" w14:textId="043E8F52" w:rsidR="00F63874" w:rsidRPr="00271D0C" w:rsidRDefault="00F377A2" w:rsidP="002351FF">
            <w:pPr>
              <w:pStyle w:val="TableCell"/>
              <w:widowControl/>
              <w:numPr>
                <w:ilvl w:val="0"/>
                <w:numId w:val="56"/>
              </w:numPr>
              <w:jc w:val="left"/>
              <w:rPr>
                <w:lang w:val="pl-PL"/>
              </w:rPr>
            </w:pPr>
            <w:bookmarkStart w:id="4" w:name="_Hlk189037141"/>
            <w:r w:rsidRPr="00271D0C">
              <w:rPr>
                <w:b/>
                <w:bCs/>
                <w:lang w:val="pl-PL"/>
              </w:rPr>
              <w:t>Rozpoczęcie prac nad o</w:t>
            </w:r>
            <w:r w:rsidR="00F63874" w:rsidRPr="00271D0C">
              <w:rPr>
                <w:b/>
                <w:bCs/>
                <w:lang w:val="pl-PL"/>
              </w:rPr>
              <w:t>pracowanie</w:t>
            </w:r>
            <w:r w:rsidRPr="00271D0C">
              <w:rPr>
                <w:b/>
                <w:bCs/>
                <w:lang w:val="pl-PL"/>
              </w:rPr>
              <w:t>m</w:t>
            </w:r>
            <w:r w:rsidR="00F63874" w:rsidRPr="00271D0C">
              <w:rPr>
                <w:b/>
                <w:bCs/>
                <w:lang w:val="pl-PL"/>
              </w:rPr>
              <w:t xml:space="preserve"> koncepcji dnia/tygodnia </w:t>
            </w:r>
            <w:r w:rsidR="00F63874" w:rsidRPr="00271D0C">
              <w:rPr>
                <w:lang w:val="pl-PL"/>
              </w:rPr>
              <w:t xml:space="preserve">świadomości emerytalnej, docelowo organizowanych raz w roku z udziałem wszystkich właściwych interesariuszy, w celu promowania wiedzy na temat emerytur. </w:t>
            </w:r>
            <w:bookmarkEnd w:id="4"/>
          </w:p>
        </w:tc>
        <w:tc>
          <w:tcPr>
            <w:tcW w:w="3328" w:type="dxa"/>
          </w:tcPr>
          <w:p w14:paraId="131DCFDC" w14:textId="459BEA52" w:rsidR="000E644F" w:rsidRPr="00271D0C" w:rsidRDefault="00F377A2" w:rsidP="000E644F">
            <w:pPr>
              <w:pStyle w:val="TableCell"/>
              <w:widowControl/>
              <w:numPr>
                <w:ilvl w:val="0"/>
                <w:numId w:val="7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Rozpoczęcie prac nad w</w:t>
            </w:r>
            <w:r w:rsidR="00F63874" w:rsidRPr="00271D0C">
              <w:rPr>
                <w:lang w:val="pl-PL"/>
              </w:rPr>
              <w:t>ypracowanie</w:t>
            </w:r>
            <w:r w:rsidRPr="00271D0C">
              <w:rPr>
                <w:lang w:val="pl-PL"/>
              </w:rPr>
              <w:t>m</w:t>
            </w:r>
            <w:r w:rsidR="00F63874" w:rsidRPr="00271D0C">
              <w:rPr>
                <w:lang w:val="pl-PL"/>
              </w:rPr>
              <w:t xml:space="preserve"> przez KW</w:t>
            </w:r>
            <w:r w:rsidR="00353D9D" w:rsidRPr="00271D0C">
              <w:rPr>
                <w:lang w:val="pl-PL"/>
              </w:rPr>
              <w:t>,</w:t>
            </w:r>
            <w:r w:rsidR="00F63874" w:rsidRPr="00271D0C">
              <w:rPr>
                <w:lang w:val="pl-PL"/>
              </w:rPr>
              <w:t xml:space="preserve"> we współpracy z interesariuszami, o których mowa w pkt 9 obok, </w:t>
            </w:r>
            <w:r w:rsidR="000E644F" w:rsidRPr="00271D0C">
              <w:rPr>
                <w:lang w:val="pl-PL"/>
              </w:rPr>
              <w:t xml:space="preserve">koncepcji </w:t>
            </w:r>
            <w:r w:rsidR="00F63874" w:rsidRPr="00271D0C">
              <w:rPr>
                <w:lang w:val="pl-PL"/>
              </w:rPr>
              <w:t>kampanii dnia/tygodnia świadomości emerytalnej.</w:t>
            </w:r>
            <w:r w:rsidR="000E644F" w:rsidRPr="00271D0C">
              <w:rPr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14:paraId="5E0B9D33" w14:textId="5AA8CF2A" w:rsidR="00F63874" w:rsidRPr="00271D0C" w:rsidRDefault="00457D48" w:rsidP="002351FF">
            <w:pPr>
              <w:pStyle w:val="TableCell"/>
              <w:widowControl/>
              <w:numPr>
                <w:ilvl w:val="0"/>
                <w:numId w:val="2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KW</w:t>
            </w:r>
          </w:p>
        </w:tc>
        <w:tc>
          <w:tcPr>
            <w:tcW w:w="1246" w:type="dxa"/>
          </w:tcPr>
          <w:p w14:paraId="4511BB2E" w14:textId="11289C94" w:rsidR="00F63874" w:rsidRPr="00271D0C" w:rsidRDefault="00F63874" w:rsidP="002351FF">
            <w:pPr>
              <w:pStyle w:val="TableCell"/>
              <w:widowControl/>
              <w:numPr>
                <w:ilvl w:val="0"/>
                <w:numId w:val="57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</w:tc>
      </w:tr>
      <w:tr w:rsidR="00F63874" w:rsidRPr="00271D0C" w14:paraId="314F2C08" w14:textId="651D200B" w:rsidTr="00D575F3">
        <w:tc>
          <w:tcPr>
            <w:tcW w:w="1476" w:type="dxa"/>
            <w:vMerge/>
            <w:hideMark/>
          </w:tcPr>
          <w:p w14:paraId="31F7A6A7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04C113D6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i promowanie narzędzi cyfrowych (takich jak kalkulatory emerytury i oszczędności), które wykorzystać można do obliczenia świadczeń emerytalnych w oparciu o zgromadzone oszczędności, okres opłacania składek oraz inne parametry. Jeżeli jest to możliwe, narzędzia takie powinny być skrojone na miarę potrzeb konkretnych grupy docelowych.</w:t>
            </w:r>
          </w:p>
        </w:tc>
        <w:tc>
          <w:tcPr>
            <w:tcW w:w="3467" w:type="dxa"/>
          </w:tcPr>
          <w:p w14:paraId="01A32D68" w14:textId="667CEDC7" w:rsidR="00F63874" w:rsidRPr="00271D0C" w:rsidRDefault="00F63874" w:rsidP="002351FF">
            <w:pPr>
              <w:pStyle w:val="TableCell"/>
              <w:widowControl/>
              <w:numPr>
                <w:ilvl w:val="0"/>
                <w:numId w:val="57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Dokonanie przeglądu</w:t>
            </w:r>
            <w:r w:rsidRPr="00271D0C">
              <w:rPr>
                <w:lang w:val="pl-PL"/>
              </w:rPr>
              <w:t xml:space="preserve"> dostępnych już narzędzi cyfrowych (takich jak kalkulatory emerytury i oszczędności), które wykorzystać można do obliczenia świadczeń emerytalnych w oparciu o zgromadzone oszczędności, okres opłacania składek oraz inne parametry, w celu określenia potrzeb w tym zakresie.</w:t>
            </w:r>
            <w:r w:rsidR="00B3718B" w:rsidRPr="00271D0C">
              <w:rPr>
                <w:lang w:val="pl-PL"/>
              </w:rPr>
              <w:t xml:space="preserve"> Informacje o dostępnych kalkulatorach lub same kalkulatory zostaną zamieszczone na przyszłej platformie edukacji finansowej, o której mowa w pkt 16.</w:t>
            </w:r>
          </w:p>
        </w:tc>
        <w:tc>
          <w:tcPr>
            <w:tcW w:w="3328" w:type="dxa"/>
          </w:tcPr>
          <w:p w14:paraId="38F64DB7" w14:textId="055BF600" w:rsidR="00F63874" w:rsidRPr="00271D0C" w:rsidRDefault="00F63874" w:rsidP="002351FF">
            <w:pPr>
              <w:pStyle w:val="TableCell"/>
              <w:widowControl/>
              <w:numPr>
                <w:ilvl w:val="0"/>
                <w:numId w:val="8"/>
              </w:numPr>
              <w:jc w:val="left"/>
              <w:rPr>
                <w:b/>
                <w:bCs/>
                <w:lang w:val="pl-PL"/>
              </w:rPr>
            </w:pPr>
            <w:r w:rsidRPr="00271D0C">
              <w:rPr>
                <w:lang w:val="pl-PL"/>
              </w:rPr>
              <w:t>Dokonanie przez KW</w:t>
            </w:r>
            <w:r w:rsidR="003065DF" w:rsidRPr="00271D0C">
              <w:rPr>
                <w:lang w:val="pl-PL"/>
              </w:rPr>
              <w:t xml:space="preserve">, we współpracy z interesariuszami </w:t>
            </w:r>
            <w:r w:rsidR="00353D9D" w:rsidRPr="00271D0C">
              <w:rPr>
                <w:lang w:val="pl-PL"/>
              </w:rPr>
              <w:t>edukacji finansowej</w:t>
            </w:r>
            <w:r w:rsidR="003065DF" w:rsidRPr="00271D0C">
              <w:rPr>
                <w:lang w:val="pl-PL"/>
              </w:rPr>
              <w:t xml:space="preserve">, </w:t>
            </w:r>
            <w:r w:rsidRPr="00271D0C">
              <w:rPr>
                <w:lang w:val="pl-PL"/>
              </w:rPr>
              <w:t>przeglądu</w:t>
            </w:r>
            <w:r w:rsidR="003065DF" w:rsidRPr="00271D0C">
              <w:rPr>
                <w:lang w:val="pl-PL"/>
              </w:rPr>
              <w:t xml:space="preserve"> dostępnych narzędzi cyfrowych</w:t>
            </w:r>
            <w:r w:rsidRPr="00271D0C">
              <w:rPr>
                <w:lang w:val="pl-PL"/>
              </w:rPr>
              <w:t>, o którym mowa w pkt 11 obok</w:t>
            </w:r>
            <w:r w:rsidR="003065DF" w:rsidRPr="00271D0C">
              <w:rPr>
                <w:lang w:val="pl-PL"/>
              </w:rPr>
              <w:t>,</w:t>
            </w:r>
            <w:r w:rsidRPr="00271D0C">
              <w:rPr>
                <w:lang w:val="pl-PL"/>
              </w:rPr>
              <w:t xml:space="preserve"> </w:t>
            </w:r>
            <w:r w:rsidR="003065DF" w:rsidRPr="00271D0C">
              <w:rPr>
                <w:lang w:val="pl-PL"/>
              </w:rPr>
              <w:t>oraz</w:t>
            </w:r>
            <w:r w:rsidRPr="00271D0C">
              <w:rPr>
                <w:lang w:val="pl-PL"/>
              </w:rPr>
              <w:t xml:space="preserve"> przedstawienie rekomendacji  dot. potrzeb w tym zakresie</w:t>
            </w:r>
            <w:r w:rsidR="000E644F" w:rsidRPr="00271D0C">
              <w:rPr>
                <w:lang w:val="pl-PL"/>
              </w:rPr>
              <w:t>, które będą brane pod uwagę przy opracowywaniu kolejnych rocznych planów działań.</w:t>
            </w:r>
          </w:p>
        </w:tc>
        <w:tc>
          <w:tcPr>
            <w:tcW w:w="1418" w:type="dxa"/>
          </w:tcPr>
          <w:p w14:paraId="0C055345" w14:textId="4822D8A2" w:rsidR="00F63874" w:rsidRPr="00271D0C" w:rsidRDefault="00000D84" w:rsidP="002351FF">
            <w:pPr>
              <w:pStyle w:val="TableCell"/>
              <w:widowControl/>
              <w:numPr>
                <w:ilvl w:val="0"/>
                <w:numId w:val="2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KW</w:t>
            </w:r>
          </w:p>
        </w:tc>
        <w:tc>
          <w:tcPr>
            <w:tcW w:w="1246" w:type="dxa"/>
          </w:tcPr>
          <w:p w14:paraId="383777FB" w14:textId="1950544C" w:rsidR="00F63874" w:rsidRPr="00271D0C" w:rsidRDefault="00F63874" w:rsidP="002351FF">
            <w:pPr>
              <w:pStyle w:val="TableCell"/>
              <w:widowControl/>
              <w:numPr>
                <w:ilvl w:val="0"/>
                <w:numId w:val="58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</w:t>
            </w:r>
            <w:r w:rsidR="007C684D" w:rsidRPr="00271D0C">
              <w:rPr>
                <w:lang w:val="pl-PL"/>
              </w:rPr>
              <w:t>I</w:t>
            </w:r>
            <w:r w:rsidRPr="00271D0C">
              <w:rPr>
                <w:lang w:val="pl-PL"/>
              </w:rPr>
              <w:t xml:space="preserve"> kw.</w:t>
            </w:r>
          </w:p>
        </w:tc>
      </w:tr>
      <w:tr w:rsidR="00F63874" w:rsidRPr="00271D0C" w14:paraId="12F77AD1" w14:textId="5CF10D95" w:rsidTr="00D575F3">
        <w:tc>
          <w:tcPr>
            <w:tcW w:w="1476" w:type="dxa"/>
            <w:vMerge/>
            <w:hideMark/>
          </w:tcPr>
          <w:p w14:paraId="4558F557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00C8DA8F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Opracowanie i realizacja programów edukacji finansowej koncentrujących się na pomocy w zrozumieniu systemu emerytalnego, podnoszeniu świadomości na temat konieczności gromadzenia oszczędności w dłuższym okresie w celu uzupełnienia emerytury oraz wsparciu w wyborze indywidualnych planów emerytalnych lub jakiejkolwiek innej długoterminowej inwestycji, </w:t>
            </w:r>
            <w:r w:rsidRPr="00271D0C">
              <w:rPr>
                <w:lang w:val="pl-PL"/>
              </w:rPr>
              <w:lastRenderedPageBreak/>
              <w:t>a także gromadzeniu aktywów oraz oszczędności emerytalnych, z jednoczesnym uwzględnieniem wpływu podwyższonej inflacji.</w:t>
            </w:r>
          </w:p>
        </w:tc>
        <w:tc>
          <w:tcPr>
            <w:tcW w:w="3467" w:type="dxa"/>
          </w:tcPr>
          <w:p w14:paraId="7B56D1F9" w14:textId="54C7886C" w:rsidR="00F63874" w:rsidRPr="00271D0C" w:rsidRDefault="00F63874" w:rsidP="003E6501">
            <w:pPr>
              <w:pStyle w:val="TableCell"/>
              <w:widowControl/>
              <w:ind w:left="360"/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Działanie do realizacji w kolejnych latach</w:t>
            </w:r>
            <w:r w:rsidRPr="00271D0C">
              <w:rPr>
                <w:lang w:val="pl-PL"/>
              </w:rPr>
              <w:t xml:space="preserve"> (2026-2027)</w:t>
            </w:r>
          </w:p>
        </w:tc>
        <w:tc>
          <w:tcPr>
            <w:tcW w:w="3328" w:type="dxa"/>
          </w:tcPr>
          <w:p w14:paraId="777F3144" w14:textId="77777777" w:rsidR="00F63874" w:rsidRPr="00271D0C" w:rsidRDefault="00F63874" w:rsidP="003E6501">
            <w:pPr>
              <w:pStyle w:val="TableCell"/>
              <w:widowControl/>
              <w:ind w:left="360"/>
              <w:jc w:val="left"/>
              <w:rPr>
                <w:b/>
                <w:bCs/>
                <w:lang w:val="pl-PL"/>
              </w:rPr>
            </w:pPr>
          </w:p>
        </w:tc>
        <w:tc>
          <w:tcPr>
            <w:tcW w:w="1418" w:type="dxa"/>
          </w:tcPr>
          <w:p w14:paraId="282F81A7" w14:textId="77777777" w:rsidR="00F63874" w:rsidRPr="00271D0C" w:rsidRDefault="00F63874" w:rsidP="003E6501">
            <w:pPr>
              <w:pStyle w:val="TableCell"/>
              <w:widowControl/>
              <w:ind w:left="360"/>
              <w:jc w:val="left"/>
              <w:rPr>
                <w:b/>
                <w:bCs/>
                <w:lang w:val="pl-PL"/>
              </w:rPr>
            </w:pPr>
          </w:p>
        </w:tc>
        <w:tc>
          <w:tcPr>
            <w:tcW w:w="1246" w:type="dxa"/>
          </w:tcPr>
          <w:p w14:paraId="56440694" w14:textId="43582926" w:rsidR="00F63874" w:rsidRPr="00271D0C" w:rsidRDefault="00F63874" w:rsidP="003E6501">
            <w:pPr>
              <w:pStyle w:val="TableCell"/>
              <w:widowControl/>
              <w:ind w:left="360"/>
              <w:jc w:val="left"/>
              <w:rPr>
                <w:b/>
                <w:bCs/>
                <w:lang w:val="pl-PL"/>
              </w:rPr>
            </w:pPr>
          </w:p>
        </w:tc>
      </w:tr>
      <w:tr w:rsidR="00F63874" w:rsidRPr="00271D0C" w14:paraId="43D86A0D" w14:textId="549A31B6" w:rsidTr="00D575F3">
        <w:tc>
          <w:tcPr>
            <w:tcW w:w="1476" w:type="dxa"/>
            <w:vMerge/>
            <w:hideMark/>
          </w:tcPr>
          <w:p w14:paraId="3B2F7290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264ADD36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Nawiązanie współpracy z instytucjami publicznymi oraz organizacjami pracodawców, w celu pomocy pracodawcom w promowaniu programów edukacji finansowej w miejscu pracy, które koncentrują się, między innymi, na podnoszeniu wiedzy pracowników, jak również kształtowaniu ich postaw oraz rozwoju umiejętności w zakresie planowania/oszczędzania z myślą o emeryturze. </w:t>
            </w:r>
          </w:p>
        </w:tc>
        <w:tc>
          <w:tcPr>
            <w:tcW w:w="3467" w:type="dxa"/>
          </w:tcPr>
          <w:p w14:paraId="540BFF66" w14:textId="09791945" w:rsidR="00F63874" w:rsidRPr="00271D0C" w:rsidRDefault="00F63874" w:rsidP="002351FF">
            <w:pPr>
              <w:pStyle w:val="TableCell"/>
              <w:widowControl/>
              <w:numPr>
                <w:ilvl w:val="0"/>
                <w:numId w:val="25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Nawiązanie współpracy</w:t>
            </w:r>
            <w:r w:rsidRPr="00271D0C">
              <w:rPr>
                <w:lang w:val="pl-PL"/>
              </w:rPr>
              <w:t xml:space="preserve"> z instytucjami publicznymi oraz organizacjami pracodawców, w celu pomocy pracodawcom w promowaniu programów edukacji finansowej w miejscu pracy, które koncentrują się, między innymi, na podnoszeniu wiedzy pracowników, jak również kształtowaniu ich postaw oraz rozwoju umiejętności w zakresie planowania</w:t>
            </w:r>
            <w:r w:rsidR="00107E4C" w:rsidRPr="00271D0C">
              <w:rPr>
                <w:lang w:val="pl-PL"/>
              </w:rPr>
              <w:t xml:space="preserve"> i </w:t>
            </w:r>
            <w:r w:rsidRPr="00271D0C">
              <w:rPr>
                <w:lang w:val="pl-PL"/>
              </w:rPr>
              <w:t>oszczędzania z myślą o emeryturze.</w:t>
            </w:r>
          </w:p>
        </w:tc>
        <w:tc>
          <w:tcPr>
            <w:tcW w:w="3328" w:type="dxa"/>
          </w:tcPr>
          <w:p w14:paraId="2CF47CF6" w14:textId="2D864474" w:rsidR="00F63874" w:rsidRPr="00271D0C" w:rsidRDefault="00F63874" w:rsidP="002351FF">
            <w:pPr>
              <w:pStyle w:val="TableCell"/>
              <w:widowControl/>
              <w:numPr>
                <w:ilvl w:val="0"/>
                <w:numId w:val="9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wystąpienie REF/MF  (w zależności od </w:t>
            </w:r>
            <w:r w:rsidR="007904F7" w:rsidRPr="00271D0C">
              <w:rPr>
                <w:lang w:val="pl-PL"/>
              </w:rPr>
              <w:t xml:space="preserve">rodzaju </w:t>
            </w:r>
            <w:r w:rsidRPr="00271D0C">
              <w:rPr>
                <w:lang w:val="pl-PL"/>
              </w:rPr>
              <w:t>podmiotu) do instytucji i organizacji, o których mowa w pkt 12 obok, z propozycją nawiązania współpracy w celu promowania programów edukacji finansowej w miejscu pracy.</w:t>
            </w:r>
          </w:p>
        </w:tc>
        <w:tc>
          <w:tcPr>
            <w:tcW w:w="1418" w:type="dxa"/>
          </w:tcPr>
          <w:p w14:paraId="75C8B49A" w14:textId="48E3444E" w:rsidR="00F63874" w:rsidRPr="00271D0C" w:rsidRDefault="007904F7" w:rsidP="002351FF">
            <w:pPr>
              <w:pStyle w:val="TableCell"/>
              <w:widowControl/>
              <w:numPr>
                <w:ilvl w:val="0"/>
                <w:numId w:val="2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1A986C22" w14:textId="418DBE42" w:rsidR="00F63874" w:rsidRPr="00271D0C" w:rsidRDefault="00F63874" w:rsidP="002351FF">
            <w:pPr>
              <w:pStyle w:val="TableCell"/>
              <w:widowControl/>
              <w:numPr>
                <w:ilvl w:val="0"/>
                <w:numId w:val="59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kw.</w:t>
            </w:r>
          </w:p>
        </w:tc>
      </w:tr>
      <w:tr w:rsidR="00F63874" w:rsidRPr="00271D0C" w14:paraId="31309FEF" w14:textId="3FA7C429" w:rsidTr="00D575F3">
        <w:tc>
          <w:tcPr>
            <w:tcW w:w="1476" w:type="dxa"/>
            <w:hideMark/>
          </w:tcPr>
          <w:p w14:paraId="606946FE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3. Poprawa zrozumienia i zdolności mieszkańców Polski do korzystania z możliwości związanych z inwestycjami na rynku finansowym, przy jednoczesnym zarządzaniu ryzykiem</w:t>
            </w:r>
          </w:p>
        </w:tc>
        <w:tc>
          <w:tcPr>
            <w:tcW w:w="3069" w:type="dxa"/>
            <w:noWrap/>
            <w:hideMark/>
          </w:tcPr>
          <w:p w14:paraId="41D5690C" w14:textId="4318787F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Opracowanie programów edukacji finansowej koncentrujących się na oszczędzaniu i inwestowaniu, prezentujących charakterystykę oraz ryzyka związane różnymi rodzajami produktów w tych obszarach. Tego typu programy edukacji finansowej mogłyby być dostarczane w miejscu pracy lub na uczelniach oraz – tam, gdzie to właściwe – w szkołach (koncentrując się na zagrożeniach związanych z takimi produktami). </w:t>
            </w:r>
          </w:p>
        </w:tc>
        <w:tc>
          <w:tcPr>
            <w:tcW w:w="3467" w:type="dxa"/>
          </w:tcPr>
          <w:p w14:paraId="62214BC4" w14:textId="77CEC48B" w:rsidR="00F63874" w:rsidRPr="00271D0C" w:rsidRDefault="00F63874" w:rsidP="00271D0C">
            <w:pPr>
              <w:pStyle w:val="Akapitzlist"/>
              <w:numPr>
                <w:ilvl w:val="0"/>
                <w:numId w:val="59"/>
              </w:numPr>
              <w:spacing w:before="0"/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 xml:space="preserve">Rekomendowanie </w:t>
            </w:r>
            <w:r w:rsidRPr="00271D0C">
              <w:rPr>
                <w:color w:val="000000" w:themeColor="text1"/>
                <w:lang w:val="pl-PL"/>
              </w:rPr>
              <w:t xml:space="preserve">interesariuszom edukacji finansowej opracowywania i wdrażania </w:t>
            </w:r>
            <w:r w:rsidRPr="00271D0C">
              <w:rPr>
                <w:lang w:val="pl-PL"/>
              </w:rPr>
              <w:t>nowych oraz istniejących programów koncentrujących się na oszczędzaniu i inwestowaniu, prezentujących charakterystykę oraz ryzyka związane różnymi rodzajami produktów w tych obszarach.</w:t>
            </w:r>
          </w:p>
          <w:p w14:paraId="3AB198E8" w14:textId="5B77B553" w:rsidR="00F63874" w:rsidRPr="00271D0C" w:rsidRDefault="00F63874" w:rsidP="002351FF">
            <w:pPr>
              <w:pStyle w:val="TableCell"/>
              <w:widowControl/>
              <w:numPr>
                <w:ilvl w:val="0"/>
                <w:numId w:val="59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Wspieranie</w:t>
            </w:r>
            <w:r w:rsidRPr="00271D0C">
              <w:rPr>
                <w:lang w:val="pl-PL"/>
              </w:rPr>
              <w:t xml:space="preserve"> opracowania i wdrożenia nowych oraz istniejących programów edukacji finansowej, o których mowa w punkcie 13, poprzez priorytetowe </w:t>
            </w:r>
            <w:r w:rsidR="00107E4C" w:rsidRPr="00271D0C">
              <w:rPr>
                <w:lang w:val="pl-PL"/>
              </w:rPr>
              <w:t xml:space="preserve">traktowanie wniosków o przyznanie </w:t>
            </w:r>
            <w:r w:rsidRPr="00271D0C">
              <w:rPr>
                <w:lang w:val="pl-PL"/>
              </w:rPr>
              <w:t xml:space="preserve">dotacji </w:t>
            </w:r>
            <w:r w:rsidRPr="00271D0C">
              <w:rPr>
                <w:b/>
                <w:bCs/>
                <w:lang w:val="pl-PL"/>
              </w:rPr>
              <w:t>z FEF</w:t>
            </w:r>
            <w:r w:rsidRPr="00271D0C">
              <w:rPr>
                <w:lang w:val="pl-PL"/>
              </w:rPr>
              <w:t xml:space="preserve"> na ich opracowanie i wdrażanie</w:t>
            </w:r>
            <w:r w:rsidR="00107E4C" w:rsidRPr="00271D0C">
              <w:rPr>
                <w:lang w:val="pl-PL"/>
              </w:rPr>
              <w:t>, składanych w ramach procedury nieobjętej programem.</w:t>
            </w:r>
          </w:p>
        </w:tc>
        <w:tc>
          <w:tcPr>
            <w:tcW w:w="3328" w:type="dxa"/>
          </w:tcPr>
          <w:p w14:paraId="1E971B92" w14:textId="77777777" w:rsidR="00F63874" w:rsidRPr="00271D0C" w:rsidRDefault="00F63874" w:rsidP="002351FF">
            <w:pPr>
              <w:pStyle w:val="Akapitzlist"/>
              <w:numPr>
                <w:ilvl w:val="0"/>
                <w:numId w:val="1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Pkt 1.</w:t>
            </w:r>
          </w:p>
          <w:p w14:paraId="29A7DE45" w14:textId="1B32E5E8" w:rsidR="00F63874" w:rsidRPr="00271D0C" w:rsidRDefault="00F63874" w:rsidP="002351FF">
            <w:pPr>
              <w:pStyle w:val="Akapitzlist"/>
              <w:numPr>
                <w:ilvl w:val="0"/>
                <w:numId w:val="1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Pkt 2</w:t>
            </w:r>
          </w:p>
        </w:tc>
        <w:tc>
          <w:tcPr>
            <w:tcW w:w="1418" w:type="dxa"/>
          </w:tcPr>
          <w:p w14:paraId="31471D4F" w14:textId="77777777" w:rsidR="00F63874" w:rsidRPr="00271D0C" w:rsidRDefault="007904F7" w:rsidP="002351FF">
            <w:pPr>
              <w:pStyle w:val="Akapitzlist"/>
              <w:numPr>
                <w:ilvl w:val="0"/>
                <w:numId w:val="27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REF</w:t>
            </w:r>
          </w:p>
          <w:p w14:paraId="4520A13E" w14:textId="75D49EE0" w:rsidR="007904F7" w:rsidRPr="00271D0C" w:rsidRDefault="007904F7" w:rsidP="002351FF">
            <w:pPr>
              <w:pStyle w:val="Akapitzlist"/>
              <w:numPr>
                <w:ilvl w:val="0"/>
                <w:numId w:val="27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MF</w:t>
            </w:r>
          </w:p>
        </w:tc>
        <w:tc>
          <w:tcPr>
            <w:tcW w:w="1246" w:type="dxa"/>
          </w:tcPr>
          <w:p w14:paraId="0F75D3C6" w14:textId="2FC574DA" w:rsidR="00F63874" w:rsidRPr="00271D0C" w:rsidRDefault="00F63874" w:rsidP="002351FF">
            <w:pPr>
              <w:pStyle w:val="Akapitzlist"/>
              <w:numPr>
                <w:ilvl w:val="0"/>
                <w:numId w:val="6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 kw.</w:t>
            </w:r>
          </w:p>
          <w:p w14:paraId="1638F322" w14:textId="5257137D" w:rsidR="00F63874" w:rsidRPr="00271D0C" w:rsidRDefault="00071951" w:rsidP="002351FF">
            <w:pPr>
              <w:pStyle w:val="Akapitzlist"/>
              <w:numPr>
                <w:ilvl w:val="0"/>
                <w:numId w:val="6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Zadanie</w:t>
            </w:r>
            <w:r w:rsidR="00CC4411" w:rsidRPr="00271D0C">
              <w:rPr>
                <w:color w:val="000000" w:themeColor="text1"/>
                <w:lang w:val="pl-PL"/>
              </w:rPr>
              <w:t xml:space="preserve"> ciągłe</w:t>
            </w:r>
            <w:r w:rsidR="00F63874" w:rsidRPr="00271D0C">
              <w:rPr>
                <w:color w:val="000000" w:themeColor="text1"/>
                <w:lang w:val="pl-PL"/>
              </w:rPr>
              <w:t xml:space="preserve"> </w:t>
            </w:r>
          </w:p>
        </w:tc>
      </w:tr>
      <w:tr w:rsidR="00F63874" w:rsidRPr="00271D0C" w14:paraId="7CA2D5FB" w14:textId="52A68532" w:rsidTr="00D575F3">
        <w:tc>
          <w:tcPr>
            <w:tcW w:w="1476" w:type="dxa"/>
          </w:tcPr>
          <w:p w14:paraId="317469FE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</w:tcPr>
          <w:p w14:paraId="5A130AC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Podnoszenie poprzez kampanie informacyjne świadomości konsumentów w zakresie zrównoważonego finansowania, korzyści oraz potencjalnych związanych z nimi pułapek.</w:t>
            </w:r>
          </w:p>
        </w:tc>
        <w:tc>
          <w:tcPr>
            <w:tcW w:w="3467" w:type="dxa"/>
          </w:tcPr>
          <w:p w14:paraId="2882A90A" w14:textId="21D5ED4B" w:rsidR="00F63874" w:rsidRPr="00271D0C" w:rsidRDefault="00F63874" w:rsidP="002351FF">
            <w:pPr>
              <w:pStyle w:val="TableCell"/>
              <w:widowControl/>
              <w:numPr>
                <w:ilvl w:val="0"/>
                <w:numId w:val="60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 xml:space="preserve">Rekomendowanie </w:t>
            </w:r>
            <w:r w:rsidRPr="00271D0C">
              <w:rPr>
                <w:lang w:val="pl-PL"/>
              </w:rPr>
              <w:t>interesariuszom edukacji finansowej organizowanie kampanii i innych przedsięwzięć edukacyjnych podnoszących świadomość konsumentów w zakresie zrównoważonego finansowania, korzyści oraz potencjalnych pułapek z nimi związanych.</w:t>
            </w:r>
          </w:p>
        </w:tc>
        <w:tc>
          <w:tcPr>
            <w:tcW w:w="3328" w:type="dxa"/>
          </w:tcPr>
          <w:p w14:paraId="24AF6AA9" w14:textId="382C153D" w:rsidR="00F63874" w:rsidRPr="00271D0C" w:rsidRDefault="00F63874" w:rsidP="002351FF">
            <w:pPr>
              <w:pStyle w:val="TableCell"/>
              <w:widowControl/>
              <w:numPr>
                <w:ilvl w:val="0"/>
                <w:numId w:val="1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Pkt 1.</w:t>
            </w:r>
          </w:p>
        </w:tc>
        <w:tc>
          <w:tcPr>
            <w:tcW w:w="1418" w:type="dxa"/>
          </w:tcPr>
          <w:p w14:paraId="3760E550" w14:textId="7FF5A65B" w:rsidR="00F63874" w:rsidRPr="00271D0C" w:rsidRDefault="00A206B5" w:rsidP="002351FF">
            <w:pPr>
              <w:pStyle w:val="TableCell"/>
              <w:widowControl/>
              <w:numPr>
                <w:ilvl w:val="0"/>
                <w:numId w:val="28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</w:t>
            </w:r>
          </w:p>
        </w:tc>
        <w:tc>
          <w:tcPr>
            <w:tcW w:w="1246" w:type="dxa"/>
          </w:tcPr>
          <w:p w14:paraId="61B4CBBC" w14:textId="0FD69D65" w:rsidR="00F63874" w:rsidRPr="00271D0C" w:rsidRDefault="00F63874" w:rsidP="002351FF">
            <w:pPr>
              <w:pStyle w:val="TableCell"/>
              <w:widowControl/>
              <w:numPr>
                <w:ilvl w:val="0"/>
                <w:numId w:val="6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 kw.</w:t>
            </w:r>
          </w:p>
        </w:tc>
      </w:tr>
      <w:tr w:rsidR="00F63874" w:rsidRPr="00271D0C" w14:paraId="63E15D0C" w14:textId="07F74B73" w:rsidTr="00D575F3">
        <w:tc>
          <w:tcPr>
            <w:tcW w:w="1476" w:type="dxa"/>
            <w:vMerge w:val="restart"/>
            <w:hideMark/>
          </w:tcPr>
          <w:p w14:paraId="0DF80369" w14:textId="6C477C88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4. Podnoszenie świadomości w kwestii znaczenia edukacji finansowej dla mieszkańców I Polski oraz ich </w:t>
            </w:r>
            <w:r w:rsidRPr="00271D0C">
              <w:rPr>
                <w:lang w:val="pl-PL"/>
              </w:rPr>
              <w:lastRenderedPageBreak/>
              <w:t>wiedzy o tym, gdzie znaleźć rzetelne i obiektywne informacje finansowe, edukację lub pomoc</w:t>
            </w:r>
          </w:p>
        </w:tc>
        <w:tc>
          <w:tcPr>
            <w:tcW w:w="3069" w:type="dxa"/>
            <w:noWrap/>
            <w:hideMark/>
          </w:tcPr>
          <w:p w14:paraId="7EA7851E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Stworzenie wspólnego, godnego zaufania, rozpoznawalnego, cieszącego się zaufaniem i uznaniem użytkowników oraz łatwego w użyciu portalu internetowego poświęconego edukacji finansowej (kompleksowa (</w:t>
            </w:r>
            <w:r w:rsidRPr="00271D0C">
              <w:rPr>
                <w:i/>
                <w:iCs/>
                <w:lang w:val="pl-PL"/>
              </w:rPr>
              <w:t>one</w:t>
            </w:r>
            <w:r w:rsidRPr="00271D0C">
              <w:rPr>
                <w:i/>
                <w:iCs/>
                <w:lang w:val="pl-PL"/>
              </w:rPr>
              <w:noBreakHyphen/>
              <w:t>stop-shop</w:t>
            </w:r>
            <w:r w:rsidRPr="00271D0C">
              <w:rPr>
                <w:lang w:val="pl-PL"/>
              </w:rPr>
              <w:t xml:space="preserve">) strona internetowa dotycząca edukacji </w:t>
            </w:r>
            <w:r w:rsidRPr="00271D0C">
              <w:rPr>
                <w:lang w:val="pl-PL"/>
              </w:rPr>
              <w:lastRenderedPageBreak/>
              <w:t xml:space="preserve">finansowej), regularnie aktualizowanego, na przykład w odpowiedzi na potrzeby konsumentów i tendencje w sektorze finansowym. Portal taki opracowany i utrzymywany byłby w ramach wspólnych starań kluczowych interesariuszy edukacji finansowej. </w:t>
            </w:r>
          </w:p>
        </w:tc>
        <w:tc>
          <w:tcPr>
            <w:tcW w:w="3467" w:type="dxa"/>
          </w:tcPr>
          <w:p w14:paraId="67C274DC" w14:textId="0CFBFE6F" w:rsidR="00F63874" w:rsidRPr="00271D0C" w:rsidRDefault="00F63874" w:rsidP="002351FF">
            <w:pPr>
              <w:pStyle w:val="TableCell"/>
              <w:widowControl/>
              <w:numPr>
                <w:ilvl w:val="0"/>
                <w:numId w:val="61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Kontynuacja prac</w:t>
            </w:r>
            <w:r w:rsidRPr="00271D0C">
              <w:rPr>
                <w:lang w:val="pl-PL"/>
              </w:rPr>
              <w:t xml:space="preserve">, rozpoczętych przez Ministerstwo Finansów we współpracy z ekspertami instytucji reprezentowanymi w Radzie Edukacji Finansowej, nad przygotowaniem i ogłoszeniem konkursu na utworzenie i prowadzenie platformy edukacji </w:t>
            </w:r>
            <w:r w:rsidRPr="00271D0C">
              <w:rPr>
                <w:lang w:val="pl-PL"/>
              </w:rPr>
              <w:lastRenderedPageBreak/>
              <w:t>finansowej. Jej utworzenie i funkcjonowanie będzie finansowane z FEF.</w:t>
            </w:r>
          </w:p>
        </w:tc>
        <w:tc>
          <w:tcPr>
            <w:tcW w:w="3328" w:type="dxa"/>
          </w:tcPr>
          <w:p w14:paraId="0454285D" w14:textId="785A9517" w:rsidR="00F63874" w:rsidRPr="00271D0C" w:rsidRDefault="00F63874" w:rsidP="002351FF">
            <w:pPr>
              <w:pStyle w:val="TableCell"/>
              <w:widowControl/>
              <w:numPr>
                <w:ilvl w:val="0"/>
                <w:numId w:val="1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Przygotowanie przez MF, w uzgodnieniu z REF i opublikowanie na stronie FEF ogłoszenia dot. konkursu, o którym mowa w pkt 16 obok.</w:t>
            </w:r>
          </w:p>
        </w:tc>
        <w:tc>
          <w:tcPr>
            <w:tcW w:w="1418" w:type="dxa"/>
          </w:tcPr>
          <w:p w14:paraId="00496FAD" w14:textId="3E0EFE3A" w:rsidR="00F63874" w:rsidRPr="00271D0C" w:rsidRDefault="00A206B5" w:rsidP="002351FF">
            <w:pPr>
              <w:pStyle w:val="TableCell"/>
              <w:widowControl/>
              <w:numPr>
                <w:ilvl w:val="0"/>
                <w:numId w:val="29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MF</w:t>
            </w:r>
          </w:p>
        </w:tc>
        <w:tc>
          <w:tcPr>
            <w:tcW w:w="1246" w:type="dxa"/>
          </w:tcPr>
          <w:p w14:paraId="390DFA97" w14:textId="1B49FBB1" w:rsidR="00F63874" w:rsidRPr="00271D0C" w:rsidRDefault="00F63874" w:rsidP="002351FF">
            <w:pPr>
              <w:pStyle w:val="TableCell"/>
              <w:widowControl/>
              <w:numPr>
                <w:ilvl w:val="0"/>
                <w:numId w:val="6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</w:tc>
      </w:tr>
      <w:tr w:rsidR="00F63874" w:rsidRPr="00271D0C" w14:paraId="549165AE" w14:textId="3126EC32" w:rsidTr="00D575F3">
        <w:tc>
          <w:tcPr>
            <w:tcW w:w="1476" w:type="dxa"/>
            <w:vMerge/>
            <w:hideMark/>
          </w:tcPr>
          <w:p w14:paraId="57BB9077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51A20FC7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Ustanowienie programów szkolenia nauczycieli w zakresie edukacji finansowej, w ramach ich rozwoju zawodowego oraz w celu zachęcenia nauczycieli do udziału w takich szkoleniach. Rozwiązanie to może być częścią formalnego systemu edukacji (w ośrodkach szkolenia nauczycieli) lub wprowadzone we współpracy z doświadczonymi interesariuszami. </w:t>
            </w:r>
          </w:p>
        </w:tc>
        <w:tc>
          <w:tcPr>
            <w:tcW w:w="3467" w:type="dxa"/>
          </w:tcPr>
          <w:p w14:paraId="36E23863" w14:textId="56DABFD1" w:rsidR="00F63874" w:rsidRPr="00271D0C" w:rsidRDefault="00F63874" w:rsidP="002351FF">
            <w:pPr>
              <w:pStyle w:val="Akapitzlist"/>
              <w:numPr>
                <w:ilvl w:val="0"/>
                <w:numId w:val="62"/>
              </w:numPr>
              <w:spacing w:before="0"/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 xml:space="preserve">Rekomendowanie </w:t>
            </w:r>
            <w:r w:rsidRPr="00271D0C">
              <w:rPr>
                <w:color w:val="000000" w:themeColor="text1"/>
                <w:lang w:val="pl-PL"/>
              </w:rPr>
              <w:t xml:space="preserve">interesariuszom edukacji finansowej opracowania i wdrażania </w:t>
            </w:r>
            <w:r w:rsidRPr="00271D0C">
              <w:rPr>
                <w:lang w:val="pl-PL"/>
              </w:rPr>
              <w:t>programów edukacji i szkolenia nauczycieli w zakresie edukacji finansowej, w ramach ich rozwoju zawodowego, w tym zwłaszcza nauczycieli przedmiotu biznes i zarządzanie.</w:t>
            </w:r>
          </w:p>
          <w:p w14:paraId="5D004115" w14:textId="64AAE77E" w:rsidR="00F63874" w:rsidRPr="00271D0C" w:rsidRDefault="00F63874" w:rsidP="004A2B63">
            <w:pPr>
              <w:pStyle w:val="TableCell"/>
              <w:widowControl/>
              <w:numPr>
                <w:ilvl w:val="0"/>
                <w:numId w:val="62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Wspieranie</w:t>
            </w:r>
            <w:r w:rsidRPr="00271D0C">
              <w:rPr>
                <w:lang w:val="pl-PL"/>
              </w:rPr>
              <w:t xml:space="preserve"> opracowania i wdrożenia programów, o których mowa w punkcie 17, poprzez </w:t>
            </w:r>
            <w:r w:rsidRPr="00271D0C">
              <w:rPr>
                <w:b/>
                <w:bCs/>
                <w:lang w:val="pl-PL"/>
              </w:rPr>
              <w:t xml:space="preserve">priorytetowe </w:t>
            </w:r>
            <w:r w:rsidR="004A2B63" w:rsidRPr="00271D0C">
              <w:rPr>
                <w:lang w:val="pl-PL"/>
              </w:rPr>
              <w:t>traktowanie wniosków o</w:t>
            </w:r>
            <w:r w:rsidR="004A2B63" w:rsidRPr="00271D0C">
              <w:rPr>
                <w:b/>
                <w:bCs/>
                <w:lang w:val="pl-PL"/>
              </w:rPr>
              <w:t xml:space="preserve"> przyznanie </w:t>
            </w:r>
            <w:r w:rsidRPr="00271D0C">
              <w:rPr>
                <w:b/>
                <w:bCs/>
                <w:lang w:val="pl-PL"/>
              </w:rPr>
              <w:t>dotacji</w:t>
            </w:r>
            <w:r w:rsidRPr="00271D0C">
              <w:rPr>
                <w:lang w:val="pl-PL"/>
              </w:rPr>
              <w:t xml:space="preserve"> </w:t>
            </w:r>
            <w:r w:rsidRPr="00271D0C">
              <w:rPr>
                <w:b/>
                <w:bCs/>
                <w:lang w:val="pl-PL"/>
              </w:rPr>
              <w:t>z FEF</w:t>
            </w:r>
            <w:r w:rsidRPr="00271D0C">
              <w:rPr>
                <w:lang w:val="pl-PL"/>
              </w:rPr>
              <w:t xml:space="preserve"> na ich opracowanie i wdrażanie</w:t>
            </w:r>
            <w:r w:rsidR="004A2B63" w:rsidRPr="00271D0C">
              <w:rPr>
                <w:lang w:val="pl-PL"/>
              </w:rPr>
              <w:t>, składanych w ramach procedury nieobjętej programem.</w:t>
            </w:r>
          </w:p>
          <w:p w14:paraId="5C39FF18" w14:textId="3BE55E2C" w:rsidR="00F63874" w:rsidRPr="00271D0C" w:rsidRDefault="0074369B" w:rsidP="002351FF">
            <w:pPr>
              <w:pStyle w:val="TableCell"/>
              <w:widowControl/>
              <w:numPr>
                <w:ilvl w:val="0"/>
                <w:numId w:val="62"/>
              </w:numPr>
              <w:jc w:val="left"/>
              <w:rPr>
                <w:lang w:val="pl-PL"/>
              </w:rPr>
            </w:pPr>
            <w:bookmarkStart w:id="5" w:name="_Hlk189046144"/>
            <w:r w:rsidRPr="00271D0C">
              <w:rPr>
                <w:b/>
                <w:bCs/>
                <w:lang w:val="pl-PL"/>
              </w:rPr>
              <w:t>Realizacja</w:t>
            </w:r>
            <w:r w:rsidRPr="00271D0C">
              <w:rPr>
                <w:lang w:val="pl-PL"/>
              </w:rPr>
              <w:t xml:space="preserve"> </w:t>
            </w:r>
            <w:r w:rsidR="00F63874" w:rsidRPr="00271D0C">
              <w:rPr>
                <w:lang w:val="pl-PL"/>
              </w:rPr>
              <w:t>konkursu na opracowanie materiałów wspierających edukację finansową uczniów klas IV-VIII szkół podstawowych.</w:t>
            </w:r>
            <w:bookmarkEnd w:id="5"/>
          </w:p>
        </w:tc>
        <w:tc>
          <w:tcPr>
            <w:tcW w:w="3328" w:type="dxa"/>
          </w:tcPr>
          <w:p w14:paraId="363DDE82" w14:textId="77777777" w:rsidR="00F63874" w:rsidRPr="00271D0C" w:rsidRDefault="00F63874" w:rsidP="002351FF">
            <w:pPr>
              <w:pStyle w:val="Akapitzlist"/>
              <w:numPr>
                <w:ilvl w:val="0"/>
                <w:numId w:val="1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Pkt 1</w:t>
            </w:r>
          </w:p>
          <w:p w14:paraId="30E780F7" w14:textId="77777777" w:rsidR="00F63874" w:rsidRPr="00271D0C" w:rsidRDefault="00F63874" w:rsidP="002351FF">
            <w:pPr>
              <w:pStyle w:val="Akapitzlist"/>
              <w:numPr>
                <w:ilvl w:val="0"/>
                <w:numId w:val="1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Pkt 2</w:t>
            </w:r>
          </w:p>
          <w:p w14:paraId="4A3D9C3B" w14:textId="7EF2A6D5" w:rsidR="00F63874" w:rsidRPr="00271D0C" w:rsidRDefault="0074369B" w:rsidP="002351FF">
            <w:pPr>
              <w:pStyle w:val="Akapitzlist"/>
              <w:numPr>
                <w:ilvl w:val="0"/>
                <w:numId w:val="1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 xml:space="preserve">Realizacja </w:t>
            </w:r>
            <w:r w:rsidR="00F63874" w:rsidRPr="00271D0C">
              <w:rPr>
                <w:color w:val="000000" w:themeColor="text1"/>
                <w:lang w:val="pl-PL"/>
              </w:rPr>
              <w:t xml:space="preserve"> konkursu, o którym mowa w pkt 19 obok.</w:t>
            </w:r>
          </w:p>
        </w:tc>
        <w:tc>
          <w:tcPr>
            <w:tcW w:w="1418" w:type="dxa"/>
          </w:tcPr>
          <w:p w14:paraId="39B11BCA" w14:textId="77777777" w:rsidR="00F63874" w:rsidRPr="00271D0C" w:rsidRDefault="00B034F8" w:rsidP="002351FF">
            <w:pPr>
              <w:pStyle w:val="Akapitzlist"/>
              <w:numPr>
                <w:ilvl w:val="0"/>
                <w:numId w:val="3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REF</w:t>
            </w:r>
          </w:p>
          <w:p w14:paraId="63B43915" w14:textId="77777777" w:rsidR="00B034F8" w:rsidRPr="00271D0C" w:rsidRDefault="00B034F8" w:rsidP="002351FF">
            <w:pPr>
              <w:pStyle w:val="Akapitzlist"/>
              <w:numPr>
                <w:ilvl w:val="0"/>
                <w:numId w:val="3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MF</w:t>
            </w:r>
          </w:p>
          <w:p w14:paraId="7299CA0F" w14:textId="42489DCB" w:rsidR="00B034F8" w:rsidRPr="00271D0C" w:rsidRDefault="00B034F8" w:rsidP="002351FF">
            <w:pPr>
              <w:pStyle w:val="Akapitzlist"/>
              <w:numPr>
                <w:ilvl w:val="0"/>
                <w:numId w:val="30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MF</w:t>
            </w:r>
          </w:p>
        </w:tc>
        <w:tc>
          <w:tcPr>
            <w:tcW w:w="1246" w:type="dxa"/>
          </w:tcPr>
          <w:p w14:paraId="76AB39AD" w14:textId="1C4DE012" w:rsidR="00F63874" w:rsidRPr="00271D0C" w:rsidRDefault="00F63874" w:rsidP="002351FF">
            <w:pPr>
              <w:pStyle w:val="Akapitzlist"/>
              <w:numPr>
                <w:ilvl w:val="0"/>
                <w:numId w:val="6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 kw.</w:t>
            </w:r>
          </w:p>
          <w:p w14:paraId="48B6E2A6" w14:textId="3DF74293" w:rsidR="00F63874" w:rsidRPr="00271D0C" w:rsidRDefault="00071951" w:rsidP="002351FF">
            <w:pPr>
              <w:pStyle w:val="Akapitzlist"/>
              <w:numPr>
                <w:ilvl w:val="0"/>
                <w:numId w:val="6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Zadanie</w:t>
            </w:r>
            <w:r w:rsidR="00CC4411" w:rsidRPr="00271D0C">
              <w:rPr>
                <w:color w:val="000000" w:themeColor="text1"/>
                <w:lang w:val="pl-PL"/>
              </w:rPr>
              <w:t xml:space="preserve"> ciągłe</w:t>
            </w:r>
            <w:r w:rsidR="00F63874" w:rsidRPr="00271D0C">
              <w:rPr>
                <w:color w:val="000000" w:themeColor="text1"/>
                <w:lang w:val="pl-PL"/>
              </w:rPr>
              <w:t>.</w:t>
            </w:r>
          </w:p>
          <w:p w14:paraId="568FD85D" w14:textId="02BF41C8" w:rsidR="00F63874" w:rsidRPr="00271D0C" w:rsidRDefault="00F63874" w:rsidP="002351FF">
            <w:pPr>
              <w:pStyle w:val="Akapitzlist"/>
              <w:numPr>
                <w:ilvl w:val="0"/>
                <w:numId w:val="6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</w:t>
            </w:r>
            <w:r w:rsidR="00071951" w:rsidRPr="00271D0C">
              <w:rPr>
                <w:color w:val="000000" w:themeColor="text1"/>
                <w:lang w:val="pl-PL"/>
              </w:rPr>
              <w:t>II i IV</w:t>
            </w:r>
            <w:r w:rsidRPr="00271D0C">
              <w:rPr>
                <w:color w:val="000000" w:themeColor="text1"/>
                <w:lang w:val="pl-PL"/>
              </w:rPr>
              <w:t xml:space="preserve"> kw.</w:t>
            </w:r>
          </w:p>
          <w:p w14:paraId="5D5929DB" w14:textId="18E5F363" w:rsidR="00F63874" w:rsidRPr="00271D0C" w:rsidRDefault="00F63874" w:rsidP="00A5683D">
            <w:pPr>
              <w:pStyle w:val="Akapitzlist"/>
              <w:ind w:left="360"/>
              <w:jc w:val="left"/>
              <w:rPr>
                <w:color w:val="000000" w:themeColor="text1"/>
                <w:lang w:val="pl-PL"/>
              </w:rPr>
            </w:pPr>
          </w:p>
        </w:tc>
      </w:tr>
      <w:tr w:rsidR="00F63874" w:rsidRPr="00271D0C" w14:paraId="246A0D67" w14:textId="5F26B234" w:rsidTr="00D575F3">
        <w:tc>
          <w:tcPr>
            <w:tcW w:w="1476" w:type="dxa"/>
            <w:vMerge/>
            <w:hideMark/>
          </w:tcPr>
          <w:p w14:paraId="68F698F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5756B330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programów edukacji finansowej skierowanych do rodziców lub opiekunów, dostarczanych kanałami cyfrowymi lub przy wsparciu środowiska szkolnego.</w:t>
            </w:r>
          </w:p>
          <w:p w14:paraId="34251D8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467" w:type="dxa"/>
          </w:tcPr>
          <w:p w14:paraId="191A49C4" w14:textId="79C1179D" w:rsidR="00F63874" w:rsidRPr="00271D0C" w:rsidRDefault="00F63874" w:rsidP="002351FF">
            <w:pPr>
              <w:pStyle w:val="Akapitzlist"/>
              <w:numPr>
                <w:ilvl w:val="0"/>
                <w:numId w:val="6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Rekomendowanie</w:t>
            </w:r>
            <w:r w:rsidRPr="00271D0C">
              <w:rPr>
                <w:color w:val="000000" w:themeColor="text1"/>
                <w:lang w:val="pl-PL"/>
              </w:rPr>
              <w:t xml:space="preserve"> interesariuszom edukacji finansowej opracowania i wdrażania programów edukacji finansowej skierowanych do rodziców/opiekunów dzieci i młodzieży i/lub dodawania do programów edukacji finansowej kierowanej do dzieci i młodzieży komponentu adresowanego do rodziców/opiekunów.</w:t>
            </w:r>
          </w:p>
          <w:p w14:paraId="60B673DF" w14:textId="51C1CB5B" w:rsidR="00F63874" w:rsidRPr="00271D0C" w:rsidRDefault="00F63874" w:rsidP="002351FF">
            <w:pPr>
              <w:pStyle w:val="Akapitzlist"/>
              <w:numPr>
                <w:ilvl w:val="0"/>
                <w:numId w:val="63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lang w:val="pl-PL"/>
              </w:rPr>
              <w:t>Wspieranie</w:t>
            </w:r>
            <w:r w:rsidRPr="00271D0C">
              <w:rPr>
                <w:lang w:val="pl-PL"/>
              </w:rPr>
              <w:t xml:space="preserve"> opracowania i wdrożenia nowych oraz istniejących programów edukacji finansowej, o których mowa w punkcie 20, poprzez </w:t>
            </w:r>
            <w:r w:rsidRPr="00271D0C">
              <w:rPr>
                <w:b/>
                <w:bCs/>
                <w:lang w:val="pl-PL"/>
              </w:rPr>
              <w:t xml:space="preserve">priorytetowe </w:t>
            </w:r>
            <w:r w:rsidR="004A2B63" w:rsidRPr="00271D0C">
              <w:rPr>
                <w:b/>
                <w:bCs/>
                <w:lang w:val="pl-PL"/>
              </w:rPr>
              <w:t xml:space="preserve">traktowanie wniosków o przyznanie </w:t>
            </w:r>
            <w:r w:rsidRPr="00271D0C">
              <w:rPr>
                <w:b/>
                <w:bCs/>
                <w:lang w:val="pl-PL"/>
              </w:rPr>
              <w:t>dotacji z FEF</w:t>
            </w:r>
            <w:r w:rsidRPr="00271D0C">
              <w:rPr>
                <w:lang w:val="pl-PL"/>
              </w:rPr>
              <w:t xml:space="preserve"> na ich opracowanie i wdrażanie</w:t>
            </w:r>
            <w:r w:rsidR="004A2B63" w:rsidRPr="00271D0C">
              <w:rPr>
                <w:lang w:val="pl-PL"/>
              </w:rPr>
              <w:t>, składanych w ramach procedury nieobjętej programem</w:t>
            </w:r>
            <w:r w:rsidRPr="00271D0C">
              <w:rPr>
                <w:lang w:val="pl-PL"/>
              </w:rPr>
              <w:t xml:space="preserve">. </w:t>
            </w:r>
          </w:p>
        </w:tc>
        <w:tc>
          <w:tcPr>
            <w:tcW w:w="3328" w:type="dxa"/>
          </w:tcPr>
          <w:p w14:paraId="319D0303" w14:textId="77777777" w:rsidR="00F63874" w:rsidRPr="00271D0C" w:rsidRDefault="00F63874" w:rsidP="002351FF">
            <w:pPr>
              <w:pStyle w:val="Akapitzlist"/>
              <w:numPr>
                <w:ilvl w:val="0"/>
                <w:numId w:val="14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Pkt 1</w:t>
            </w:r>
          </w:p>
          <w:p w14:paraId="5736FC2B" w14:textId="4731D2B2" w:rsidR="00F63874" w:rsidRPr="00271D0C" w:rsidRDefault="00F63874" w:rsidP="002351FF">
            <w:pPr>
              <w:pStyle w:val="Akapitzlist"/>
              <w:numPr>
                <w:ilvl w:val="0"/>
                <w:numId w:val="14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Pkt 2</w:t>
            </w:r>
          </w:p>
        </w:tc>
        <w:tc>
          <w:tcPr>
            <w:tcW w:w="1418" w:type="dxa"/>
          </w:tcPr>
          <w:p w14:paraId="0C2696C8" w14:textId="77777777" w:rsidR="00F63874" w:rsidRPr="00271D0C" w:rsidRDefault="00B034F8" w:rsidP="002351FF">
            <w:pPr>
              <w:pStyle w:val="Akapitzlist"/>
              <w:numPr>
                <w:ilvl w:val="0"/>
                <w:numId w:val="3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REF</w:t>
            </w:r>
          </w:p>
          <w:p w14:paraId="6DC03747" w14:textId="1C946881" w:rsidR="00B034F8" w:rsidRPr="00271D0C" w:rsidRDefault="00B034F8" w:rsidP="002351FF">
            <w:pPr>
              <w:pStyle w:val="Akapitzlist"/>
              <w:numPr>
                <w:ilvl w:val="0"/>
                <w:numId w:val="3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MF</w:t>
            </w:r>
          </w:p>
        </w:tc>
        <w:tc>
          <w:tcPr>
            <w:tcW w:w="1246" w:type="dxa"/>
          </w:tcPr>
          <w:p w14:paraId="16515BD3" w14:textId="10E9A088" w:rsidR="00F63874" w:rsidRPr="00271D0C" w:rsidRDefault="00F63874" w:rsidP="002351FF">
            <w:pPr>
              <w:pStyle w:val="Akapitzlist"/>
              <w:numPr>
                <w:ilvl w:val="0"/>
                <w:numId w:val="64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 kw.</w:t>
            </w:r>
          </w:p>
          <w:p w14:paraId="1DC3621C" w14:textId="1CD8C5BC" w:rsidR="00F63874" w:rsidRPr="00271D0C" w:rsidRDefault="00071951" w:rsidP="002351FF">
            <w:pPr>
              <w:pStyle w:val="Akapitzlist"/>
              <w:numPr>
                <w:ilvl w:val="0"/>
                <w:numId w:val="64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Zadanie ciągłe</w:t>
            </w:r>
          </w:p>
          <w:p w14:paraId="76A932BE" w14:textId="31261A15" w:rsidR="00F63874" w:rsidRPr="00271D0C" w:rsidRDefault="00F63874" w:rsidP="002C717C">
            <w:pPr>
              <w:pStyle w:val="Akapitzlist"/>
              <w:ind w:left="360"/>
              <w:jc w:val="left"/>
              <w:rPr>
                <w:color w:val="000000" w:themeColor="text1"/>
                <w:lang w:val="pl-PL"/>
              </w:rPr>
            </w:pPr>
          </w:p>
        </w:tc>
      </w:tr>
      <w:tr w:rsidR="00F63874" w:rsidRPr="00271D0C" w14:paraId="3AE4D0C0" w14:textId="1B893708" w:rsidTr="00D575F3">
        <w:tc>
          <w:tcPr>
            <w:tcW w:w="1476" w:type="dxa"/>
          </w:tcPr>
          <w:p w14:paraId="1390FD0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5. Zapewnienie, aby programy edukacji finansowej były skoncentrowane na konsumencie</w:t>
            </w:r>
          </w:p>
        </w:tc>
        <w:tc>
          <w:tcPr>
            <w:tcW w:w="3069" w:type="dxa"/>
            <w:noWrap/>
          </w:tcPr>
          <w:p w14:paraId="3C4738B4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Opracowanie i zachęcanie interesariuszy edukacji finansowej do przyjęcia ram kompetencji kluczowych w zakresie edukacji finansowej </w:t>
            </w:r>
            <w:r w:rsidRPr="00271D0C">
              <w:rPr>
                <w:b/>
                <w:bCs/>
                <w:lang w:val="pl-PL"/>
              </w:rPr>
              <w:t>dla dzieci i młodzieży</w:t>
            </w:r>
            <w:r w:rsidRPr="00271D0C">
              <w:rPr>
                <w:lang w:val="pl-PL"/>
              </w:rPr>
              <w:t xml:space="preserve"> w Polsce (lub do przystosowania do warunków polskich </w:t>
            </w:r>
            <w:r w:rsidRPr="00271D0C">
              <w:rPr>
                <w:lang w:val="pl-PL"/>
              </w:rPr>
              <w:lastRenderedPageBreak/>
              <w:t>podobnych ram uznanych na arenie międzynarodowej).</w:t>
            </w:r>
          </w:p>
        </w:tc>
        <w:tc>
          <w:tcPr>
            <w:tcW w:w="3467" w:type="dxa"/>
          </w:tcPr>
          <w:p w14:paraId="20495DDF" w14:textId="1F549630" w:rsidR="00F63874" w:rsidRPr="00271D0C" w:rsidRDefault="00F63874" w:rsidP="002351FF">
            <w:pPr>
              <w:pStyle w:val="TableCell"/>
              <w:widowControl/>
              <w:numPr>
                <w:ilvl w:val="0"/>
                <w:numId w:val="64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Opracowanie</w:t>
            </w:r>
            <w:r w:rsidRPr="00271D0C">
              <w:rPr>
                <w:lang w:val="pl-PL"/>
              </w:rPr>
              <w:t xml:space="preserve"> krajowych ram kluczowych kompetencji finansowych dla dzieci i młodzieży lub przystosowanie do warunków polskich podobnych ram UE/OECD.</w:t>
            </w:r>
          </w:p>
          <w:p w14:paraId="1E3A20DA" w14:textId="05832B5D" w:rsidR="00F63874" w:rsidRPr="00271D0C" w:rsidRDefault="00F63874" w:rsidP="002351FF">
            <w:pPr>
              <w:pStyle w:val="TableCell"/>
              <w:widowControl/>
              <w:numPr>
                <w:ilvl w:val="0"/>
                <w:numId w:val="64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Przyjęcie</w:t>
            </w:r>
            <w:r w:rsidRPr="00271D0C">
              <w:rPr>
                <w:lang w:val="pl-PL"/>
              </w:rPr>
              <w:t xml:space="preserve"> krajowych ram kluczowych kompetencji finansowych dla dzieci i młodzieży przez REF.</w:t>
            </w:r>
          </w:p>
          <w:p w14:paraId="14233EF8" w14:textId="03B32759" w:rsidR="00F63874" w:rsidRPr="00271D0C" w:rsidRDefault="00F63874" w:rsidP="002351FF">
            <w:pPr>
              <w:pStyle w:val="TableCell"/>
              <w:widowControl/>
              <w:numPr>
                <w:ilvl w:val="0"/>
                <w:numId w:val="64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Wnioskowanie</w:t>
            </w:r>
            <w:r w:rsidRPr="00271D0C">
              <w:rPr>
                <w:lang w:val="pl-PL"/>
              </w:rPr>
              <w:t xml:space="preserve"> do Ministerstwa Edukacji Narodowej o wykorzystanie ram kompetencji finansowych dla dzieci i młodzieży przy opracowywaniu nowych podstaw programowych dla przedszkoli i szkół podstawowych, w związku z rozpoczętymi pracami nad reformą systemu edukacji.</w:t>
            </w:r>
          </w:p>
          <w:p w14:paraId="4CF2C58D" w14:textId="712C044D" w:rsidR="00F63874" w:rsidRPr="00271D0C" w:rsidRDefault="00F63874" w:rsidP="002351FF">
            <w:pPr>
              <w:pStyle w:val="TableCell"/>
              <w:widowControl/>
              <w:numPr>
                <w:ilvl w:val="0"/>
                <w:numId w:val="64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Zachęcanie</w:t>
            </w:r>
            <w:r w:rsidRPr="00271D0C">
              <w:rPr>
                <w:lang w:val="pl-PL"/>
              </w:rPr>
              <w:t xml:space="preserve"> interesariuszy edukacji finansowej  do wzorowania się na ramach kompetencji finansowych dla dzieci i młodzieży przy projektowaniu i realizacji działań edukacyjnych.</w:t>
            </w:r>
          </w:p>
        </w:tc>
        <w:tc>
          <w:tcPr>
            <w:tcW w:w="3328" w:type="dxa"/>
          </w:tcPr>
          <w:p w14:paraId="3B82A5B3" w14:textId="170B861F" w:rsidR="00F63874" w:rsidRPr="00271D0C" w:rsidRDefault="00F63874" w:rsidP="002351FF">
            <w:pPr>
              <w:pStyle w:val="Akapitzlist"/>
              <w:numPr>
                <w:ilvl w:val="0"/>
                <w:numId w:val="15"/>
              </w:numPr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lastRenderedPageBreak/>
              <w:t>Opracowanie przez KW, w uzgodnieniu z interesariuszami edukacji finansowej, propozycji krajowych ram kluczowych kompetencji finansowych dla dzieci i młodzieży.</w:t>
            </w:r>
          </w:p>
          <w:p w14:paraId="217FAB94" w14:textId="4C21E9AF" w:rsidR="00F63874" w:rsidRPr="00271D0C" w:rsidRDefault="00F63874" w:rsidP="002351FF">
            <w:pPr>
              <w:pStyle w:val="TableCell"/>
              <w:widowControl/>
              <w:numPr>
                <w:ilvl w:val="0"/>
                <w:numId w:val="1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Przyjęcie uchwały REF przyjmującej  krajowe ramy kluczowych kompetencji finansowych dla dzieci i młodzieży oraz opublikowanie ich na stronie REF.</w:t>
            </w:r>
          </w:p>
          <w:p w14:paraId="47E9171F" w14:textId="66614445" w:rsidR="00F63874" w:rsidRPr="00271D0C" w:rsidRDefault="00F63874" w:rsidP="002351FF">
            <w:pPr>
              <w:pStyle w:val="Akapitzlist"/>
              <w:widowControl/>
              <w:numPr>
                <w:ilvl w:val="0"/>
                <w:numId w:val="15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Pisemne wystąpienie REF i MF  do MEN z prośbą o wykorzystanie ram kompetencji finansowych dla dzieci i młodzieży przy opracowywaniu nowych podstaw programowych dla przedszkoli i szkół podstawowych.</w:t>
            </w:r>
          </w:p>
          <w:p w14:paraId="633E69C3" w14:textId="6EF3D151" w:rsidR="00F63874" w:rsidRPr="00271D0C" w:rsidRDefault="00F63874" w:rsidP="002351FF">
            <w:pPr>
              <w:pStyle w:val="Akapitzlist"/>
              <w:widowControl/>
              <w:numPr>
                <w:ilvl w:val="0"/>
                <w:numId w:val="15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 xml:space="preserve">Pisemne wystąpienie /REF/MF  (w zależności od </w:t>
            </w:r>
            <w:r w:rsidR="00B034F8" w:rsidRPr="00271D0C">
              <w:rPr>
                <w:color w:val="000000" w:themeColor="text1"/>
                <w:lang w:val="pl-PL"/>
              </w:rPr>
              <w:t xml:space="preserve">rodzaju </w:t>
            </w:r>
            <w:r w:rsidRPr="00271D0C">
              <w:rPr>
                <w:color w:val="000000" w:themeColor="text1"/>
                <w:lang w:val="pl-PL"/>
              </w:rPr>
              <w:t>podmiotu ) do interesariuszy edukacji finansowej zachęcające do wzorowania się na ramach kompetencji finansowych dla dzieci i młodzieży przy projektowaniu i realizacji działań edukacyjnych.</w:t>
            </w:r>
          </w:p>
        </w:tc>
        <w:tc>
          <w:tcPr>
            <w:tcW w:w="1418" w:type="dxa"/>
          </w:tcPr>
          <w:p w14:paraId="444A38A6" w14:textId="77777777" w:rsidR="00F63874" w:rsidRPr="00271D0C" w:rsidRDefault="00B034F8" w:rsidP="002351FF">
            <w:pPr>
              <w:pStyle w:val="TableCell"/>
              <w:widowControl/>
              <w:numPr>
                <w:ilvl w:val="0"/>
                <w:numId w:val="3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KW</w:t>
            </w:r>
          </w:p>
          <w:p w14:paraId="7F51AAEA" w14:textId="77777777" w:rsidR="00B034F8" w:rsidRPr="00271D0C" w:rsidRDefault="00B034F8" w:rsidP="002351FF">
            <w:pPr>
              <w:pStyle w:val="TableCell"/>
              <w:widowControl/>
              <w:numPr>
                <w:ilvl w:val="0"/>
                <w:numId w:val="3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</w:t>
            </w:r>
          </w:p>
          <w:p w14:paraId="62EBFDFD" w14:textId="77777777" w:rsidR="00B034F8" w:rsidRPr="00271D0C" w:rsidRDefault="00B034F8" w:rsidP="002351FF">
            <w:pPr>
              <w:pStyle w:val="TableCell"/>
              <w:widowControl/>
              <w:numPr>
                <w:ilvl w:val="0"/>
                <w:numId w:val="3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 i MF</w:t>
            </w:r>
          </w:p>
          <w:p w14:paraId="103428F9" w14:textId="7E5CA6AE" w:rsidR="00F11EA1" w:rsidRPr="00271D0C" w:rsidRDefault="00F11EA1" w:rsidP="002351FF">
            <w:pPr>
              <w:pStyle w:val="TableCell"/>
              <w:widowControl/>
              <w:numPr>
                <w:ilvl w:val="0"/>
                <w:numId w:val="3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4398DE38" w14:textId="02158FA4" w:rsidR="00F63874" w:rsidRPr="00271D0C" w:rsidRDefault="00F63874" w:rsidP="002351FF">
            <w:pPr>
              <w:pStyle w:val="TableCell"/>
              <w:widowControl/>
              <w:numPr>
                <w:ilvl w:val="0"/>
                <w:numId w:val="6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 kw.</w:t>
            </w:r>
          </w:p>
          <w:p w14:paraId="04287ABC" w14:textId="7EDE9C54" w:rsidR="00F63874" w:rsidRPr="00271D0C" w:rsidRDefault="00F63874" w:rsidP="002351FF">
            <w:pPr>
              <w:pStyle w:val="TableCell"/>
              <w:widowControl/>
              <w:numPr>
                <w:ilvl w:val="0"/>
                <w:numId w:val="6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kw.</w:t>
            </w:r>
          </w:p>
          <w:p w14:paraId="4E0CB9F5" w14:textId="520B5A7C" w:rsidR="00F63874" w:rsidRPr="00271D0C" w:rsidRDefault="00F63874" w:rsidP="002351FF">
            <w:pPr>
              <w:pStyle w:val="TableCell"/>
              <w:widowControl/>
              <w:numPr>
                <w:ilvl w:val="0"/>
                <w:numId w:val="6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Niezwłocznie po przyjęciu </w:t>
            </w:r>
            <w:r w:rsidRPr="00271D0C">
              <w:rPr>
                <w:lang w:val="pl-PL"/>
              </w:rPr>
              <w:lastRenderedPageBreak/>
              <w:t>ram dla dzieci i młodzieży.</w:t>
            </w:r>
          </w:p>
          <w:p w14:paraId="189B1919" w14:textId="15CF9BF5" w:rsidR="00F63874" w:rsidRPr="00271D0C" w:rsidRDefault="00F63874" w:rsidP="004A2B63">
            <w:pPr>
              <w:pStyle w:val="Akapitzlist"/>
              <w:numPr>
                <w:ilvl w:val="0"/>
                <w:numId w:val="65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Niezwłocznie po przyjęciu ram dla dzieci i młodzieży.</w:t>
            </w:r>
          </w:p>
          <w:p w14:paraId="01D9511A" w14:textId="07B88D2D" w:rsidR="00F63874" w:rsidRPr="00271D0C" w:rsidRDefault="00F63874" w:rsidP="00DA2A2B">
            <w:pPr>
              <w:pStyle w:val="TableCell"/>
              <w:widowControl/>
              <w:ind w:left="360"/>
              <w:jc w:val="left"/>
              <w:rPr>
                <w:lang w:val="pl-PL"/>
              </w:rPr>
            </w:pPr>
          </w:p>
        </w:tc>
      </w:tr>
      <w:tr w:rsidR="00F63874" w:rsidRPr="00271D0C" w14:paraId="71C61F83" w14:textId="786912D1" w:rsidTr="00D575F3">
        <w:tc>
          <w:tcPr>
            <w:tcW w:w="1476" w:type="dxa"/>
          </w:tcPr>
          <w:p w14:paraId="772938A7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</w:tcPr>
          <w:p w14:paraId="036F55E2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Opracowanie i zachęcanie interesariuszy edukacji finansowej do przyjęcia ram kompetencji kluczowych w zakresie edukacji finansowej </w:t>
            </w:r>
            <w:r w:rsidRPr="00271D0C">
              <w:rPr>
                <w:b/>
                <w:bCs/>
                <w:lang w:val="pl-PL"/>
              </w:rPr>
              <w:t>dla dorosłych</w:t>
            </w:r>
            <w:r w:rsidRPr="00271D0C">
              <w:rPr>
                <w:lang w:val="pl-PL"/>
              </w:rPr>
              <w:t xml:space="preserve"> w Polsce (lub do przystosowania do warunków polskich podobnych ram uznanych na arenie międzynarodowej).</w:t>
            </w:r>
          </w:p>
        </w:tc>
        <w:tc>
          <w:tcPr>
            <w:tcW w:w="3467" w:type="dxa"/>
          </w:tcPr>
          <w:p w14:paraId="604DA990" w14:textId="26D57A13" w:rsidR="00F63874" w:rsidRPr="00271D0C" w:rsidRDefault="00F63874" w:rsidP="003B5318">
            <w:pPr>
              <w:pStyle w:val="TableCell"/>
              <w:widowControl/>
              <w:numPr>
                <w:ilvl w:val="0"/>
                <w:numId w:val="65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Opracowanie</w:t>
            </w:r>
            <w:r w:rsidRPr="00271D0C">
              <w:rPr>
                <w:lang w:val="pl-PL"/>
              </w:rPr>
              <w:t xml:space="preserve"> krajowych ram kluczowych kompetencji finansowych </w:t>
            </w:r>
            <w:r w:rsidRPr="00271D0C">
              <w:rPr>
                <w:b/>
                <w:bCs/>
                <w:lang w:val="pl-PL"/>
              </w:rPr>
              <w:t>dla osób dorosłych</w:t>
            </w:r>
            <w:r w:rsidRPr="00271D0C">
              <w:rPr>
                <w:lang w:val="pl-PL"/>
              </w:rPr>
              <w:t xml:space="preserve"> lub przystosowanie do warunków polskich podobnych ram UE/OECD.</w:t>
            </w:r>
          </w:p>
          <w:p w14:paraId="66B8E98A" w14:textId="7460A46D" w:rsidR="00F63874" w:rsidRPr="00271D0C" w:rsidRDefault="00F63874" w:rsidP="003B5318">
            <w:pPr>
              <w:pStyle w:val="Akapitzlist"/>
              <w:numPr>
                <w:ilvl w:val="0"/>
                <w:numId w:val="65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Przyjęcie</w:t>
            </w:r>
            <w:r w:rsidRPr="00271D0C">
              <w:rPr>
                <w:color w:val="000000" w:themeColor="text1"/>
                <w:lang w:val="pl-PL"/>
              </w:rPr>
              <w:t xml:space="preserve"> krajowych ram kluczowych kompetencji finansowych dla osób dorosłych przez REF.</w:t>
            </w:r>
          </w:p>
          <w:p w14:paraId="0603362D" w14:textId="20AF3567" w:rsidR="00F63874" w:rsidRPr="00271D0C" w:rsidRDefault="00F63874" w:rsidP="003B5318">
            <w:pPr>
              <w:pStyle w:val="Akapitzlist"/>
              <w:numPr>
                <w:ilvl w:val="0"/>
                <w:numId w:val="65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Wnioskowanie</w:t>
            </w:r>
            <w:r w:rsidRPr="00271D0C">
              <w:rPr>
                <w:color w:val="000000" w:themeColor="text1"/>
                <w:lang w:val="pl-PL"/>
              </w:rPr>
              <w:t xml:space="preserve"> do Ministerstwa Edukacji Narodowej o wykorzystanie ram kompetencji finansowych dla osób dorosłych przy opracowywaniu nowych podstaw programowych dla </w:t>
            </w:r>
            <w:r w:rsidRPr="00271D0C">
              <w:rPr>
                <w:b/>
                <w:bCs/>
                <w:color w:val="000000" w:themeColor="text1"/>
                <w:lang w:val="pl-PL"/>
              </w:rPr>
              <w:t>szkół ponadpodstawowych</w:t>
            </w:r>
            <w:r w:rsidRPr="00271D0C">
              <w:rPr>
                <w:color w:val="000000" w:themeColor="text1"/>
                <w:lang w:val="pl-PL"/>
              </w:rPr>
              <w:t>, w związku z rozpoczętymi pracami nad reformą systemu edukacji.</w:t>
            </w:r>
          </w:p>
          <w:p w14:paraId="21F95C06" w14:textId="4AF13578" w:rsidR="00F63874" w:rsidRPr="00271D0C" w:rsidRDefault="00F63874" w:rsidP="003B5318">
            <w:pPr>
              <w:pStyle w:val="TableCell"/>
              <w:widowControl/>
              <w:numPr>
                <w:ilvl w:val="0"/>
                <w:numId w:val="65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Zachęcanie</w:t>
            </w:r>
            <w:r w:rsidRPr="00271D0C">
              <w:rPr>
                <w:lang w:val="pl-PL"/>
              </w:rPr>
              <w:t xml:space="preserve"> interesariuszy edukacji finansowej do wzorowania się na ramach kompetencji finansowych dla osób dorosłych przy projektowaniu i realizacji działań edukacyjnych.</w:t>
            </w:r>
          </w:p>
        </w:tc>
        <w:tc>
          <w:tcPr>
            <w:tcW w:w="3328" w:type="dxa"/>
          </w:tcPr>
          <w:p w14:paraId="775CFEB8" w14:textId="1B5DC3FC" w:rsidR="00F63874" w:rsidRPr="00271D0C" w:rsidRDefault="00F63874" w:rsidP="002351FF">
            <w:pPr>
              <w:pStyle w:val="TableCell"/>
              <w:widowControl/>
              <w:numPr>
                <w:ilvl w:val="0"/>
                <w:numId w:val="3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przez KW, w uzgodnieniu z interesariuszami edukacji finansowej, propozycji krajowych ram kluczowych kompetencji finansowych dla osób dorosłych.</w:t>
            </w:r>
          </w:p>
          <w:p w14:paraId="45A4D227" w14:textId="1B127ABA" w:rsidR="00F63874" w:rsidRPr="00271D0C" w:rsidRDefault="00F63874" w:rsidP="002351FF">
            <w:pPr>
              <w:pStyle w:val="TableCell"/>
              <w:widowControl/>
              <w:numPr>
                <w:ilvl w:val="0"/>
                <w:numId w:val="3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Przyjęcie uchwały REF przyjmującej  krajowe ramy kluczowych kompetencji finansowych dla osób dorosłych oraz opublikowanie ich na stronie REF.</w:t>
            </w:r>
          </w:p>
          <w:p w14:paraId="0C4DC59F" w14:textId="732D6DEC" w:rsidR="00F63874" w:rsidRPr="00271D0C" w:rsidRDefault="00F63874" w:rsidP="002351FF">
            <w:pPr>
              <w:pStyle w:val="TableCell"/>
              <w:widowControl/>
              <w:numPr>
                <w:ilvl w:val="0"/>
                <w:numId w:val="3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Pisemne wystąpienie REF i MF do MEN z prośbą o wykorzystanie ram kompetencji finansowych dla osób dorosłych przy opracowywaniu nowych podstaw programowych dla szkół ponadpodstawowych.</w:t>
            </w:r>
          </w:p>
          <w:p w14:paraId="13412A9B" w14:textId="0F97235F" w:rsidR="00F63874" w:rsidRPr="00271D0C" w:rsidRDefault="00F63874" w:rsidP="002351FF">
            <w:pPr>
              <w:pStyle w:val="TableCell"/>
              <w:widowControl/>
              <w:numPr>
                <w:ilvl w:val="0"/>
                <w:numId w:val="3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wystąpienie /REF/MF  (w zależności od </w:t>
            </w:r>
            <w:r w:rsidR="00F11EA1" w:rsidRPr="00271D0C">
              <w:rPr>
                <w:lang w:val="pl-PL"/>
              </w:rPr>
              <w:t xml:space="preserve">rodzaju </w:t>
            </w:r>
            <w:r w:rsidRPr="00271D0C">
              <w:rPr>
                <w:lang w:val="pl-PL"/>
              </w:rPr>
              <w:t>podmiotu ) do interesariuszy edukacji finansowej zachęcające do wzorowania się na ramach kompetencji finansowych dla osób dorosłych przy projektowaniu i realizacji działań edukacyjnych.</w:t>
            </w:r>
          </w:p>
        </w:tc>
        <w:tc>
          <w:tcPr>
            <w:tcW w:w="1418" w:type="dxa"/>
          </w:tcPr>
          <w:p w14:paraId="4F5BD956" w14:textId="77777777" w:rsidR="00F63874" w:rsidRPr="00271D0C" w:rsidRDefault="00F11EA1" w:rsidP="002351FF">
            <w:pPr>
              <w:pStyle w:val="TableCell"/>
              <w:widowControl/>
              <w:numPr>
                <w:ilvl w:val="0"/>
                <w:numId w:val="3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KW</w:t>
            </w:r>
          </w:p>
          <w:p w14:paraId="3D6D33EC" w14:textId="77777777" w:rsidR="00F11EA1" w:rsidRPr="00271D0C" w:rsidRDefault="00F11EA1" w:rsidP="002351FF">
            <w:pPr>
              <w:pStyle w:val="TableCell"/>
              <w:widowControl/>
              <w:numPr>
                <w:ilvl w:val="0"/>
                <w:numId w:val="3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</w:t>
            </w:r>
          </w:p>
          <w:p w14:paraId="77311DDA" w14:textId="77777777" w:rsidR="00F11EA1" w:rsidRPr="00271D0C" w:rsidRDefault="00F11EA1" w:rsidP="002351FF">
            <w:pPr>
              <w:pStyle w:val="TableCell"/>
              <w:widowControl/>
              <w:numPr>
                <w:ilvl w:val="0"/>
                <w:numId w:val="3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 i MF</w:t>
            </w:r>
          </w:p>
          <w:p w14:paraId="7D6E3FCB" w14:textId="5C11A141" w:rsidR="00F11EA1" w:rsidRPr="00271D0C" w:rsidRDefault="00F11EA1" w:rsidP="002351FF">
            <w:pPr>
              <w:pStyle w:val="TableCell"/>
              <w:widowControl/>
              <w:numPr>
                <w:ilvl w:val="0"/>
                <w:numId w:val="3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086D776D" w14:textId="3C149A3F" w:rsidR="00F63874" w:rsidRPr="00271D0C" w:rsidRDefault="00F63874" w:rsidP="002351FF">
            <w:pPr>
              <w:pStyle w:val="TableCell"/>
              <w:widowControl/>
              <w:numPr>
                <w:ilvl w:val="0"/>
                <w:numId w:val="6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kw.</w:t>
            </w:r>
          </w:p>
          <w:p w14:paraId="6A8B4066" w14:textId="2DA25689" w:rsidR="00F63874" w:rsidRPr="00271D0C" w:rsidRDefault="00F63874" w:rsidP="002351FF">
            <w:pPr>
              <w:pStyle w:val="TableCell"/>
              <w:widowControl/>
              <w:numPr>
                <w:ilvl w:val="0"/>
                <w:numId w:val="6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  <w:p w14:paraId="7B3284E8" w14:textId="2C771718" w:rsidR="00F63874" w:rsidRPr="00271D0C" w:rsidRDefault="00F63874" w:rsidP="002351FF">
            <w:pPr>
              <w:pStyle w:val="TableCell"/>
              <w:widowControl/>
              <w:numPr>
                <w:ilvl w:val="0"/>
                <w:numId w:val="6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Niezwłocznie po przyjęciu ram dla osób dorosłych.</w:t>
            </w:r>
          </w:p>
          <w:p w14:paraId="375DC121" w14:textId="0050C4A7" w:rsidR="00F63874" w:rsidRPr="00271D0C" w:rsidRDefault="00F63874" w:rsidP="002351FF">
            <w:pPr>
              <w:pStyle w:val="TableCell"/>
              <w:widowControl/>
              <w:numPr>
                <w:ilvl w:val="0"/>
                <w:numId w:val="6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Niezwłocznie po przyjęciu ram dla osób dorosłych.</w:t>
            </w:r>
          </w:p>
        </w:tc>
      </w:tr>
      <w:tr w:rsidR="003F1AE9" w:rsidRPr="00271D0C" w14:paraId="72957814" w14:textId="188B3676" w:rsidTr="00D575F3">
        <w:tc>
          <w:tcPr>
            <w:tcW w:w="1476" w:type="dxa"/>
            <w:vMerge w:val="restart"/>
            <w:hideMark/>
          </w:tcPr>
          <w:p w14:paraId="58B3D7AE" w14:textId="77777777" w:rsidR="003F1AE9" w:rsidRPr="00271D0C" w:rsidRDefault="003F1AE9" w:rsidP="003F1AE9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6. Zapewnienie, aby programy edukacji </w:t>
            </w:r>
            <w:r w:rsidRPr="00271D0C">
              <w:rPr>
                <w:lang w:val="pl-PL"/>
              </w:rPr>
              <w:lastRenderedPageBreak/>
              <w:t>finansowej były oparte na dowodach, w tym wynikach monitoringu i ewaluacji</w:t>
            </w:r>
          </w:p>
        </w:tc>
        <w:tc>
          <w:tcPr>
            <w:tcW w:w="3069" w:type="dxa"/>
            <w:noWrap/>
          </w:tcPr>
          <w:p w14:paraId="0666080E" w14:textId="77777777" w:rsidR="003F1AE9" w:rsidRPr="00271D0C" w:rsidRDefault="003F1AE9" w:rsidP="003F1AE9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 xml:space="preserve">Gromadzenie w regularnych odstępach czasu (na przykład co trzy-cztery lata) danych na </w:t>
            </w:r>
            <w:r w:rsidRPr="00271D0C">
              <w:rPr>
                <w:lang w:val="pl-PL"/>
              </w:rPr>
              <w:lastRenderedPageBreak/>
              <w:t>temat kompetencji finansowych, włączenia finansowego i powiązanych z nimi obszarów, w celu monitorowania wpływu KSEF oraz jako informacji wejściowych na potrzeby tworzenia programów edukacji finansowej.</w:t>
            </w:r>
          </w:p>
        </w:tc>
        <w:tc>
          <w:tcPr>
            <w:tcW w:w="3467" w:type="dxa"/>
          </w:tcPr>
          <w:p w14:paraId="357F7B1E" w14:textId="77777777" w:rsidR="003F1AE9" w:rsidRPr="00271D0C" w:rsidRDefault="003F1AE9" w:rsidP="003F1AE9">
            <w:pPr>
              <w:pStyle w:val="TableCell"/>
              <w:widowControl/>
              <w:numPr>
                <w:ilvl w:val="0"/>
                <w:numId w:val="66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Kontynuacja</w:t>
            </w:r>
            <w:r w:rsidRPr="00271D0C">
              <w:rPr>
                <w:lang w:val="pl-PL"/>
              </w:rPr>
              <w:t xml:space="preserve"> badania kompetencji finansowych dorosłych mieszkańców Polski w </w:t>
            </w:r>
            <w:r w:rsidRPr="00271D0C">
              <w:rPr>
                <w:lang w:val="pl-PL"/>
              </w:rPr>
              <w:lastRenderedPageBreak/>
              <w:t>ramach cyklicznego międzynarodowego badania OECD/INFE.</w:t>
            </w:r>
          </w:p>
          <w:p w14:paraId="5DF4CA87" w14:textId="76A2FCF2" w:rsidR="003F1AE9" w:rsidRPr="00271D0C" w:rsidRDefault="003F1AE9" w:rsidP="003F1AE9">
            <w:pPr>
              <w:pStyle w:val="Akapitzlist"/>
              <w:numPr>
                <w:ilvl w:val="0"/>
                <w:numId w:val="66"/>
              </w:numPr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Bieżące monitorowanie</w:t>
            </w:r>
            <w:r w:rsidRPr="00271D0C">
              <w:rPr>
                <w:color w:val="000000" w:themeColor="text1"/>
                <w:lang w:val="pl-PL"/>
              </w:rPr>
              <w:t xml:space="preserve"> ewaluacji efektów wdrażania Strategii.</w:t>
            </w:r>
          </w:p>
        </w:tc>
        <w:tc>
          <w:tcPr>
            <w:tcW w:w="3328" w:type="dxa"/>
          </w:tcPr>
          <w:p w14:paraId="65CEC1F4" w14:textId="77777777" w:rsidR="003F1AE9" w:rsidRPr="00271D0C" w:rsidRDefault="003F1AE9" w:rsidP="003F1AE9">
            <w:pPr>
              <w:pStyle w:val="TableCell"/>
              <w:widowControl/>
              <w:numPr>
                <w:ilvl w:val="0"/>
                <w:numId w:val="3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 xml:space="preserve">Przygotowanie i przeprowadzenie badania kompetencji finansowych dorosłych </w:t>
            </w:r>
            <w:r w:rsidRPr="00271D0C">
              <w:rPr>
                <w:lang w:val="pl-PL"/>
              </w:rPr>
              <w:lastRenderedPageBreak/>
              <w:t>mieszkańców Polski w ramach cyklicznego międzynarodowego badania OECD/INFE.</w:t>
            </w:r>
          </w:p>
          <w:p w14:paraId="5B0B1547" w14:textId="47F3992A" w:rsidR="003F1AE9" w:rsidRPr="00271D0C" w:rsidRDefault="003F1AE9" w:rsidP="003F1AE9">
            <w:pPr>
              <w:pStyle w:val="TableCell"/>
              <w:widowControl/>
              <w:numPr>
                <w:ilvl w:val="0"/>
                <w:numId w:val="3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Gromadzenie i analiza danych dotyczących wskaźników określonych w Strategii.</w:t>
            </w:r>
          </w:p>
        </w:tc>
        <w:tc>
          <w:tcPr>
            <w:tcW w:w="1418" w:type="dxa"/>
          </w:tcPr>
          <w:p w14:paraId="43BE59A5" w14:textId="77777777" w:rsidR="003F1AE9" w:rsidRPr="00271D0C" w:rsidRDefault="003F1AE9" w:rsidP="003F1AE9">
            <w:pPr>
              <w:pStyle w:val="TableCell"/>
              <w:widowControl/>
              <w:numPr>
                <w:ilvl w:val="0"/>
                <w:numId w:val="3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 xml:space="preserve">Instytucja publiczna, </w:t>
            </w:r>
            <w:r w:rsidRPr="00271D0C">
              <w:rPr>
                <w:lang w:val="pl-PL"/>
              </w:rPr>
              <w:lastRenderedPageBreak/>
              <w:t xml:space="preserve">która podejmie się zadania po udostępnieniu przez OECD harmonogramu badania. </w:t>
            </w:r>
          </w:p>
          <w:p w14:paraId="4E448281" w14:textId="7881E8DA" w:rsidR="003F1AE9" w:rsidRPr="00271D0C" w:rsidRDefault="003F1AE9" w:rsidP="003F1AE9">
            <w:pPr>
              <w:pStyle w:val="TableCell"/>
              <w:widowControl/>
              <w:numPr>
                <w:ilvl w:val="0"/>
                <w:numId w:val="3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KW</w:t>
            </w:r>
          </w:p>
        </w:tc>
        <w:tc>
          <w:tcPr>
            <w:tcW w:w="1246" w:type="dxa"/>
          </w:tcPr>
          <w:p w14:paraId="78F3133C" w14:textId="77777777" w:rsidR="003F1AE9" w:rsidRPr="00271D0C" w:rsidRDefault="003F1AE9" w:rsidP="003F1AE9">
            <w:pPr>
              <w:pStyle w:val="TableCell"/>
              <w:widowControl/>
              <w:numPr>
                <w:ilvl w:val="0"/>
                <w:numId w:val="67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Zgodnie z harmonog</w:t>
            </w:r>
            <w:r w:rsidRPr="00271D0C">
              <w:rPr>
                <w:lang w:val="pl-PL"/>
              </w:rPr>
              <w:lastRenderedPageBreak/>
              <w:t>ramem OECD, który jeszcze nie został udostępniony.</w:t>
            </w:r>
          </w:p>
          <w:p w14:paraId="2035E959" w14:textId="77777777" w:rsidR="003F1AE9" w:rsidRPr="00271D0C" w:rsidRDefault="003F1AE9" w:rsidP="003F1AE9">
            <w:pPr>
              <w:pStyle w:val="TableCell"/>
              <w:widowControl/>
              <w:numPr>
                <w:ilvl w:val="0"/>
                <w:numId w:val="67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Zadanie ciągłe</w:t>
            </w:r>
          </w:p>
          <w:p w14:paraId="42859232" w14:textId="68EE5B09" w:rsidR="003F1AE9" w:rsidRPr="00271D0C" w:rsidRDefault="003F1AE9" w:rsidP="003F1AE9">
            <w:pPr>
              <w:pStyle w:val="TableCell"/>
              <w:widowControl/>
              <w:ind w:left="360"/>
              <w:jc w:val="left"/>
              <w:rPr>
                <w:lang w:val="pl-PL"/>
              </w:rPr>
            </w:pPr>
          </w:p>
        </w:tc>
      </w:tr>
      <w:tr w:rsidR="003F1AE9" w:rsidRPr="00271D0C" w14:paraId="3D184163" w14:textId="52364F76" w:rsidTr="00D575F3">
        <w:tc>
          <w:tcPr>
            <w:tcW w:w="1476" w:type="dxa"/>
            <w:vMerge/>
            <w:hideMark/>
          </w:tcPr>
          <w:p w14:paraId="6B2C8BDA" w14:textId="77777777" w:rsidR="003F1AE9" w:rsidRPr="00271D0C" w:rsidRDefault="003F1AE9" w:rsidP="003F1AE9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</w:tcPr>
          <w:p w14:paraId="26FE1C50" w14:textId="32D8D316" w:rsidR="003F1AE9" w:rsidRPr="00271D0C" w:rsidRDefault="003F1AE9" w:rsidP="003F1AE9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Projekty realizacji pogłębionych badań ilościowych i/lub jakościowych w odniesieniu do konkretnych podgrup populacji, skoordynowanych z KSEF, w celu zapewnienia, że prace nie są duplikowane oraz że potrzeby tych podgrup są dobrze zrozumiane.</w:t>
            </w:r>
          </w:p>
        </w:tc>
        <w:tc>
          <w:tcPr>
            <w:tcW w:w="3467" w:type="dxa"/>
          </w:tcPr>
          <w:p w14:paraId="412D3767" w14:textId="77777777" w:rsidR="003F1AE9" w:rsidRPr="00271D0C" w:rsidRDefault="003F1AE9" w:rsidP="003F1AE9">
            <w:pPr>
              <w:pStyle w:val="Akapitzlist"/>
              <w:numPr>
                <w:ilvl w:val="0"/>
                <w:numId w:val="67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Przeprowadzenie analizy</w:t>
            </w:r>
            <w:r w:rsidRPr="00271D0C">
              <w:rPr>
                <w:color w:val="000000" w:themeColor="text1"/>
                <w:lang w:val="pl-PL"/>
              </w:rPr>
              <w:t xml:space="preserve"> możliwości formalnoprawnych zlecania realizacji badań finansowanych ze środków Funduszu Edukacji Finansowej profesjonalnym podmiotom, np. agencjom badawczym czy uczelniom. </w:t>
            </w:r>
          </w:p>
          <w:p w14:paraId="7EB34A3F" w14:textId="77777777" w:rsidR="003F1AE9" w:rsidRPr="00271D0C" w:rsidRDefault="003F1AE9" w:rsidP="003F1AE9">
            <w:pPr>
              <w:pStyle w:val="TableCell"/>
              <w:widowControl/>
              <w:numPr>
                <w:ilvl w:val="0"/>
                <w:numId w:val="67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Rozpoczęcie prac</w:t>
            </w:r>
            <w:r w:rsidRPr="00271D0C">
              <w:rPr>
                <w:lang w:val="pl-PL"/>
              </w:rPr>
              <w:t xml:space="preserve"> nad utworzeniem, a następnie aktualizowaniem, bazy badań, raportów, analiz itp. </w:t>
            </w:r>
          </w:p>
          <w:p w14:paraId="177EDFBC" w14:textId="3F345F4D" w:rsidR="003F1AE9" w:rsidRPr="00271D0C" w:rsidRDefault="003F1AE9" w:rsidP="003F1AE9">
            <w:pPr>
              <w:pStyle w:val="TableCell"/>
              <w:widowControl/>
              <w:numPr>
                <w:ilvl w:val="0"/>
                <w:numId w:val="67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Prowadzenie analiz</w:t>
            </w:r>
            <w:r w:rsidRPr="00271D0C">
              <w:rPr>
                <w:lang w:val="pl-PL"/>
              </w:rPr>
              <w:t xml:space="preserve"> w zakresie identyfikacji i ustalaniu tematów/potrzeb w zakresie przeprowadzania nowych badań.</w:t>
            </w:r>
          </w:p>
        </w:tc>
        <w:tc>
          <w:tcPr>
            <w:tcW w:w="3328" w:type="dxa"/>
          </w:tcPr>
          <w:p w14:paraId="5738F619" w14:textId="73B10699" w:rsidR="003F1AE9" w:rsidRPr="00271D0C" w:rsidRDefault="003F1AE9" w:rsidP="003F1AE9">
            <w:pPr>
              <w:pStyle w:val="Akapitzlist"/>
              <w:numPr>
                <w:ilvl w:val="0"/>
                <w:numId w:val="37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 xml:space="preserve">Przygotowanie przez MF, jako dysponenta FEF, analizy możliwości formalnoprawnych zlecania realizacji badań finansowanych ze środków Funduszu Edukacji Finansowej. </w:t>
            </w:r>
          </w:p>
          <w:p w14:paraId="3F45F0DA" w14:textId="4EF41957" w:rsidR="003F1AE9" w:rsidRPr="00271D0C" w:rsidRDefault="003F1AE9" w:rsidP="003F1AE9">
            <w:pPr>
              <w:pStyle w:val="Akapitzlist"/>
              <w:numPr>
                <w:ilvl w:val="0"/>
                <w:numId w:val="37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 xml:space="preserve">Prowadzenie  przez </w:t>
            </w:r>
            <w:r w:rsidR="00565D89" w:rsidRPr="00271D0C">
              <w:rPr>
                <w:color w:val="000000" w:themeColor="text1"/>
                <w:lang w:val="pl-PL"/>
              </w:rPr>
              <w:t>KW</w:t>
            </w:r>
            <w:r w:rsidR="0076448F">
              <w:rPr>
                <w:color w:val="000000" w:themeColor="text1"/>
                <w:lang w:val="pl-PL"/>
              </w:rPr>
              <w:t xml:space="preserve">, </w:t>
            </w:r>
            <w:r w:rsidR="0076448F" w:rsidRPr="0076448F">
              <w:rPr>
                <w:color w:val="000000" w:themeColor="text1"/>
                <w:lang w:val="pl-PL"/>
              </w:rPr>
              <w:t>w uzgodnieniu z interesariuszami edukacji finansowej</w:t>
            </w:r>
            <w:r w:rsidR="0076448F">
              <w:rPr>
                <w:color w:val="000000" w:themeColor="text1"/>
                <w:lang w:val="pl-PL"/>
              </w:rPr>
              <w:t>,</w:t>
            </w:r>
            <w:r w:rsidRPr="00271D0C">
              <w:rPr>
                <w:color w:val="000000" w:themeColor="text1"/>
                <w:lang w:val="pl-PL"/>
              </w:rPr>
              <w:t xml:space="preserve"> prac nad utworzeniem, a następnie aktualizowaniem, bazy badań, raportów, analiz itp.</w:t>
            </w:r>
          </w:p>
          <w:p w14:paraId="47DF96F3" w14:textId="7935B7E1" w:rsidR="003F1AE9" w:rsidRPr="00271D0C" w:rsidRDefault="003F1AE9" w:rsidP="003F1AE9">
            <w:pPr>
              <w:pStyle w:val="Akapitzlist"/>
              <w:numPr>
                <w:ilvl w:val="0"/>
                <w:numId w:val="37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 xml:space="preserve">Określenie przez KW potrzeb w zakresie przeprowadzenia nowych badań, które będą brane pod uwagę przy planowaniu działań w kolejnych latach wdrażania Strategii.  </w:t>
            </w:r>
          </w:p>
        </w:tc>
        <w:tc>
          <w:tcPr>
            <w:tcW w:w="1418" w:type="dxa"/>
          </w:tcPr>
          <w:p w14:paraId="44D20DC9" w14:textId="77777777" w:rsidR="003F1AE9" w:rsidRPr="00271D0C" w:rsidRDefault="003F1AE9" w:rsidP="003F1AE9">
            <w:pPr>
              <w:pStyle w:val="Akapitzlist"/>
              <w:numPr>
                <w:ilvl w:val="0"/>
                <w:numId w:val="38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MF</w:t>
            </w:r>
          </w:p>
          <w:p w14:paraId="4967B47B" w14:textId="77777777" w:rsidR="003F1AE9" w:rsidRPr="00271D0C" w:rsidRDefault="003F1AE9" w:rsidP="003F1AE9">
            <w:pPr>
              <w:pStyle w:val="Akapitzlist"/>
              <w:numPr>
                <w:ilvl w:val="0"/>
                <w:numId w:val="38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KW</w:t>
            </w:r>
          </w:p>
          <w:p w14:paraId="440BA092" w14:textId="2A83B212" w:rsidR="003F1AE9" w:rsidRPr="00271D0C" w:rsidRDefault="003F1AE9" w:rsidP="003F1AE9">
            <w:pPr>
              <w:pStyle w:val="Akapitzlist"/>
              <w:numPr>
                <w:ilvl w:val="0"/>
                <w:numId w:val="38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KW</w:t>
            </w:r>
          </w:p>
        </w:tc>
        <w:tc>
          <w:tcPr>
            <w:tcW w:w="1246" w:type="dxa"/>
          </w:tcPr>
          <w:p w14:paraId="195318C9" w14:textId="77777777" w:rsidR="003F1AE9" w:rsidRPr="00271D0C" w:rsidRDefault="003F1AE9" w:rsidP="003F1AE9">
            <w:pPr>
              <w:pStyle w:val="Akapitzlist"/>
              <w:numPr>
                <w:ilvl w:val="0"/>
                <w:numId w:val="68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II kw.</w:t>
            </w:r>
          </w:p>
          <w:p w14:paraId="23EA8BFF" w14:textId="24A58B3B" w:rsidR="003F1AE9" w:rsidRPr="00271D0C" w:rsidRDefault="003F1AE9" w:rsidP="003F1AE9">
            <w:pPr>
              <w:pStyle w:val="Akapitzlist"/>
              <w:numPr>
                <w:ilvl w:val="0"/>
                <w:numId w:val="68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II</w:t>
            </w:r>
            <w:r w:rsidR="007C684D" w:rsidRPr="00271D0C">
              <w:rPr>
                <w:color w:val="000000" w:themeColor="text1"/>
                <w:lang w:val="pl-PL"/>
              </w:rPr>
              <w:t>I</w:t>
            </w:r>
            <w:r w:rsidRPr="00271D0C">
              <w:rPr>
                <w:color w:val="000000" w:themeColor="text1"/>
                <w:lang w:val="pl-PL"/>
              </w:rPr>
              <w:t xml:space="preserve"> kw.</w:t>
            </w:r>
          </w:p>
          <w:p w14:paraId="3B27DDAD" w14:textId="78097938" w:rsidR="003F1AE9" w:rsidRPr="00271D0C" w:rsidRDefault="003F1AE9" w:rsidP="003F1AE9">
            <w:pPr>
              <w:pStyle w:val="Akapitzlist"/>
              <w:numPr>
                <w:ilvl w:val="0"/>
                <w:numId w:val="68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color w:val="000000" w:themeColor="text1"/>
                <w:lang w:val="pl-PL"/>
              </w:rPr>
              <w:t>Zadanie ciągłe</w:t>
            </w:r>
          </w:p>
        </w:tc>
      </w:tr>
      <w:tr w:rsidR="00F63874" w:rsidRPr="00271D0C" w14:paraId="37D7D28E" w14:textId="152C8BFF" w:rsidTr="00D575F3">
        <w:tc>
          <w:tcPr>
            <w:tcW w:w="1476" w:type="dxa"/>
            <w:vMerge/>
            <w:hideMark/>
          </w:tcPr>
          <w:p w14:paraId="66914383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</w:tcPr>
          <w:p w14:paraId="6DD7DC8B" w14:textId="719B91C6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Środowisko akademickie i badawcze zachęcane jest do podejmowania badań nad zrozumieniem potrzeb oraz preferowanych kanałów komunikacji i uczenia się różnych grup docelowych, w celu wspierania opracowywania programów edukacji finansowej lepiej skrojonych do potrzeb tych grup, co pozwoli na bardziej skuteczne docieranie do odbiorców, a co za tym idzie – doprowadzi do większej efektywności procesu edukacyjnego.</w:t>
            </w:r>
          </w:p>
        </w:tc>
        <w:tc>
          <w:tcPr>
            <w:tcW w:w="3467" w:type="dxa"/>
          </w:tcPr>
          <w:p w14:paraId="0CA7A634" w14:textId="098D9488" w:rsidR="00F63874" w:rsidRPr="00271D0C" w:rsidRDefault="00F63874" w:rsidP="002351FF">
            <w:pPr>
              <w:pStyle w:val="TableCell"/>
              <w:widowControl/>
              <w:numPr>
                <w:ilvl w:val="0"/>
                <w:numId w:val="68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Zachęcanie</w:t>
            </w:r>
            <w:r w:rsidRPr="00271D0C">
              <w:rPr>
                <w:lang w:val="pl-PL"/>
              </w:rPr>
              <w:t xml:space="preserve"> środowiska akademickiego i badawczego do podejmowania badań nad zrozumieniem potrzeb oraz preferowanych kanałów komunikacji i uczenia się różnych grup docelowych.</w:t>
            </w:r>
          </w:p>
        </w:tc>
        <w:tc>
          <w:tcPr>
            <w:tcW w:w="3328" w:type="dxa"/>
          </w:tcPr>
          <w:p w14:paraId="370642D0" w14:textId="78323F72" w:rsidR="00F63874" w:rsidRPr="00271D0C" w:rsidRDefault="00F63874" w:rsidP="002351FF">
            <w:pPr>
              <w:pStyle w:val="TableCell"/>
              <w:widowControl/>
              <w:numPr>
                <w:ilvl w:val="0"/>
                <w:numId w:val="39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występowanie REF/MF  (w zależności od </w:t>
            </w:r>
            <w:r w:rsidR="003166E2" w:rsidRPr="00271D0C">
              <w:rPr>
                <w:lang w:val="pl-PL"/>
              </w:rPr>
              <w:t xml:space="preserve">rodzaju </w:t>
            </w:r>
            <w:r w:rsidRPr="00271D0C">
              <w:rPr>
                <w:lang w:val="pl-PL"/>
              </w:rPr>
              <w:t xml:space="preserve">podmiotu ) do środowiska akademickiego i badawczego zachęcające do podejmowania badań nad zrozumieniem potrzeb oraz preferowanych kanałów komunikacji i </w:t>
            </w:r>
            <w:r w:rsidR="008B14C9" w:rsidRPr="00271D0C">
              <w:rPr>
                <w:lang w:val="pl-PL"/>
              </w:rPr>
              <w:t xml:space="preserve">form </w:t>
            </w:r>
            <w:r w:rsidRPr="00271D0C">
              <w:rPr>
                <w:lang w:val="pl-PL"/>
              </w:rPr>
              <w:t>uczenia się różnych grup docelowych.</w:t>
            </w:r>
          </w:p>
        </w:tc>
        <w:tc>
          <w:tcPr>
            <w:tcW w:w="1418" w:type="dxa"/>
          </w:tcPr>
          <w:p w14:paraId="7E83B41C" w14:textId="385FC678" w:rsidR="00F63874" w:rsidRPr="00271D0C" w:rsidRDefault="003166E2" w:rsidP="002351FF">
            <w:pPr>
              <w:pStyle w:val="TableCell"/>
              <w:widowControl/>
              <w:numPr>
                <w:ilvl w:val="0"/>
                <w:numId w:val="40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7B1CBB5E" w14:textId="0D1BCC92" w:rsidR="00F63874" w:rsidRPr="00271D0C" w:rsidRDefault="00F63874" w:rsidP="002351FF">
            <w:pPr>
              <w:pStyle w:val="TableCell"/>
              <w:widowControl/>
              <w:numPr>
                <w:ilvl w:val="0"/>
                <w:numId w:val="69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kw.</w:t>
            </w:r>
          </w:p>
        </w:tc>
      </w:tr>
      <w:tr w:rsidR="00F63874" w:rsidRPr="00271D0C" w14:paraId="2A9B0115" w14:textId="42FB4E2C" w:rsidTr="00D575F3">
        <w:tc>
          <w:tcPr>
            <w:tcW w:w="1476" w:type="dxa"/>
            <w:vMerge/>
            <w:hideMark/>
          </w:tcPr>
          <w:p w14:paraId="6DB572FE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</w:tcPr>
          <w:p w14:paraId="65095935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wytycznych dotyczących monitorowania i ewaluacji programów edukacji finansowej oraz zachęcanie do ich przyjęcia i stosowania.</w:t>
            </w:r>
          </w:p>
        </w:tc>
        <w:tc>
          <w:tcPr>
            <w:tcW w:w="3467" w:type="dxa"/>
          </w:tcPr>
          <w:p w14:paraId="05CE0D5E" w14:textId="3F4E154D" w:rsidR="00F63874" w:rsidRPr="00271D0C" w:rsidRDefault="00F63874" w:rsidP="002351FF">
            <w:pPr>
              <w:pStyle w:val="TableCell"/>
              <w:widowControl/>
              <w:numPr>
                <w:ilvl w:val="0"/>
                <w:numId w:val="69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Opracowanie</w:t>
            </w:r>
            <w:r w:rsidRPr="00271D0C">
              <w:rPr>
                <w:lang w:val="pl-PL"/>
              </w:rPr>
              <w:t xml:space="preserve"> wytycznych dotyczących monitorowania i ewaluacji programów edukacji finansowej.</w:t>
            </w:r>
          </w:p>
          <w:p w14:paraId="53D8F8F9" w14:textId="14B1128B" w:rsidR="00F63874" w:rsidRPr="00271D0C" w:rsidRDefault="00F63874" w:rsidP="002351FF">
            <w:pPr>
              <w:pStyle w:val="Akapitzlist"/>
              <w:numPr>
                <w:ilvl w:val="0"/>
                <w:numId w:val="69"/>
              </w:numPr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Przyjęcie</w:t>
            </w:r>
            <w:r w:rsidRPr="00271D0C">
              <w:rPr>
                <w:color w:val="000000" w:themeColor="text1"/>
                <w:lang w:val="pl-PL"/>
              </w:rPr>
              <w:t xml:space="preserve"> przez REF wytycznych dotyczących monitorowania i ewaluacji programów edukacji finansowej.</w:t>
            </w:r>
          </w:p>
          <w:p w14:paraId="0B2B06ED" w14:textId="0B25C507" w:rsidR="00F63874" w:rsidRPr="00271D0C" w:rsidRDefault="00F63874" w:rsidP="002351FF">
            <w:pPr>
              <w:pStyle w:val="TableCell"/>
              <w:widowControl/>
              <w:numPr>
                <w:ilvl w:val="0"/>
                <w:numId w:val="69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lastRenderedPageBreak/>
              <w:t>Zachęcanie</w:t>
            </w:r>
            <w:r w:rsidRPr="00271D0C">
              <w:rPr>
                <w:lang w:val="pl-PL"/>
              </w:rPr>
              <w:t xml:space="preserve"> interesariuszy edukacji do przyjęcia i stosowania wytycznych  dotyczących monitorowania i ewaluacji programów edukacji finansowej.</w:t>
            </w:r>
          </w:p>
        </w:tc>
        <w:tc>
          <w:tcPr>
            <w:tcW w:w="3328" w:type="dxa"/>
          </w:tcPr>
          <w:p w14:paraId="392E14D3" w14:textId="48F871C2" w:rsidR="00F63874" w:rsidRPr="00271D0C" w:rsidRDefault="00F63874" w:rsidP="002351FF">
            <w:pPr>
              <w:pStyle w:val="TableCell"/>
              <w:widowControl/>
              <w:numPr>
                <w:ilvl w:val="0"/>
                <w:numId w:val="4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Opracowanie przez KW, w</w:t>
            </w:r>
            <w:r w:rsidR="005B7319" w:rsidRPr="00271D0C">
              <w:rPr>
                <w:lang w:val="pl-PL"/>
              </w:rPr>
              <w:t xml:space="preserve">e współpracy </w:t>
            </w:r>
            <w:r w:rsidRPr="00271D0C">
              <w:rPr>
                <w:lang w:val="pl-PL"/>
              </w:rPr>
              <w:t xml:space="preserve"> z interesariuszami edukacji finansowej, propozycji wytycznych dotyczących monitorowania i ewaluacji programów edukacji finansowej.</w:t>
            </w:r>
          </w:p>
          <w:p w14:paraId="37E1C170" w14:textId="40412634" w:rsidR="00F63874" w:rsidRPr="00271D0C" w:rsidRDefault="00F63874" w:rsidP="002351FF">
            <w:pPr>
              <w:pStyle w:val="TableCell"/>
              <w:widowControl/>
              <w:numPr>
                <w:ilvl w:val="0"/>
                <w:numId w:val="4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Przyjęcie uchwały REF przyjmującej wytyczne dotyczące monitorowania i ewaluacji programów edukacji finansowej oraz opublikowanie ich na stronie REF.</w:t>
            </w:r>
          </w:p>
          <w:p w14:paraId="10DB425B" w14:textId="634785F6" w:rsidR="00F63874" w:rsidRPr="00271D0C" w:rsidRDefault="00F63874" w:rsidP="002351FF">
            <w:pPr>
              <w:pStyle w:val="TableCell"/>
              <w:widowControl/>
              <w:numPr>
                <w:ilvl w:val="0"/>
                <w:numId w:val="4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wystąpienie /REF/MF  (w zależności od </w:t>
            </w:r>
            <w:r w:rsidR="003166E2" w:rsidRPr="00271D0C">
              <w:rPr>
                <w:lang w:val="pl-PL"/>
              </w:rPr>
              <w:t xml:space="preserve">rodzaju </w:t>
            </w:r>
            <w:r w:rsidRPr="00271D0C">
              <w:rPr>
                <w:lang w:val="pl-PL"/>
              </w:rPr>
              <w:t>podmiotu) do interesariuszy edukacji finansowej zachęcające do przyjęcia i stosowania wytycznych dotyczących monitorowania i ewaluacji programów edukacji finansowej.</w:t>
            </w:r>
          </w:p>
        </w:tc>
        <w:tc>
          <w:tcPr>
            <w:tcW w:w="1418" w:type="dxa"/>
          </w:tcPr>
          <w:p w14:paraId="2C7D662D" w14:textId="77777777" w:rsidR="00F63874" w:rsidRPr="00271D0C" w:rsidRDefault="003166E2" w:rsidP="002351FF">
            <w:pPr>
              <w:pStyle w:val="TableCell"/>
              <w:widowControl/>
              <w:numPr>
                <w:ilvl w:val="0"/>
                <w:numId w:val="4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KW</w:t>
            </w:r>
          </w:p>
          <w:p w14:paraId="2307BF95" w14:textId="77777777" w:rsidR="003166E2" w:rsidRPr="00271D0C" w:rsidRDefault="003166E2" w:rsidP="002351FF">
            <w:pPr>
              <w:pStyle w:val="TableCell"/>
              <w:widowControl/>
              <w:numPr>
                <w:ilvl w:val="0"/>
                <w:numId w:val="4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</w:t>
            </w:r>
          </w:p>
          <w:p w14:paraId="583B736A" w14:textId="0E907CF9" w:rsidR="003166E2" w:rsidRPr="00271D0C" w:rsidRDefault="003166E2" w:rsidP="002351FF">
            <w:pPr>
              <w:pStyle w:val="TableCell"/>
              <w:widowControl/>
              <w:numPr>
                <w:ilvl w:val="0"/>
                <w:numId w:val="4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5FF0508C" w14:textId="5A3F1BA5" w:rsidR="00F63874" w:rsidRPr="00271D0C" w:rsidRDefault="00F63874" w:rsidP="002351FF">
            <w:pPr>
              <w:pStyle w:val="TableCell"/>
              <w:widowControl/>
              <w:numPr>
                <w:ilvl w:val="0"/>
                <w:numId w:val="70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</w:t>
            </w:r>
            <w:r w:rsidR="007C684D" w:rsidRPr="00271D0C">
              <w:rPr>
                <w:lang w:val="pl-PL"/>
              </w:rPr>
              <w:t>V</w:t>
            </w:r>
            <w:r w:rsidRPr="00271D0C">
              <w:rPr>
                <w:lang w:val="pl-PL"/>
              </w:rPr>
              <w:t xml:space="preserve"> kw.</w:t>
            </w:r>
          </w:p>
          <w:p w14:paraId="0B9BBBDE" w14:textId="3AB15F6A" w:rsidR="00F63874" w:rsidRPr="00271D0C" w:rsidRDefault="00F63874" w:rsidP="002351FF">
            <w:pPr>
              <w:pStyle w:val="TableCell"/>
              <w:widowControl/>
              <w:numPr>
                <w:ilvl w:val="0"/>
                <w:numId w:val="70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  <w:p w14:paraId="41A62D70" w14:textId="15652306" w:rsidR="00F63874" w:rsidRPr="00271D0C" w:rsidRDefault="00F63874" w:rsidP="002351FF">
            <w:pPr>
              <w:pStyle w:val="TableCell"/>
              <w:widowControl/>
              <w:numPr>
                <w:ilvl w:val="0"/>
                <w:numId w:val="70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  <w:p w14:paraId="5D37E66D" w14:textId="401BF53B" w:rsidR="00F63874" w:rsidRPr="00271D0C" w:rsidRDefault="00F63874" w:rsidP="008D0483">
            <w:pPr>
              <w:pStyle w:val="TableCell"/>
              <w:widowControl/>
              <w:ind w:left="360"/>
              <w:jc w:val="left"/>
              <w:rPr>
                <w:lang w:val="pl-PL"/>
              </w:rPr>
            </w:pPr>
          </w:p>
        </w:tc>
      </w:tr>
      <w:tr w:rsidR="00F63874" w:rsidRPr="00271D0C" w14:paraId="236A9595" w14:textId="26A672CA" w:rsidTr="00D575F3">
        <w:tc>
          <w:tcPr>
            <w:tcW w:w="1476" w:type="dxa"/>
            <w:vMerge w:val="restart"/>
            <w:hideMark/>
          </w:tcPr>
          <w:p w14:paraId="17853FD9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7. Zapewnienie szerokiego i bezstronnego udziału odpowiednich interesariuszy w edukacji finansowej. </w:t>
            </w:r>
          </w:p>
        </w:tc>
        <w:tc>
          <w:tcPr>
            <w:tcW w:w="3069" w:type="dxa"/>
            <w:noWrap/>
            <w:hideMark/>
          </w:tcPr>
          <w:p w14:paraId="6DEF2AAA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Zidentyfikowanie kluczowych interesariuszy obszaru edukacji finansowej wśród podmiotów prywatnych, organizacji pozarządowych oraz instytucji opieki społecznej, jak również – jeżeli to możliwe – nawiązanie współpracy z nimi w celu wzmocnienia zakresu potencjalnego dotarcia do konsumentów, zwłaszcza tych z grup zagrożonych trudnościami finansowymi (takich jak gospodarstwa domowe o niskich dochodach, konsumenci zagrożeni nadmiernym zadłużeniem lub już nadmiernie zadłużeni, migranci i uchodźcy).</w:t>
            </w:r>
          </w:p>
        </w:tc>
        <w:tc>
          <w:tcPr>
            <w:tcW w:w="3467" w:type="dxa"/>
          </w:tcPr>
          <w:p w14:paraId="2C7FBBE0" w14:textId="77777777" w:rsidR="00F63874" w:rsidRPr="00271D0C" w:rsidRDefault="00F63874" w:rsidP="002351FF">
            <w:pPr>
              <w:pStyle w:val="TableCell"/>
              <w:widowControl/>
              <w:numPr>
                <w:ilvl w:val="0"/>
                <w:numId w:val="70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Zidentyfikowanie</w:t>
            </w:r>
            <w:r w:rsidRPr="00271D0C">
              <w:rPr>
                <w:lang w:val="pl-PL"/>
              </w:rPr>
              <w:t xml:space="preserve"> kluczowych interesariuszy edukacji finansowej wśród podmiotów prywatnych, organizacji pozarządowych oraz instytucji opieki społecznej.</w:t>
            </w:r>
          </w:p>
          <w:p w14:paraId="29482492" w14:textId="68212048" w:rsidR="00F63874" w:rsidRPr="00271D0C" w:rsidRDefault="00F63874" w:rsidP="002351FF">
            <w:pPr>
              <w:pStyle w:val="TableCell"/>
              <w:widowControl/>
              <w:numPr>
                <w:ilvl w:val="0"/>
                <w:numId w:val="70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Nawiązanie współpracy</w:t>
            </w:r>
            <w:r w:rsidRPr="00271D0C">
              <w:rPr>
                <w:lang w:val="pl-PL"/>
              </w:rPr>
              <w:t xml:space="preserve"> z podmiotami, o których mowa w punkcie 39, w celu wzmocnienia zakresu potencjalnego dotarcia do konsumentów, zwłaszcza z grup zagrożonych trudnościami finansowymi (takich jak gospodarstwa domowe o niskich dochodach, konsumenci zagrożeni nadmiernym zadłużeniem lub już nadmiernie zadłużeni, migranci i uchodźcy).</w:t>
            </w:r>
          </w:p>
        </w:tc>
        <w:tc>
          <w:tcPr>
            <w:tcW w:w="3328" w:type="dxa"/>
          </w:tcPr>
          <w:p w14:paraId="68421679" w14:textId="341F5AD8" w:rsidR="00F63874" w:rsidRPr="00271D0C" w:rsidRDefault="00F63874" w:rsidP="002351FF">
            <w:pPr>
              <w:pStyle w:val="TableCell"/>
              <w:widowControl/>
              <w:numPr>
                <w:ilvl w:val="0"/>
                <w:numId w:val="4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Dokonanie przeglądu </w:t>
            </w:r>
            <w:r w:rsidR="003166E2" w:rsidRPr="00271D0C">
              <w:rPr>
                <w:lang w:val="pl-PL"/>
              </w:rPr>
              <w:t xml:space="preserve">kluczowych interesariuszy edukacji finansowej </w:t>
            </w:r>
            <w:r w:rsidRPr="00271D0C">
              <w:rPr>
                <w:lang w:val="pl-PL"/>
              </w:rPr>
              <w:t>przez KW.</w:t>
            </w:r>
          </w:p>
          <w:p w14:paraId="370F612A" w14:textId="1B3C9F2C" w:rsidR="00F63874" w:rsidRPr="00271D0C" w:rsidRDefault="00F63874" w:rsidP="002351FF">
            <w:pPr>
              <w:pStyle w:val="TableCell"/>
              <w:widowControl/>
              <w:numPr>
                <w:ilvl w:val="0"/>
                <w:numId w:val="43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wystąpienie REF/MF  (w zależności od </w:t>
            </w:r>
            <w:r w:rsidR="00152875" w:rsidRPr="00271D0C">
              <w:rPr>
                <w:lang w:val="pl-PL"/>
              </w:rPr>
              <w:t xml:space="preserve">rodzaju </w:t>
            </w:r>
            <w:r w:rsidRPr="00271D0C">
              <w:rPr>
                <w:lang w:val="pl-PL"/>
              </w:rPr>
              <w:t>podmiotu) do kluczowych interesariuszy edukacji finansowej, o których mowa w pkt 39 obok, z propozycją nawiązania współpracy w celu wzmocnienia zakresu dotarcia do konsumentów, zwłaszcza z grup zagrożonych trudnościami finansowymi.</w:t>
            </w:r>
          </w:p>
        </w:tc>
        <w:tc>
          <w:tcPr>
            <w:tcW w:w="1418" w:type="dxa"/>
          </w:tcPr>
          <w:p w14:paraId="65B52FA9" w14:textId="77777777" w:rsidR="00F63874" w:rsidRPr="00271D0C" w:rsidRDefault="003166E2" w:rsidP="002351FF">
            <w:pPr>
              <w:pStyle w:val="TableCell"/>
              <w:widowControl/>
              <w:numPr>
                <w:ilvl w:val="0"/>
                <w:numId w:val="4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KW</w:t>
            </w:r>
          </w:p>
          <w:p w14:paraId="3311BBF5" w14:textId="742AB327" w:rsidR="003166E2" w:rsidRPr="00271D0C" w:rsidRDefault="003166E2" w:rsidP="002351FF">
            <w:pPr>
              <w:pStyle w:val="TableCell"/>
              <w:widowControl/>
              <w:numPr>
                <w:ilvl w:val="0"/>
                <w:numId w:val="44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29330344" w14:textId="42146900" w:rsidR="00F63874" w:rsidRPr="00271D0C" w:rsidRDefault="00F63874" w:rsidP="002351FF">
            <w:pPr>
              <w:pStyle w:val="TableCell"/>
              <w:widowControl/>
              <w:numPr>
                <w:ilvl w:val="0"/>
                <w:numId w:val="7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 kw.</w:t>
            </w:r>
          </w:p>
          <w:p w14:paraId="5938254C" w14:textId="0EAA3C2A" w:rsidR="00F63874" w:rsidRPr="00271D0C" w:rsidRDefault="00F63874" w:rsidP="002351FF">
            <w:pPr>
              <w:pStyle w:val="TableCell"/>
              <w:widowControl/>
              <w:numPr>
                <w:ilvl w:val="0"/>
                <w:numId w:val="71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III kw.</w:t>
            </w:r>
          </w:p>
        </w:tc>
      </w:tr>
      <w:tr w:rsidR="00F63874" w:rsidRPr="00271D0C" w14:paraId="5A6E8807" w14:textId="289DA81B" w:rsidTr="00D575F3">
        <w:tc>
          <w:tcPr>
            <w:tcW w:w="1476" w:type="dxa"/>
            <w:vMerge/>
            <w:hideMark/>
          </w:tcPr>
          <w:p w14:paraId="4AF943BA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</w:p>
        </w:tc>
        <w:tc>
          <w:tcPr>
            <w:tcW w:w="3069" w:type="dxa"/>
            <w:noWrap/>
            <w:hideMark/>
          </w:tcPr>
          <w:p w14:paraId="57A8252A" w14:textId="77777777" w:rsidR="00F63874" w:rsidRPr="00271D0C" w:rsidRDefault="00F63874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Opracowanie, wspólnie z właściwymi interesariuszami, wytycznych i/lub najlepszych praktyk dotyczących zaangażowania w edukację finansową instytucji publicznych, organizacji pozarządowych oraz podmiotów prywatnych i zachęcanie do ich stosowania.</w:t>
            </w:r>
          </w:p>
        </w:tc>
        <w:tc>
          <w:tcPr>
            <w:tcW w:w="3467" w:type="dxa"/>
          </w:tcPr>
          <w:p w14:paraId="5907582E" w14:textId="415EEA32" w:rsidR="00F63874" w:rsidRPr="00271D0C" w:rsidRDefault="00F63874" w:rsidP="002351FF">
            <w:pPr>
              <w:pStyle w:val="TableCell"/>
              <w:widowControl/>
              <w:numPr>
                <w:ilvl w:val="0"/>
                <w:numId w:val="71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Opracowanie</w:t>
            </w:r>
            <w:r w:rsidRPr="00271D0C">
              <w:rPr>
                <w:lang w:val="pl-PL"/>
              </w:rPr>
              <w:t>, we współpracy z właściwymi interesariuszami</w:t>
            </w:r>
            <w:r w:rsidR="00FE51E9" w:rsidRPr="00271D0C">
              <w:rPr>
                <w:lang w:val="pl-PL"/>
              </w:rPr>
              <w:t xml:space="preserve"> edukacji finansowej</w:t>
            </w:r>
            <w:r w:rsidRPr="00271D0C">
              <w:rPr>
                <w:lang w:val="pl-PL"/>
              </w:rPr>
              <w:t>, wytycznych i/lub najlepszych praktyk dotyczących zaangażowania w edukację finansową instytucji publicznych, organizacji pozarządowych oraz podmiotów prywatnych.</w:t>
            </w:r>
          </w:p>
          <w:p w14:paraId="085DE86E" w14:textId="141B08A5" w:rsidR="00F63874" w:rsidRPr="00271D0C" w:rsidRDefault="00F63874" w:rsidP="005B7319">
            <w:pPr>
              <w:pStyle w:val="Akapitzlist"/>
              <w:numPr>
                <w:ilvl w:val="0"/>
                <w:numId w:val="7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color w:val="000000" w:themeColor="text1"/>
                <w:lang w:val="pl-PL"/>
              </w:rPr>
              <w:t>Przyjęcie</w:t>
            </w:r>
            <w:r w:rsidRPr="00271D0C">
              <w:rPr>
                <w:color w:val="000000" w:themeColor="text1"/>
                <w:lang w:val="pl-PL"/>
              </w:rPr>
              <w:t xml:space="preserve"> wytycznych i/lub najlepszych praktyk dotyczących zaangażowania w edukację finansową instytucji publicznych, organizacji pozarządowych oraz podmiotów prywatnych.</w:t>
            </w:r>
          </w:p>
          <w:p w14:paraId="25AEEA47" w14:textId="22C1A81D" w:rsidR="00F63874" w:rsidRPr="00271D0C" w:rsidRDefault="00F63874" w:rsidP="005B7319">
            <w:pPr>
              <w:pStyle w:val="Akapitzlist"/>
              <w:numPr>
                <w:ilvl w:val="0"/>
                <w:numId w:val="71"/>
              </w:numPr>
              <w:jc w:val="left"/>
              <w:rPr>
                <w:color w:val="000000" w:themeColor="text1"/>
                <w:lang w:val="pl-PL"/>
              </w:rPr>
            </w:pPr>
            <w:r w:rsidRPr="00271D0C">
              <w:rPr>
                <w:b/>
                <w:bCs/>
                <w:lang w:val="pl-PL"/>
              </w:rPr>
              <w:t>Zachęcanie</w:t>
            </w:r>
            <w:r w:rsidRPr="00271D0C">
              <w:rPr>
                <w:lang w:val="pl-PL"/>
              </w:rPr>
              <w:t xml:space="preserve"> interesariuszy edukacji finansowej do stosowania wytycznych i/lub najlepszych praktyk</w:t>
            </w:r>
            <w:r w:rsidRPr="00271D0C">
              <w:t xml:space="preserve"> </w:t>
            </w:r>
            <w:r w:rsidRPr="00271D0C">
              <w:rPr>
                <w:color w:val="000000" w:themeColor="text1"/>
                <w:lang w:val="pl-PL"/>
              </w:rPr>
              <w:t>dotyczących zaangażowania w edukację finansową instytucji publicznych, organizacji pozarządowych oraz podmiotów prywatnych</w:t>
            </w:r>
            <w:r w:rsidRPr="00271D0C">
              <w:rPr>
                <w:lang w:val="pl-PL"/>
              </w:rPr>
              <w:t>.</w:t>
            </w:r>
          </w:p>
        </w:tc>
        <w:tc>
          <w:tcPr>
            <w:tcW w:w="3328" w:type="dxa"/>
          </w:tcPr>
          <w:p w14:paraId="1E444FF2" w14:textId="760C4E0E" w:rsidR="00F63874" w:rsidRPr="00271D0C" w:rsidRDefault="00F63874" w:rsidP="002351FF">
            <w:pPr>
              <w:pStyle w:val="TableCell"/>
              <w:widowControl/>
              <w:numPr>
                <w:ilvl w:val="0"/>
                <w:numId w:val="4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Opracowanie przez KW, w</w:t>
            </w:r>
            <w:r w:rsidR="005B7319" w:rsidRPr="00271D0C">
              <w:rPr>
                <w:lang w:val="pl-PL"/>
              </w:rPr>
              <w:t xml:space="preserve">e współpracy </w:t>
            </w:r>
            <w:r w:rsidRPr="00271D0C">
              <w:rPr>
                <w:lang w:val="pl-PL"/>
              </w:rPr>
              <w:t>z interesariuszami edukacji finansowej, propozycji wytycznych i/lub najlepszych praktyk dotyczących zaangażowania w edukację finansową instytucji publicznych, organizacji pozarządowych oraz podmiotów prywatnych.</w:t>
            </w:r>
          </w:p>
          <w:p w14:paraId="73BB3E31" w14:textId="3E184DDA" w:rsidR="00F63874" w:rsidRPr="00271D0C" w:rsidRDefault="00F63874" w:rsidP="002351FF">
            <w:pPr>
              <w:pStyle w:val="TableCell"/>
              <w:widowControl/>
              <w:numPr>
                <w:ilvl w:val="0"/>
                <w:numId w:val="4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Przyjęcie uchwały REF przyjmującej wytyczne i/lub najlepsze praktyki dotyczące zaangażowania w edukację finansową instytucji publicznych, organizacji pozarządowych oraz podmiotów prywatnych oraz opublikowanie ich na stronie REF.</w:t>
            </w:r>
          </w:p>
          <w:p w14:paraId="3DD9E341" w14:textId="714B6264" w:rsidR="00F63874" w:rsidRPr="00271D0C" w:rsidRDefault="00F63874" w:rsidP="002351FF">
            <w:pPr>
              <w:pStyle w:val="TableCell"/>
              <w:widowControl/>
              <w:numPr>
                <w:ilvl w:val="0"/>
                <w:numId w:val="45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Pisemne wystąpienie REF/MF  (w zależności od </w:t>
            </w:r>
            <w:r w:rsidR="00152875" w:rsidRPr="00271D0C">
              <w:rPr>
                <w:lang w:val="pl-PL"/>
              </w:rPr>
              <w:t xml:space="preserve">rodzaju </w:t>
            </w:r>
            <w:r w:rsidRPr="00271D0C">
              <w:rPr>
                <w:lang w:val="pl-PL"/>
              </w:rPr>
              <w:t xml:space="preserve">podmiotu) do interesariuszy edukacji finansowej zachęcające do stosowania wytycznych i/lub </w:t>
            </w:r>
            <w:r w:rsidRPr="00271D0C">
              <w:rPr>
                <w:lang w:val="pl-PL"/>
              </w:rPr>
              <w:lastRenderedPageBreak/>
              <w:t>najlepszych praktyk dotyczących zaangażowania w edukację finansową instytucji publicznych, organizacji pozarządowych oraz podmiotów prywatnych.</w:t>
            </w:r>
          </w:p>
        </w:tc>
        <w:tc>
          <w:tcPr>
            <w:tcW w:w="1418" w:type="dxa"/>
          </w:tcPr>
          <w:p w14:paraId="3B95D5E1" w14:textId="77777777" w:rsidR="00F63874" w:rsidRPr="00271D0C" w:rsidRDefault="00152875" w:rsidP="002351FF">
            <w:pPr>
              <w:pStyle w:val="TableCell"/>
              <w:widowControl/>
              <w:numPr>
                <w:ilvl w:val="0"/>
                <w:numId w:val="4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lastRenderedPageBreak/>
              <w:t>KW</w:t>
            </w:r>
          </w:p>
          <w:p w14:paraId="04442881" w14:textId="77777777" w:rsidR="00152875" w:rsidRPr="00271D0C" w:rsidRDefault="00152875" w:rsidP="002351FF">
            <w:pPr>
              <w:pStyle w:val="TableCell"/>
              <w:widowControl/>
              <w:numPr>
                <w:ilvl w:val="0"/>
                <w:numId w:val="4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</w:t>
            </w:r>
          </w:p>
          <w:p w14:paraId="0BD71B2A" w14:textId="6F8A2B14" w:rsidR="00152875" w:rsidRPr="00271D0C" w:rsidRDefault="00152875" w:rsidP="002351FF">
            <w:pPr>
              <w:pStyle w:val="TableCell"/>
              <w:widowControl/>
              <w:numPr>
                <w:ilvl w:val="0"/>
                <w:numId w:val="46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REF/MF</w:t>
            </w:r>
          </w:p>
        </w:tc>
        <w:tc>
          <w:tcPr>
            <w:tcW w:w="1246" w:type="dxa"/>
          </w:tcPr>
          <w:p w14:paraId="162ED15A" w14:textId="240CF999" w:rsidR="00F63874" w:rsidRPr="00271D0C" w:rsidRDefault="00F63874" w:rsidP="002351FF">
            <w:pPr>
              <w:pStyle w:val="TableCell"/>
              <w:widowControl/>
              <w:numPr>
                <w:ilvl w:val="0"/>
                <w:numId w:val="7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</w:t>
            </w:r>
            <w:r w:rsidR="008B14C9" w:rsidRPr="00271D0C">
              <w:rPr>
                <w:lang w:val="pl-PL"/>
              </w:rPr>
              <w:t>II</w:t>
            </w:r>
            <w:r w:rsidRPr="00271D0C">
              <w:rPr>
                <w:lang w:val="pl-PL"/>
              </w:rPr>
              <w:t xml:space="preserve"> kw.</w:t>
            </w:r>
            <w:r w:rsidR="00152875" w:rsidRPr="00271D0C" w:rsidDel="00152875">
              <w:rPr>
                <w:lang w:val="pl-PL"/>
              </w:rPr>
              <w:t xml:space="preserve"> </w:t>
            </w:r>
          </w:p>
          <w:p w14:paraId="209FCAB0" w14:textId="2448EEB9" w:rsidR="00F63874" w:rsidRPr="00271D0C" w:rsidRDefault="00F63874" w:rsidP="002351FF">
            <w:pPr>
              <w:pStyle w:val="TableCell"/>
              <w:widowControl/>
              <w:numPr>
                <w:ilvl w:val="0"/>
                <w:numId w:val="7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  <w:p w14:paraId="33155292" w14:textId="704272BF" w:rsidR="00F63874" w:rsidRPr="00271D0C" w:rsidRDefault="00F63874" w:rsidP="002351FF">
            <w:pPr>
              <w:pStyle w:val="TableCell"/>
              <w:widowControl/>
              <w:numPr>
                <w:ilvl w:val="0"/>
                <w:numId w:val="72"/>
              </w:numPr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IV kw.</w:t>
            </w:r>
          </w:p>
          <w:p w14:paraId="2AD2BBBF" w14:textId="2221346C" w:rsidR="00F63874" w:rsidRPr="00271D0C" w:rsidRDefault="00F63874" w:rsidP="008D0483">
            <w:pPr>
              <w:pStyle w:val="TableCell"/>
              <w:widowControl/>
              <w:ind w:left="360"/>
              <w:jc w:val="left"/>
              <w:rPr>
                <w:lang w:val="pl-PL"/>
              </w:rPr>
            </w:pPr>
          </w:p>
        </w:tc>
      </w:tr>
      <w:tr w:rsidR="001E0EFC" w:rsidRPr="00271D0C" w14:paraId="2CBCA2BB" w14:textId="77777777" w:rsidTr="00D575F3">
        <w:tc>
          <w:tcPr>
            <w:tcW w:w="1476" w:type="dxa"/>
          </w:tcPr>
          <w:p w14:paraId="77F7F552" w14:textId="478BCDD8" w:rsidR="001E0EFC" w:rsidRPr="00271D0C" w:rsidRDefault="003978F9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>Wszystkie</w:t>
            </w:r>
            <w:r w:rsidR="00FF2426" w:rsidRPr="00271D0C">
              <w:rPr>
                <w:lang w:val="pl-PL"/>
              </w:rPr>
              <w:t xml:space="preserve"> z ww.</w:t>
            </w:r>
          </w:p>
        </w:tc>
        <w:tc>
          <w:tcPr>
            <w:tcW w:w="3069" w:type="dxa"/>
            <w:noWrap/>
          </w:tcPr>
          <w:p w14:paraId="7E8B5062" w14:textId="39412D50" w:rsidR="001E0EFC" w:rsidRPr="00271D0C" w:rsidRDefault="005D3D72" w:rsidP="008F6C94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Wybrane </w:t>
            </w:r>
            <w:r w:rsidR="00FF2426" w:rsidRPr="00271D0C">
              <w:rPr>
                <w:lang w:val="pl-PL"/>
              </w:rPr>
              <w:t>z ww.</w:t>
            </w:r>
          </w:p>
        </w:tc>
        <w:tc>
          <w:tcPr>
            <w:tcW w:w="3467" w:type="dxa"/>
          </w:tcPr>
          <w:p w14:paraId="4197BAB5" w14:textId="7D7FCA34" w:rsidR="001E0EFC" w:rsidRPr="00271D0C" w:rsidRDefault="001E0EFC" w:rsidP="002351FF">
            <w:pPr>
              <w:pStyle w:val="TableCell"/>
              <w:widowControl/>
              <w:numPr>
                <w:ilvl w:val="0"/>
                <w:numId w:val="71"/>
              </w:numPr>
              <w:jc w:val="left"/>
              <w:rPr>
                <w:lang w:val="pl-PL"/>
              </w:rPr>
            </w:pPr>
            <w:r w:rsidRPr="00271D0C">
              <w:rPr>
                <w:b/>
                <w:bCs/>
                <w:lang w:val="pl-PL"/>
              </w:rPr>
              <w:t>Utworzenie</w:t>
            </w:r>
            <w:r w:rsidRPr="00271D0C">
              <w:rPr>
                <w:lang w:val="pl-PL"/>
              </w:rPr>
              <w:t xml:space="preserve"> grup tematycznych KW do realizacji wybranych</w:t>
            </w:r>
            <w:r w:rsidR="005D3D72" w:rsidRPr="00271D0C">
              <w:rPr>
                <w:lang w:val="pl-PL"/>
              </w:rPr>
              <w:t xml:space="preserve"> działań lub </w:t>
            </w:r>
            <w:r w:rsidRPr="00271D0C">
              <w:rPr>
                <w:lang w:val="pl-PL"/>
              </w:rPr>
              <w:t>zadań</w:t>
            </w:r>
            <w:r w:rsidR="00FF2426" w:rsidRPr="00271D0C">
              <w:rPr>
                <w:lang w:val="pl-PL"/>
              </w:rPr>
              <w:t xml:space="preserve"> z obszaru wszystkich kluczowych priorytetów Strategii.</w:t>
            </w:r>
          </w:p>
        </w:tc>
        <w:tc>
          <w:tcPr>
            <w:tcW w:w="3328" w:type="dxa"/>
          </w:tcPr>
          <w:p w14:paraId="0852E6C6" w14:textId="484E7B89" w:rsidR="001E0EFC" w:rsidRPr="00271D0C" w:rsidRDefault="007D4A31" w:rsidP="007D4A31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44.1. </w:t>
            </w:r>
            <w:r w:rsidR="001E0EFC" w:rsidRPr="00271D0C">
              <w:rPr>
                <w:lang w:val="pl-PL"/>
              </w:rPr>
              <w:t xml:space="preserve">Określenie potrzeb KW w zakresie </w:t>
            </w:r>
            <w:r w:rsidR="005D3D72" w:rsidRPr="00271D0C">
              <w:rPr>
                <w:lang w:val="pl-PL"/>
              </w:rPr>
              <w:t>powstania grup tematycznych i ich utworzenie.</w:t>
            </w:r>
          </w:p>
          <w:p w14:paraId="3EC4A9CF" w14:textId="12949D41" w:rsidR="005D3D72" w:rsidRPr="00271D0C" w:rsidRDefault="007D4A31" w:rsidP="007D4A31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44.2. </w:t>
            </w:r>
            <w:r w:rsidR="005D3D72" w:rsidRPr="00271D0C">
              <w:rPr>
                <w:lang w:val="pl-PL"/>
              </w:rPr>
              <w:t xml:space="preserve">Zaproszenie </w:t>
            </w:r>
            <w:r w:rsidR="00FF2426" w:rsidRPr="00271D0C">
              <w:rPr>
                <w:lang w:val="pl-PL"/>
              </w:rPr>
              <w:t>wskazanych przez KW ekspertów i</w:t>
            </w:r>
            <w:r w:rsidR="005D3D72" w:rsidRPr="00271D0C">
              <w:rPr>
                <w:lang w:val="pl-PL"/>
              </w:rPr>
              <w:t xml:space="preserve"> interesariuszy do prac </w:t>
            </w:r>
            <w:r w:rsidR="00FF2426" w:rsidRPr="00271D0C">
              <w:rPr>
                <w:lang w:val="pl-PL"/>
              </w:rPr>
              <w:t xml:space="preserve">w </w:t>
            </w:r>
            <w:r w:rsidR="005D3D72" w:rsidRPr="00271D0C">
              <w:rPr>
                <w:lang w:val="pl-PL"/>
              </w:rPr>
              <w:t>poszczególnych grup</w:t>
            </w:r>
            <w:r w:rsidR="00FF2426" w:rsidRPr="00271D0C">
              <w:rPr>
                <w:lang w:val="pl-PL"/>
              </w:rPr>
              <w:t>ach</w:t>
            </w:r>
            <w:r w:rsidR="005D3D72" w:rsidRPr="00271D0C">
              <w:rPr>
                <w:lang w:val="pl-PL"/>
              </w:rPr>
              <w:t xml:space="preserve"> tematycznych.</w:t>
            </w:r>
          </w:p>
          <w:p w14:paraId="74E29C60" w14:textId="2281BE69" w:rsidR="005D3D72" w:rsidRPr="00271D0C" w:rsidRDefault="007D4A31" w:rsidP="007D4A31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44.3. </w:t>
            </w:r>
            <w:r w:rsidR="005D3D72" w:rsidRPr="00271D0C">
              <w:rPr>
                <w:lang w:val="pl-PL"/>
              </w:rPr>
              <w:t>Prowadzenie prac w ramach grup tematycznych.</w:t>
            </w:r>
          </w:p>
        </w:tc>
        <w:tc>
          <w:tcPr>
            <w:tcW w:w="1418" w:type="dxa"/>
          </w:tcPr>
          <w:p w14:paraId="5699B2F1" w14:textId="2E058F19" w:rsidR="001E0EFC" w:rsidRPr="00271D0C" w:rsidRDefault="00F02D8F" w:rsidP="00F02D8F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44.1. </w:t>
            </w:r>
            <w:r w:rsidR="005D3D72" w:rsidRPr="00271D0C">
              <w:rPr>
                <w:lang w:val="pl-PL"/>
              </w:rPr>
              <w:t>KW</w:t>
            </w:r>
          </w:p>
          <w:p w14:paraId="5988A858" w14:textId="3D1DD7F7" w:rsidR="005D3D72" w:rsidRPr="00271D0C" w:rsidRDefault="00F02D8F" w:rsidP="00F02D8F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44.2. </w:t>
            </w:r>
            <w:r w:rsidR="005D3D72" w:rsidRPr="00271D0C">
              <w:rPr>
                <w:lang w:val="pl-PL"/>
              </w:rPr>
              <w:t>REF/MF</w:t>
            </w:r>
          </w:p>
          <w:p w14:paraId="3495FAEC" w14:textId="20C90B9F" w:rsidR="005D3D72" w:rsidRPr="00271D0C" w:rsidRDefault="00F02D8F" w:rsidP="00F02D8F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44.3. </w:t>
            </w:r>
            <w:r w:rsidR="005D3D72" w:rsidRPr="00271D0C">
              <w:rPr>
                <w:lang w:val="pl-PL"/>
              </w:rPr>
              <w:t>Grupy tematyczne KW</w:t>
            </w:r>
          </w:p>
        </w:tc>
        <w:tc>
          <w:tcPr>
            <w:tcW w:w="1246" w:type="dxa"/>
          </w:tcPr>
          <w:p w14:paraId="319A61FC" w14:textId="450409DC" w:rsidR="001E0EFC" w:rsidRPr="00271D0C" w:rsidRDefault="00F02D8F" w:rsidP="00F02D8F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44.1. </w:t>
            </w:r>
            <w:r w:rsidR="005D3D72" w:rsidRPr="00271D0C">
              <w:rPr>
                <w:lang w:val="pl-PL"/>
              </w:rPr>
              <w:t>I kw.</w:t>
            </w:r>
          </w:p>
          <w:p w14:paraId="71D3BF9A" w14:textId="07B1E74F" w:rsidR="005D3D72" w:rsidRPr="00271D0C" w:rsidRDefault="00F02D8F" w:rsidP="00F02D8F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44.2. </w:t>
            </w:r>
            <w:r w:rsidR="005D3D72" w:rsidRPr="00271D0C">
              <w:rPr>
                <w:lang w:val="pl-PL"/>
              </w:rPr>
              <w:t>II kw.</w:t>
            </w:r>
          </w:p>
          <w:p w14:paraId="78C806DF" w14:textId="73053163" w:rsidR="005D3D72" w:rsidRPr="00271D0C" w:rsidRDefault="00F02D8F" w:rsidP="00F02D8F">
            <w:pPr>
              <w:pStyle w:val="TableCell"/>
              <w:widowControl/>
              <w:jc w:val="left"/>
              <w:rPr>
                <w:lang w:val="pl-PL"/>
              </w:rPr>
            </w:pPr>
            <w:r w:rsidRPr="00271D0C">
              <w:rPr>
                <w:lang w:val="pl-PL"/>
              </w:rPr>
              <w:t xml:space="preserve">44.3. </w:t>
            </w:r>
            <w:r w:rsidR="005D3D72" w:rsidRPr="00271D0C">
              <w:rPr>
                <w:lang w:val="pl-PL"/>
              </w:rPr>
              <w:t>Harmo</w:t>
            </w:r>
            <w:r w:rsidRPr="00271D0C">
              <w:rPr>
                <w:lang w:val="pl-PL"/>
              </w:rPr>
              <w:t>-</w:t>
            </w:r>
            <w:r w:rsidR="005D3D72" w:rsidRPr="00271D0C">
              <w:rPr>
                <w:lang w:val="pl-PL"/>
              </w:rPr>
              <w:t>nogramy prac zgodne z terminami realizacji zadań</w:t>
            </w:r>
          </w:p>
        </w:tc>
      </w:tr>
    </w:tbl>
    <w:p w14:paraId="6AE0E616" w14:textId="54BFD477" w:rsidR="007E777F" w:rsidRPr="00271D0C" w:rsidRDefault="007E777F" w:rsidP="00E20B04">
      <w:pPr>
        <w:rPr>
          <w:sz w:val="8"/>
          <w:szCs w:val="8"/>
          <w:lang w:val="pl-PL"/>
        </w:rPr>
      </w:pPr>
    </w:p>
    <w:p w14:paraId="66F25812" w14:textId="7DD6DE0D" w:rsidR="00A75129" w:rsidRPr="00271D0C" w:rsidRDefault="00A75129" w:rsidP="00271D0C">
      <w:pPr>
        <w:spacing w:after="120"/>
        <w:rPr>
          <w:sz w:val="20"/>
          <w:szCs w:val="20"/>
          <w:lang w:val="pl-PL"/>
        </w:rPr>
      </w:pPr>
    </w:p>
    <w:sectPr w:rsidR="00A75129" w:rsidRPr="00271D0C" w:rsidSect="00A549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1A8B" w14:textId="77777777" w:rsidR="00AF2C4E" w:rsidRDefault="00AF2C4E" w:rsidP="00C770D7">
      <w:r>
        <w:separator/>
      </w:r>
    </w:p>
  </w:endnote>
  <w:endnote w:type="continuationSeparator" w:id="0">
    <w:p w14:paraId="14EAC0B0" w14:textId="77777777" w:rsidR="00AF2C4E" w:rsidRDefault="00AF2C4E" w:rsidP="00C7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F83F" w14:textId="77777777" w:rsidR="00AF2C4E" w:rsidRDefault="00AF2C4E" w:rsidP="00C770D7">
      <w:r>
        <w:separator/>
      </w:r>
    </w:p>
  </w:footnote>
  <w:footnote w:type="continuationSeparator" w:id="0">
    <w:p w14:paraId="5CF0F762" w14:textId="77777777" w:rsidR="00AF2C4E" w:rsidRDefault="00AF2C4E" w:rsidP="00C770D7">
      <w:r>
        <w:continuationSeparator/>
      </w:r>
    </w:p>
  </w:footnote>
  <w:footnote w:id="1">
    <w:p w14:paraId="72206AF6" w14:textId="6593F7D6" w:rsidR="00AB7364" w:rsidRPr="009F1444" w:rsidRDefault="00AB7364">
      <w:pPr>
        <w:pStyle w:val="Tekstprzypisudolnego"/>
        <w:rPr>
          <w:rFonts w:ascii="Arial Narrow" w:hAnsi="Arial Narrow"/>
          <w:sz w:val="18"/>
          <w:szCs w:val="18"/>
          <w:lang w:val="pl-PL"/>
        </w:rPr>
      </w:pPr>
      <w:r w:rsidRPr="009F144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P</w:t>
      </w:r>
      <w:r w:rsidRPr="009F1444">
        <w:rPr>
          <w:rFonts w:ascii="Arial Narrow" w:hAnsi="Arial Narrow"/>
          <w:sz w:val="18"/>
          <w:szCs w:val="18"/>
        </w:rPr>
        <w:t>odmioty</w:t>
      </w:r>
      <w:proofErr w:type="spellEnd"/>
      <w:r w:rsidRPr="009F1444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9F1444">
        <w:rPr>
          <w:rFonts w:ascii="Arial Narrow" w:hAnsi="Arial Narrow"/>
          <w:sz w:val="18"/>
          <w:szCs w:val="18"/>
        </w:rPr>
        <w:t>osoby</w:t>
      </w:r>
      <w:proofErr w:type="spellEnd"/>
      <w:r w:rsidRPr="009F1444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9F1444">
        <w:rPr>
          <w:rFonts w:ascii="Arial Narrow" w:hAnsi="Arial Narrow"/>
          <w:sz w:val="18"/>
          <w:szCs w:val="18"/>
        </w:rPr>
        <w:t>społeczności</w:t>
      </w:r>
      <w:proofErr w:type="spellEnd"/>
      <w:r w:rsidRPr="009F1444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9F1444">
        <w:rPr>
          <w:rFonts w:ascii="Arial Narrow" w:hAnsi="Arial Narrow"/>
          <w:sz w:val="18"/>
          <w:szCs w:val="18"/>
        </w:rPr>
        <w:t>instytucje</w:t>
      </w:r>
      <w:proofErr w:type="spellEnd"/>
      <w:r w:rsidRPr="009F1444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9F1444">
        <w:rPr>
          <w:rFonts w:ascii="Arial Narrow" w:hAnsi="Arial Narrow"/>
          <w:sz w:val="18"/>
          <w:szCs w:val="18"/>
        </w:rPr>
        <w:t>organizacje</w:t>
      </w:r>
      <w:proofErr w:type="spellEnd"/>
      <w:r w:rsidRPr="009F1444">
        <w:rPr>
          <w:rFonts w:ascii="Arial Narrow" w:hAnsi="Arial Narrow"/>
          <w:sz w:val="18"/>
          <w:szCs w:val="18"/>
        </w:rPr>
        <w:t>,</w:t>
      </w:r>
      <w:r w:rsidR="009F1444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9F1444" w:rsidRPr="009F1444">
        <w:rPr>
          <w:rFonts w:ascii="Arial Narrow" w:hAnsi="Arial Narrow"/>
          <w:sz w:val="18"/>
          <w:szCs w:val="18"/>
        </w:rPr>
        <w:t>urzędy</w:t>
      </w:r>
      <w:proofErr w:type="spellEnd"/>
      <w:r w:rsidRPr="009F1444">
        <w:rPr>
          <w:rFonts w:ascii="Arial Narrow" w:hAnsi="Arial Narrow"/>
          <w:sz w:val="18"/>
          <w:szCs w:val="18"/>
        </w:rPr>
        <w:t xml:space="preserve"> ), </w:t>
      </w:r>
      <w:proofErr w:type="spellStart"/>
      <w:r w:rsidRPr="009F1444">
        <w:rPr>
          <w:rFonts w:ascii="Arial Narrow" w:hAnsi="Arial Narrow"/>
          <w:sz w:val="18"/>
          <w:szCs w:val="18"/>
        </w:rPr>
        <w:t>które</w:t>
      </w:r>
      <w:proofErr w:type="spellEnd"/>
      <w:r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działają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w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obszarze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edukacji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finansowe</w:t>
      </w:r>
      <w:r w:rsidR="00955C6E" w:rsidRPr="009F1444">
        <w:rPr>
          <w:rFonts w:ascii="Arial Narrow" w:hAnsi="Arial Narrow"/>
          <w:sz w:val="18"/>
          <w:szCs w:val="18"/>
        </w:rPr>
        <w:t>j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i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>/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lub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mogą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być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zainteresowani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działaniami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wdrażającymi</w:t>
      </w:r>
      <w:proofErr w:type="spellEnd"/>
      <w:r w:rsidR="00EB53A9" w:rsidRPr="009F1444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B53A9" w:rsidRPr="009F1444">
        <w:rPr>
          <w:rFonts w:ascii="Arial Narrow" w:hAnsi="Arial Narrow"/>
          <w:sz w:val="18"/>
          <w:szCs w:val="18"/>
        </w:rPr>
        <w:t>Strategię</w:t>
      </w:r>
      <w:proofErr w:type="spellEnd"/>
      <w:r w:rsidRPr="009F1444">
        <w:rPr>
          <w:rFonts w:ascii="Arial Narrow" w:hAnsi="Arial Narrow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345"/>
    <w:multiLevelType w:val="hybridMultilevel"/>
    <w:tmpl w:val="381A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E0A0C"/>
    <w:multiLevelType w:val="hybridMultilevel"/>
    <w:tmpl w:val="48E6056C"/>
    <w:lvl w:ilvl="0" w:tplc="6A860A72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34C19"/>
    <w:multiLevelType w:val="hybridMultilevel"/>
    <w:tmpl w:val="4B0A2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16BC6"/>
    <w:multiLevelType w:val="hybridMultilevel"/>
    <w:tmpl w:val="9EA0FA96"/>
    <w:lvl w:ilvl="0" w:tplc="3C1668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E2FF8"/>
    <w:multiLevelType w:val="hybridMultilevel"/>
    <w:tmpl w:val="08200C38"/>
    <w:lvl w:ilvl="0" w:tplc="F44EED6C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96060"/>
    <w:multiLevelType w:val="hybridMultilevel"/>
    <w:tmpl w:val="F9281B5E"/>
    <w:lvl w:ilvl="0" w:tplc="99805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207CC"/>
    <w:multiLevelType w:val="hybridMultilevel"/>
    <w:tmpl w:val="B0CC2CF0"/>
    <w:lvl w:ilvl="0" w:tplc="5B68217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24381"/>
    <w:multiLevelType w:val="hybridMultilevel"/>
    <w:tmpl w:val="E97E09E4"/>
    <w:lvl w:ilvl="0" w:tplc="735E75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E70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A054E5"/>
    <w:multiLevelType w:val="hybridMultilevel"/>
    <w:tmpl w:val="9282F732"/>
    <w:lvl w:ilvl="0" w:tplc="FB5237D6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10317"/>
    <w:multiLevelType w:val="hybridMultilevel"/>
    <w:tmpl w:val="7098CF6A"/>
    <w:lvl w:ilvl="0" w:tplc="653E759A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F0FC5"/>
    <w:multiLevelType w:val="hybridMultilevel"/>
    <w:tmpl w:val="72F49488"/>
    <w:lvl w:ilvl="0" w:tplc="0A4C6572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62042"/>
    <w:multiLevelType w:val="hybridMultilevel"/>
    <w:tmpl w:val="78B2B916"/>
    <w:lvl w:ilvl="0" w:tplc="7C8ECB4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32EE2"/>
    <w:multiLevelType w:val="hybridMultilevel"/>
    <w:tmpl w:val="9384C350"/>
    <w:lvl w:ilvl="0" w:tplc="92DA5BCC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419CF"/>
    <w:multiLevelType w:val="hybridMultilevel"/>
    <w:tmpl w:val="434E5D76"/>
    <w:lvl w:ilvl="0" w:tplc="61C8C1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62149"/>
    <w:multiLevelType w:val="hybridMultilevel"/>
    <w:tmpl w:val="5D76EABA"/>
    <w:lvl w:ilvl="0" w:tplc="3F088E9A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F4BC9"/>
    <w:multiLevelType w:val="hybridMultilevel"/>
    <w:tmpl w:val="2542BBEC"/>
    <w:lvl w:ilvl="0" w:tplc="3B14B90A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65F9"/>
    <w:multiLevelType w:val="hybridMultilevel"/>
    <w:tmpl w:val="F962E7D4"/>
    <w:lvl w:ilvl="0" w:tplc="E770708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C65C0"/>
    <w:multiLevelType w:val="hybridMultilevel"/>
    <w:tmpl w:val="9828A5F6"/>
    <w:lvl w:ilvl="0" w:tplc="82E6367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03C57"/>
    <w:multiLevelType w:val="hybridMultilevel"/>
    <w:tmpl w:val="42682486"/>
    <w:lvl w:ilvl="0" w:tplc="C4349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77545"/>
    <w:multiLevelType w:val="hybridMultilevel"/>
    <w:tmpl w:val="7464AF58"/>
    <w:lvl w:ilvl="0" w:tplc="4BF0B77A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B3D58"/>
    <w:multiLevelType w:val="hybridMultilevel"/>
    <w:tmpl w:val="269C75F4"/>
    <w:lvl w:ilvl="0" w:tplc="E28CDA9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438F3"/>
    <w:multiLevelType w:val="hybridMultilevel"/>
    <w:tmpl w:val="ABA2F1E0"/>
    <w:lvl w:ilvl="0" w:tplc="31641D4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41ED9"/>
    <w:multiLevelType w:val="hybridMultilevel"/>
    <w:tmpl w:val="4BD6DD64"/>
    <w:lvl w:ilvl="0" w:tplc="CB703C3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770062"/>
    <w:multiLevelType w:val="hybridMultilevel"/>
    <w:tmpl w:val="D36682E0"/>
    <w:lvl w:ilvl="0" w:tplc="073E4A9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C10B59"/>
    <w:multiLevelType w:val="hybridMultilevel"/>
    <w:tmpl w:val="F8E62B40"/>
    <w:lvl w:ilvl="0" w:tplc="63C8889C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D46BE1"/>
    <w:multiLevelType w:val="hybridMultilevel"/>
    <w:tmpl w:val="AC166FB0"/>
    <w:lvl w:ilvl="0" w:tplc="6D6AE4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B55AB"/>
    <w:multiLevelType w:val="hybridMultilevel"/>
    <w:tmpl w:val="8BF6CE0A"/>
    <w:lvl w:ilvl="0" w:tplc="A0AEC288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55946"/>
    <w:multiLevelType w:val="multilevel"/>
    <w:tmpl w:val="C5747E28"/>
    <w:numStyleLink w:val="Styl1"/>
  </w:abstractNum>
  <w:abstractNum w:abstractNumId="29" w15:restartNumberingAfterBreak="0">
    <w:nsid w:val="301A037D"/>
    <w:multiLevelType w:val="hybridMultilevel"/>
    <w:tmpl w:val="87762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0406CF"/>
    <w:multiLevelType w:val="hybridMultilevel"/>
    <w:tmpl w:val="B7A4A868"/>
    <w:lvl w:ilvl="0" w:tplc="C18E18F8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982B31"/>
    <w:multiLevelType w:val="hybridMultilevel"/>
    <w:tmpl w:val="68DE6E82"/>
    <w:lvl w:ilvl="0" w:tplc="92683DC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E5D7A"/>
    <w:multiLevelType w:val="hybridMultilevel"/>
    <w:tmpl w:val="86062D92"/>
    <w:lvl w:ilvl="0" w:tplc="4CA0E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1A2243"/>
    <w:multiLevelType w:val="hybridMultilevel"/>
    <w:tmpl w:val="5EB84BD2"/>
    <w:lvl w:ilvl="0" w:tplc="B43CED7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AB5B18"/>
    <w:multiLevelType w:val="hybridMultilevel"/>
    <w:tmpl w:val="F934D774"/>
    <w:lvl w:ilvl="0" w:tplc="89C6D05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E05EE3"/>
    <w:multiLevelType w:val="hybridMultilevel"/>
    <w:tmpl w:val="08C02770"/>
    <w:lvl w:ilvl="0" w:tplc="142E8E3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84223"/>
    <w:multiLevelType w:val="hybridMultilevel"/>
    <w:tmpl w:val="DB88B4C2"/>
    <w:lvl w:ilvl="0" w:tplc="560A2D2E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8650D"/>
    <w:multiLevelType w:val="hybridMultilevel"/>
    <w:tmpl w:val="C9C660F8"/>
    <w:lvl w:ilvl="0" w:tplc="D2F22554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30FBB"/>
    <w:multiLevelType w:val="hybridMultilevel"/>
    <w:tmpl w:val="48C8960A"/>
    <w:lvl w:ilvl="0" w:tplc="C5D408A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193E6A"/>
    <w:multiLevelType w:val="hybridMultilevel"/>
    <w:tmpl w:val="4B02F456"/>
    <w:lvl w:ilvl="0" w:tplc="E35E0B9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182B14"/>
    <w:multiLevelType w:val="hybridMultilevel"/>
    <w:tmpl w:val="C27A69B6"/>
    <w:lvl w:ilvl="0" w:tplc="EC5E739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B1F80"/>
    <w:multiLevelType w:val="hybridMultilevel"/>
    <w:tmpl w:val="69C0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8762DA4"/>
    <w:multiLevelType w:val="hybridMultilevel"/>
    <w:tmpl w:val="2D08E494"/>
    <w:lvl w:ilvl="0" w:tplc="05ACDD6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7631D"/>
    <w:multiLevelType w:val="hybridMultilevel"/>
    <w:tmpl w:val="3F7A7696"/>
    <w:lvl w:ilvl="0" w:tplc="D2F22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F17076"/>
    <w:multiLevelType w:val="hybridMultilevel"/>
    <w:tmpl w:val="6B646E96"/>
    <w:lvl w:ilvl="0" w:tplc="67D6099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3F108C"/>
    <w:multiLevelType w:val="hybridMultilevel"/>
    <w:tmpl w:val="0EAAD290"/>
    <w:lvl w:ilvl="0" w:tplc="EAFE974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675A9E"/>
    <w:multiLevelType w:val="hybridMultilevel"/>
    <w:tmpl w:val="3D4CE4FA"/>
    <w:lvl w:ilvl="0" w:tplc="AF4472A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B6149B"/>
    <w:multiLevelType w:val="hybridMultilevel"/>
    <w:tmpl w:val="69789BDE"/>
    <w:lvl w:ilvl="0" w:tplc="91CCB0E4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F1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42558E6"/>
    <w:multiLevelType w:val="hybridMultilevel"/>
    <w:tmpl w:val="723CD346"/>
    <w:lvl w:ilvl="0" w:tplc="46BC12C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065D46"/>
    <w:multiLevelType w:val="hybridMultilevel"/>
    <w:tmpl w:val="37D44136"/>
    <w:lvl w:ilvl="0" w:tplc="DF2EAD6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156D90"/>
    <w:multiLevelType w:val="hybridMultilevel"/>
    <w:tmpl w:val="0DD0394E"/>
    <w:lvl w:ilvl="0" w:tplc="2A767EA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792F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C6D0F95"/>
    <w:multiLevelType w:val="hybridMultilevel"/>
    <w:tmpl w:val="11CE5E26"/>
    <w:lvl w:ilvl="0" w:tplc="06B6B2F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A20B24"/>
    <w:multiLevelType w:val="hybridMultilevel"/>
    <w:tmpl w:val="0F24424E"/>
    <w:lvl w:ilvl="0" w:tplc="76F4CC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E37DCD"/>
    <w:multiLevelType w:val="hybridMultilevel"/>
    <w:tmpl w:val="EB70CAF4"/>
    <w:lvl w:ilvl="0" w:tplc="3EF0CC7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813221"/>
    <w:multiLevelType w:val="multilevel"/>
    <w:tmpl w:val="C5747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2A05DE9"/>
    <w:multiLevelType w:val="hybridMultilevel"/>
    <w:tmpl w:val="DCDED9F6"/>
    <w:lvl w:ilvl="0" w:tplc="7B282940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3066F0"/>
    <w:multiLevelType w:val="hybridMultilevel"/>
    <w:tmpl w:val="BABC50D8"/>
    <w:lvl w:ilvl="0" w:tplc="BF0A59F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B65EF5"/>
    <w:multiLevelType w:val="hybridMultilevel"/>
    <w:tmpl w:val="32507DD0"/>
    <w:lvl w:ilvl="0" w:tplc="5136E25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B838E6"/>
    <w:multiLevelType w:val="hybridMultilevel"/>
    <w:tmpl w:val="E9E22662"/>
    <w:lvl w:ilvl="0" w:tplc="D3AADBF2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879AE"/>
    <w:multiLevelType w:val="hybridMultilevel"/>
    <w:tmpl w:val="BE30EA20"/>
    <w:lvl w:ilvl="0" w:tplc="D1AE92F2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0E44D5"/>
    <w:multiLevelType w:val="hybridMultilevel"/>
    <w:tmpl w:val="B5BC8704"/>
    <w:lvl w:ilvl="0" w:tplc="8976ECB8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3B1888"/>
    <w:multiLevelType w:val="hybridMultilevel"/>
    <w:tmpl w:val="083C5C22"/>
    <w:lvl w:ilvl="0" w:tplc="DD1C03B8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447655"/>
    <w:multiLevelType w:val="hybridMultilevel"/>
    <w:tmpl w:val="B4B03084"/>
    <w:lvl w:ilvl="0" w:tplc="D5AE1F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A4339A"/>
    <w:multiLevelType w:val="hybridMultilevel"/>
    <w:tmpl w:val="B314750C"/>
    <w:lvl w:ilvl="0" w:tplc="98FA30F6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90B6F"/>
    <w:multiLevelType w:val="hybridMultilevel"/>
    <w:tmpl w:val="B42EE346"/>
    <w:lvl w:ilvl="0" w:tplc="918ABCE2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6A6774"/>
    <w:multiLevelType w:val="hybridMultilevel"/>
    <w:tmpl w:val="D376D3B6"/>
    <w:lvl w:ilvl="0" w:tplc="3CE80E88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112EA1"/>
    <w:multiLevelType w:val="hybridMultilevel"/>
    <w:tmpl w:val="3BD26B40"/>
    <w:lvl w:ilvl="0" w:tplc="D6CE482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6A40CC"/>
    <w:multiLevelType w:val="multilevel"/>
    <w:tmpl w:val="C5747E28"/>
    <w:styleLink w:val="Styl1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2CF3E18"/>
    <w:multiLevelType w:val="hybridMultilevel"/>
    <w:tmpl w:val="D61CA8BE"/>
    <w:lvl w:ilvl="0" w:tplc="E81404A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14642F"/>
    <w:multiLevelType w:val="hybridMultilevel"/>
    <w:tmpl w:val="5CE4F68C"/>
    <w:lvl w:ilvl="0" w:tplc="2A4647E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C71E87"/>
    <w:multiLevelType w:val="hybridMultilevel"/>
    <w:tmpl w:val="9ED60194"/>
    <w:lvl w:ilvl="0" w:tplc="0BA4E27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57450D"/>
    <w:multiLevelType w:val="hybridMultilevel"/>
    <w:tmpl w:val="5D7A975C"/>
    <w:lvl w:ilvl="0" w:tplc="23304C1E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E90FB6"/>
    <w:multiLevelType w:val="hybridMultilevel"/>
    <w:tmpl w:val="FBF469BA"/>
    <w:lvl w:ilvl="0" w:tplc="5136021A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C621A7"/>
    <w:multiLevelType w:val="hybridMultilevel"/>
    <w:tmpl w:val="904C2044"/>
    <w:lvl w:ilvl="0" w:tplc="ACDAD5C8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1D6B66"/>
    <w:multiLevelType w:val="hybridMultilevel"/>
    <w:tmpl w:val="ECFE75E6"/>
    <w:lvl w:ilvl="0" w:tplc="A4E8039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D485D"/>
    <w:multiLevelType w:val="hybridMultilevel"/>
    <w:tmpl w:val="C6982942"/>
    <w:lvl w:ilvl="0" w:tplc="A350B5A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17"/>
  </w:num>
  <w:num w:numId="4">
    <w:abstractNumId w:val="22"/>
  </w:num>
  <w:num w:numId="5">
    <w:abstractNumId w:val="14"/>
  </w:num>
  <w:num w:numId="6">
    <w:abstractNumId w:val="54"/>
  </w:num>
  <w:num w:numId="7">
    <w:abstractNumId w:val="38"/>
  </w:num>
  <w:num w:numId="8">
    <w:abstractNumId w:val="73"/>
  </w:num>
  <w:num w:numId="9">
    <w:abstractNumId w:val="60"/>
  </w:num>
  <w:num w:numId="10">
    <w:abstractNumId w:val="23"/>
  </w:num>
  <w:num w:numId="11">
    <w:abstractNumId w:val="77"/>
  </w:num>
  <w:num w:numId="12">
    <w:abstractNumId w:val="9"/>
  </w:num>
  <w:num w:numId="13">
    <w:abstractNumId w:val="53"/>
  </w:num>
  <w:num w:numId="14">
    <w:abstractNumId w:val="24"/>
  </w:num>
  <w:num w:numId="15">
    <w:abstractNumId w:val="63"/>
  </w:num>
  <w:num w:numId="16">
    <w:abstractNumId w:val="19"/>
  </w:num>
  <w:num w:numId="17">
    <w:abstractNumId w:val="5"/>
  </w:num>
  <w:num w:numId="18">
    <w:abstractNumId w:val="68"/>
  </w:num>
  <w:num w:numId="19">
    <w:abstractNumId w:val="12"/>
  </w:num>
  <w:num w:numId="20">
    <w:abstractNumId w:val="21"/>
  </w:num>
  <w:num w:numId="21">
    <w:abstractNumId w:val="46"/>
  </w:num>
  <w:num w:numId="22">
    <w:abstractNumId w:val="42"/>
  </w:num>
  <w:num w:numId="23">
    <w:abstractNumId w:val="18"/>
  </w:num>
  <w:num w:numId="24">
    <w:abstractNumId w:val="45"/>
  </w:num>
  <w:num w:numId="25">
    <w:abstractNumId w:val="74"/>
  </w:num>
  <w:num w:numId="26">
    <w:abstractNumId w:val="76"/>
  </w:num>
  <w:num w:numId="27">
    <w:abstractNumId w:val="44"/>
  </w:num>
  <w:num w:numId="28">
    <w:abstractNumId w:val="72"/>
  </w:num>
  <w:num w:numId="29">
    <w:abstractNumId w:val="47"/>
  </w:num>
  <w:num w:numId="30">
    <w:abstractNumId w:val="40"/>
  </w:num>
  <w:num w:numId="31">
    <w:abstractNumId w:val="20"/>
  </w:num>
  <w:num w:numId="32">
    <w:abstractNumId w:val="49"/>
  </w:num>
  <w:num w:numId="33">
    <w:abstractNumId w:val="16"/>
  </w:num>
  <w:num w:numId="34">
    <w:abstractNumId w:val="4"/>
  </w:num>
  <w:num w:numId="35">
    <w:abstractNumId w:val="1"/>
  </w:num>
  <w:num w:numId="36">
    <w:abstractNumId w:val="6"/>
  </w:num>
  <w:num w:numId="37">
    <w:abstractNumId w:val="67"/>
  </w:num>
  <w:num w:numId="38">
    <w:abstractNumId w:val="13"/>
  </w:num>
  <w:num w:numId="39">
    <w:abstractNumId w:val="27"/>
  </w:num>
  <w:num w:numId="40">
    <w:abstractNumId w:val="37"/>
  </w:num>
  <w:num w:numId="41">
    <w:abstractNumId w:val="35"/>
  </w:num>
  <w:num w:numId="42">
    <w:abstractNumId w:val="11"/>
  </w:num>
  <w:num w:numId="43">
    <w:abstractNumId w:val="30"/>
  </w:num>
  <w:num w:numId="44">
    <w:abstractNumId w:val="10"/>
  </w:num>
  <w:num w:numId="45">
    <w:abstractNumId w:val="25"/>
  </w:num>
  <w:num w:numId="46">
    <w:abstractNumId w:val="57"/>
  </w:num>
  <w:num w:numId="47">
    <w:abstractNumId w:val="2"/>
  </w:num>
  <w:num w:numId="48">
    <w:abstractNumId w:val="29"/>
  </w:num>
  <w:num w:numId="49">
    <w:abstractNumId w:val="0"/>
  </w:num>
  <w:num w:numId="50">
    <w:abstractNumId w:val="41"/>
  </w:num>
  <w:num w:numId="51">
    <w:abstractNumId w:val="43"/>
  </w:num>
  <w:num w:numId="52">
    <w:abstractNumId w:val="3"/>
  </w:num>
  <w:num w:numId="53">
    <w:abstractNumId w:val="64"/>
  </w:num>
  <w:num w:numId="54">
    <w:abstractNumId w:val="70"/>
  </w:num>
  <w:num w:numId="55">
    <w:abstractNumId w:val="26"/>
  </w:num>
  <w:num w:numId="56">
    <w:abstractNumId w:val="55"/>
  </w:num>
  <w:num w:numId="57">
    <w:abstractNumId w:val="71"/>
  </w:num>
  <w:num w:numId="58">
    <w:abstractNumId w:val="7"/>
  </w:num>
  <w:num w:numId="59">
    <w:abstractNumId w:val="59"/>
  </w:num>
  <w:num w:numId="60">
    <w:abstractNumId w:val="50"/>
  </w:num>
  <w:num w:numId="61">
    <w:abstractNumId w:val="31"/>
  </w:num>
  <w:num w:numId="62">
    <w:abstractNumId w:val="61"/>
  </w:num>
  <w:num w:numId="63">
    <w:abstractNumId w:val="51"/>
  </w:num>
  <w:num w:numId="64">
    <w:abstractNumId w:val="62"/>
  </w:num>
  <w:num w:numId="65">
    <w:abstractNumId w:val="66"/>
  </w:num>
  <w:num w:numId="66">
    <w:abstractNumId w:val="34"/>
  </w:num>
  <w:num w:numId="67">
    <w:abstractNumId w:val="39"/>
  </w:num>
  <w:num w:numId="68">
    <w:abstractNumId w:val="65"/>
  </w:num>
  <w:num w:numId="69">
    <w:abstractNumId w:val="36"/>
  </w:num>
  <w:num w:numId="70">
    <w:abstractNumId w:val="58"/>
  </w:num>
  <w:num w:numId="71">
    <w:abstractNumId w:val="15"/>
  </w:num>
  <w:num w:numId="72">
    <w:abstractNumId w:val="75"/>
  </w:num>
  <w:num w:numId="73">
    <w:abstractNumId w:val="56"/>
  </w:num>
  <w:num w:numId="74">
    <w:abstractNumId w:val="48"/>
  </w:num>
  <w:num w:numId="75">
    <w:abstractNumId w:val="8"/>
  </w:num>
  <w:num w:numId="76">
    <w:abstractNumId w:val="28"/>
  </w:num>
  <w:num w:numId="77">
    <w:abstractNumId w:val="69"/>
  </w:num>
  <w:num w:numId="78">
    <w:abstractNumId w:val="5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8B"/>
    <w:rsid w:val="00000D84"/>
    <w:rsid w:val="00013261"/>
    <w:rsid w:val="00022BAF"/>
    <w:rsid w:val="00035B48"/>
    <w:rsid w:val="00042DBE"/>
    <w:rsid w:val="000451D6"/>
    <w:rsid w:val="00047CE7"/>
    <w:rsid w:val="00065F23"/>
    <w:rsid w:val="00071951"/>
    <w:rsid w:val="000740AF"/>
    <w:rsid w:val="000A36FC"/>
    <w:rsid w:val="000B1514"/>
    <w:rsid w:val="000B2648"/>
    <w:rsid w:val="000C35B1"/>
    <w:rsid w:val="000D25A1"/>
    <w:rsid w:val="000D3408"/>
    <w:rsid w:val="000E1447"/>
    <w:rsid w:val="000E194C"/>
    <w:rsid w:val="000E644F"/>
    <w:rsid w:val="000F1377"/>
    <w:rsid w:val="000F42E6"/>
    <w:rsid w:val="00107E4C"/>
    <w:rsid w:val="0011390E"/>
    <w:rsid w:val="00133673"/>
    <w:rsid w:val="00136D55"/>
    <w:rsid w:val="00137616"/>
    <w:rsid w:val="00142D32"/>
    <w:rsid w:val="00144B34"/>
    <w:rsid w:val="001525CB"/>
    <w:rsid w:val="00152875"/>
    <w:rsid w:val="0015698B"/>
    <w:rsid w:val="0016441D"/>
    <w:rsid w:val="00171F3B"/>
    <w:rsid w:val="001735DF"/>
    <w:rsid w:val="00183386"/>
    <w:rsid w:val="00191DA6"/>
    <w:rsid w:val="001923D7"/>
    <w:rsid w:val="00194CD0"/>
    <w:rsid w:val="001A1EE7"/>
    <w:rsid w:val="001A7050"/>
    <w:rsid w:val="001B6DE0"/>
    <w:rsid w:val="001E0940"/>
    <w:rsid w:val="001E0EFC"/>
    <w:rsid w:val="00205977"/>
    <w:rsid w:val="00206007"/>
    <w:rsid w:val="00207927"/>
    <w:rsid w:val="002247AE"/>
    <w:rsid w:val="00233E5E"/>
    <w:rsid w:val="00234093"/>
    <w:rsid w:val="002351FF"/>
    <w:rsid w:val="00237490"/>
    <w:rsid w:val="00241BC3"/>
    <w:rsid w:val="00244412"/>
    <w:rsid w:val="00251DED"/>
    <w:rsid w:val="0025247F"/>
    <w:rsid w:val="0025260A"/>
    <w:rsid w:val="002636DE"/>
    <w:rsid w:val="00264ACE"/>
    <w:rsid w:val="00267D2E"/>
    <w:rsid w:val="002717D0"/>
    <w:rsid w:val="00271D0C"/>
    <w:rsid w:val="00295D70"/>
    <w:rsid w:val="002A0038"/>
    <w:rsid w:val="002C226E"/>
    <w:rsid w:val="002C3ECD"/>
    <w:rsid w:val="002C717C"/>
    <w:rsid w:val="003065DF"/>
    <w:rsid w:val="003166E2"/>
    <w:rsid w:val="0033501E"/>
    <w:rsid w:val="00335F68"/>
    <w:rsid w:val="00340C5F"/>
    <w:rsid w:val="00350261"/>
    <w:rsid w:val="00353D9D"/>
    <w:rsid w:val="003549D9"/>
    <w:rsid w:val="0036663E"/>
    <w:rsid w:val="003718C1"/>
    <w:rsid w:val="00391685"/>
    <w:rsid w:val="003978F9"/>
    <w:rsid w:val="003A2874"/>
    <w:rsid w:val="003A4EE8"/>
    <w:rsid w:val="003B0A3C"/>
    <w:rsid w:val="003B5318"/>
    <w:rsid w:val="003B5742"/>
    <w:rsid w:val="003C6280"/>
    <w:rsid w:val="003D0DC5"/>
    <w:rsid w:val="003E6501"/>
    <w:rsid w:val="003E7CF9"/>
    <w:rsid w:val="003F1AE9"/>
    <w:rsid w:val="00402C2B"/>
    <w:rsid w:val="00411782"/>
    <w:rsid w:val="00412BDA"/>
    <w:rsid w:val="00414085"/>
    <w:rsid w:val="00415D7D"/>
    <w:rsid w:val="004163C1"/>
    <w:rsid w:val="00416FB5"/>
    <w:rsid w:val="00421EEE"/>
    <w:rsid w:val="004377D1"/>
    <w:rsid w:val="00450517"/>
    <w:rsid w:val="004541E7"/>
    <w:rsid w:val="00457D48"/>
    <w:rsid w:val="004616EB"/>
    <w:rsid w:val="00462537"/>
    <w:rsid w:val="0046424B"/>
    <w:rsid w:val="00465312"/>
    <w:rsid w:val="00467F75"/>
    <w:rsid w:val="00482143"/>
    <w:rsid w:val="0048564D"/>
    <w:rsid w:val="00496B46"/>
    <w:rsid w:val="00496F17"/>
    <w:rsid w:val="00497506"/>
    <w:rsid w:val="004A2B63"/>
    <w:rsid w:val="004C675C"/>
    <w:rsid w:val="004C67F7"/>
    <w:rsid w:val="004C7A5C"/>
    <w:rsid w:val="004D22DC"/>
    <w:rsid w:val="004E07A3"/>
    <w:rsid w:val="004F6B30"/>
    <w:rsid w:val="0050198A"/>
    <w:rsid w:val="005132BB"/>
    <w:rsid w:val="005163BE"/>
    <w:rsid w:val="00517A6F"/>
    <w:rsid w:val="0052260F"/>
    <w:rsid w:val="0052549C"/>
    <w:rsid w:val="005303AD"/>
    <w:rsid w:val="00546EF7"/>
    <w:rsid w:val="00551320"/>
    <w:rsid w:val="0055252A"/>
    <w:rsid w:val="00563573"/>
    <w:rsid w:val="00565D89"/>
    <w:rsid w:val="005663F0"/>
    <w:rsid w:val="00576EEC"/>
    <w:rsid w:val="005930A3"/>
    <w:rsid w:val="00596323"/>
    <w:rsid w:val="005A2909"/>
    <w:rsid w:val="005B1335"/>
    <w:rsid w:val="005B63CD"/>
    <w:rsid w:val="005B7319"/>
    <w:rsid w:val="005C275F"/>
    <w:rsid w:val="005C64A9"/>
    <w:rsid w:val="005D3D72"/>
    <w:rsid w:val="005D78C0"/>
    <w:rsid w:val="005F0FF6"/>
    <w:rsid w:val="00605011"/>
    <w:rsid w:val="00612F7C"/>
    <w:rsid w:val="0062571F"/>
    <w:rsid w:val="00651FA9"/>
    <w:rsid w:val="00653122"/>
    <w:rsid w:val="0065681A"/>
    <w:rsid w:val="006619DA"/>
    <w:rsid w:val="006720FE"/>
    <w:rsid w:val="00675CF8"/>
    <w:rsid w:val="006800FF"/>
    <w:rsid w:val="00681F2D"/>
    <w:rsid w:val="00694937"/>
    <w:rsid w:val="00697FA8"/>
    <w:rsid w:val="006A155E"/>
    <w:rsid w:val="006B5A13"/>
    <w:rsid w:val="006D224A"/>
    <w:rsid w:val="006E5B6C"/>
    <w:rsid w:val="006E6773"/>
    <w:rsid w:val="006F49A8"/>
    <w:rsid w:val="00701FF4"/>
    <w:rsid w:val="00732807"/>
    <w:rsid w:val="007350EC"/>
    <w:rsid w:val="0074369B"/>
    <w:rsid w:val="00754024"/>
    <w:rsid w:val="0076428F"/>
    <w:rsid w:val="0076448F"/>
    <w:rsid w:val="00767764"/>
    <w:rsid w:val="00771FFC"/>
    <w:rsid w:val="0077763C"/>
    <w:rsid w:val="007904F7"/>
    <w:rsid w:val="00792406"/>
    <w:rsid w:val="00794073"/>
    <w:rsid w:val="007A4C60"/>
    <w:rsid w:val="007C1231"/>
    <w:rsid w:val="007C684D"/>
    <w:rsid w:val="007D4A31"/>
    <w:rsid w:val="007E777F"/>
    <w:rsid w:val="00816147"/>
    <w:rsid w:val="00825430"/>
    <w:rsid w:val="008401AB"/>
    <w:rsid w:val="00840814"/>
    <w:rsid w:val="008523BE"/>
    <w:rsid w:val="008564EF"/>
    <w:rsid w:val="00866A35"/>
    <w:rsid w:val="00872878"/>
    <w:rsid w:val="00877BC1"/>
    <w:rsid w:val="008A34FA"/>
    <w:rsid w:val="008A5D69"/>
    <w:rsid w:val="008B14C9"/>
    <w:rsid w:val="008C6950"/>
    <w:rsid w:val="008D0483"/>
    <w:rsid w:val="008D33E6"/>
    <w:rsid w:val="008D58AE"/>
    <w:rsid w:val="008E2643"/>
    <w:rsid w:val="008E4C9F"/>
    <w:rsid w:val="008E5627"/>
    <w:rsid w:val="008E6895"/>
    <w:rsid w:val="008F584E"/>
    <w:rsid w:val="008F6C94"/>
    <w:rsid w:val="008F75E6"/>
    <w:rsid w:val="0090223E"/>
    <w:rsid w:val="00903D4D"/>
    <w:rsid w:val="009157BB"/>
    <w:rsid w:val="00917FEF"/>
    <w:rsid w:val="009458DE"/>
    <w:rsid w:val="00947271"/>
    <w:rsid w:val="009534DA"/>
    <w:rsid w:val="009540C6"/>
    <w:rsid w:val="00955A33"/>
    <w:rsid w:val="00955C6E"/>
    <w:rsid w:val="00960DD0"/>
    <w:rsid w:val="00960E2D"/>
    <w:rsid w:val="009626E8"/>
    <w:rsid w:val="009708B2"/>
    <w:rsid w:val="00980A5E"/>
    <w:rsid w:val="00981A6C"/>
    <w:rsid w:val="0098375A"/>
    <w:rsid w:val="00986C77"/>
    <w:rsid w:val="00994CA2"/>
    <w:rsid w:val="009A5575"/>
    <w:rsid w:val="009A6FB2"/>
    <w:rsid w:val="009B1563"/>
    <w:rsid w:val="009C5D26"/>
    <w:rsid w:val="009D5B84"/>
    <w:rsid w:val="009D5B95"/>
    <w:rsid w:val="009E33E1"/>
    <w:rsid w:val="009E6519"/>
    <w:rsid w:val="009F1444"/>
    <w:rsid w:val="00A0770B"/>
    <w:rsid w:val="00A1092A"/>
    <w:rsid w:val="00A1243C"/>
    <w:rsid w:val="00A12858"/>
    <w:rsid w:val="00A206B5"/>
    <w:rsid w:val="00A27323"/>
    <w:rsid w:val="00A42C32"/>
    <w:rsid w:val="00A517E3"/>
    <w:rsid w:val="00A51D7A"/>
    <w:rsid w:val="00A5498B"/>
    <w:rsid w:val="00A5683D"/>
    <w:rsid w:val="00A67F8F"/>
    <w:rsid w:val="00A75129"/>
    <w:rsid w:val="00A76586"/>
    <w:rsid w:val="00AA7399"/>
    <w:rsid w:val="00AB7364"/>
    <w:rsid w:val="00AC5111"/>
    <w:rsid w:val="00AD34E0"/>
    <w:rsid w:val="00AE256F"/>
    <w:rsid w:val="00AE285A"/>
    <w:rsid w:val="00AE5BCD"/>
    <w:rsid w:val="00AF2C4E"/>
    <w:rsid w:val="00AF316E"/>
    <w:rsid w:val="00B002C6"/>
    <w:rsid w:val="00B01D13"/>
    <w:rsid w:val="00B034F8"/>
    <w:rsid w:val="00B04B82"/>
    <w:rsid w:val="00B136EB"/>
    <w:rsid w:val="00B16E9C"/>
    <w:rsid w:val="00B174FB"/>
    <w:rsid w:val="00B20665"/>
    <w:rsid w:val="00B27153"/>
    <w:rsid w:val="00B3718B"/>
    <w:rsid w:val="00B37557"/>
    <w:rsid w:val="00B4300F"/>
    <w:rsid w:val="00B55917"/>
    <w:rsid w:val="00B77E73"/>
    <w:rsid w:val="00B838E4"/>
    <w:rsid w:val="00B86159"/>
    <w:rsid w:val="00B9421F"/>
    <w:rsid w:val="00B95AF2"/>
    <w:rsid w:val="00BB09FE"/>
    <w:rsid w:val="00BD4D22"/>
    <w:rsid w:val="00BE05AA"/>
    <w:rsid w:val="00BE22FA"/>
    <w:rsid w:val="00BE44DC"/>
    <w:rsid w:val="00C21432"/>
    <w:rsid w:val="00C27259"/>
    <w:rsid w:val="00C3406D"/>
    <w:rsid w:val="00C36A66"/>
    <w:rsid w:val="00C36E36"/>
    <w:rsid w:val="00C408A7"/>
    <w:rsid w:val="00C553DF"/>
    <w:rsid w:val="00C613CC"/>
    <w:rsid w:val="00C675AC"/>
    <w:rsid w:val="00C770D7"/>
    <w:rsid w:val="00C81360"/>
    <w:rsid w:val="00C920FC"/>
    <w:rsid w:val="00CA1D34"/>
    <w:rsid w:val="00CA2DC8"/>
    <w:rsid w:val="00CA3D8C"/>
    <w:rsid w:val="00CB127D"/>
    <w:rsid w:val="00CB2229"/>
    <w:rsid w:val="00CB6C82"/>
    <w:rsid w:val="00CB769A"/>
    <w:rsid w:val="00CB7B2F"/>
    <w:rsid w:val="00CC4411"/>
    <w:rsid w:val="00CD5A0A"/>
    <w:rsid w:val="00CD72B6"/>
    <w:rsid w:val="00CE16A4"/>
    <w:rsid w:val="00CE5B4C"/>
    <w:rsid w:val="00D061BE"/>
    <w:rsid w:val="00D06257"/>
    <w:rsid w:val="00D078DE"/>
    <w:rsid w:val="00D5076B"/>
    <w:rsid w:val="00D512DC"/>
    <w:rsid w:val="00D575F3"/>
    <w:rsid w:val="00D72884"/>
    <w:rsid w:val="00D75EAB"/>
    <w:rsid w:val="00DA13EB"/>
    <w:rsid w:val="00DA2A2B"/>
    <w:rsid w:val="00DB1A10"/>
    <w:rsid w:val="00DB7FF7"/>
    <w:rsid w:val="00DC5F49"/>
    <w:rsid w:val="00E01334"/>
    <w:rsid w:val="00E018DE"/>
    <w:rsid w:val="00E02324"/>
    <w:rsid w:val="00E1057B"/>
    <w:rsid w:val="00E20B04"/>
    <w:rsid w:val="00E331C7"/>
    <w:rsid w:val="00E3447E"/>
    <w:rsid w:val="00E34826"/>
    <w:rsid w:val="00E403FC"/>
    <w:rsid w:val="00E4267E"/>
    <w:rsid w:val="00E557C0"/>
    <w:rsid w:val="00E61D06"/>
    <w:rsid w:val="00E64469"/>
    <w:rsid w:val="00E732D5"/>
    <w:rsid w:val="00E7722B"/>
    <w:rsid w:val="00E80C16"/>
    <w:rsid w:val="00E94ABA"/>
    <w:rsid w:val="00E96BDE"/>
    <w:rsid w:val="00E97E81"/>
    <w:rsid w:val="00EA3E70"/>
    <w:rsid w:val="00EB4972"/>
    <w:rsid w:val="00EB53A9"/>
    <w:rsid w:val="00EB6876"/>
    <w:rsid w:val="00ED13FB"/>
    <w:rsid w:val="00ED41A0"/>
    <w:rsid w:val="00ED73D8"/>
    <w:rsid w:val="00EE5671"/>
    <w:rsid w:val="00EF0F6F"/>
    <w:rsid w:val="00F02D8F"/>
    <w:rsid w:val="00F0320A"/>
    <w:rsid w:val="00F11EA1"/>
    <w:rsid w:val="00F13C9C"/>
    <w:rsid w:val="00F20DA6"/>
    <w:rsid w:val="00F2524E"/>
    <w:rsid w:val="00F265B4"/>
    <w:rsid w:val="00F27600"/>
    <w:rsid w:val="00F3045F"/>
    <w:rsid w:val="00F377A2"/>
    <w:rsid w:val="00F424D9"/>
    <w:rsid w:val="00F44D58"/>
    <w:rsid w:val="00F45CAF"/>
    <w:rsid w:val="00F54AF6"/>
    <w:rsid w:val="00F63874"/>
    <w:rsid w:val="00F671DB"/>
    <w:rsid w:val="00F71DB6"/>
    <w:rsid w:val="00F728EA"/>
    <w:rsid w:val="00F774EA"/>
    <w:rsid w:val="00F81262"/>
    <w:rsid w:val="00F87E61"/>
    <w:rsid w:val="00F90A5D"/>
    <w:rsid w:val="00FA1AD1"/>
    <w:rsid w:val="00FD1301"/>
    <w:rsid w:val="00FD32F1"/>
    <w:rsid w:val="00FD48D4"/>
    <w:rsid w:val="00FD5CF5"/>
    <w:rsid w:val="00FE51E9"/>
    <w:rsid w:val="00FE609F"/>
    <w:rsid w:val="00FF0A44"/>
    <w:rsid w:val="00FF2426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D4DF5"/>
  <w15:chartTrackingRefBased/>
  <w15:docId w15:val="{64DEC39D-E914-47AA-B60A-C8210C3F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498B"/>
    <w:pPr>
      <w:widowControl w:val="0"/>
      <w:spacing w:after="0" w:line="240" w:lineRule="auto"/>
      <w:jc w:val="both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">
    <w:name w:val="Para"/>
    <w:link w:val="ParaChar"/>
    <w:uiPriority w:val="4"/>
    <w:qFormat/>
    <w:rsid w:val="00A5498B"/>
    <w:pPr>
      <w:spacing w:before="120" w:after="120" w:line="260" w:lineRule="atLeast"/>
      <w:jc w:val="both"/>
    </w:pPr>
    <w:rPr>
      <w:color w:val="000000" w:themeColor="text1"/>
      <w:sz w:val="20"/>
      <w:lang w:val="en-GB"/>
    </w:rPr>
  </w:style>
  <w:style w:type="character" w:customStyle="1" w:styleId="ParaChar">
    <w:name w:val="Para Char"/>
    <w:basedOn w:val="Domylnaczcionkaakapitu"/>
    <w:link w:val="Para"/>
    <w:uiPriority w:val="4"/>
    <w:rsid w:val="00A5498B"/>
    <w:rPr>
      <w:color w:val="000000" w:themeColor="text1"/>
      <w:sz w:val="20"/>
      <w:lang w:val="en-GB"/>
    </w:rPr>
  </w:style>
  <w:style w:type="paragraph" w:styleId="Legenda">
    <w:name w:val="caption"/>
    <w:next w:val="Normalny"/>
    <w:uiPriority w:val="35"/>
    <w:unhideWhenUsed/>
    <w:rsid w:val="00A5498B"/>
    <w:pPr>
      <w:keepNext/>
      <w:spacing w:before="360" w:after="180" w:line="280" w:lineRule="exact"/>
    </w:pPr>
    <w:rPr>
      <w:rFonts w:asciiTheme="majorHAnsi" w:hAnsiTheme="majorHAnsi"/>
      <w:b/>
      <w:iCs/>
      <w:color w:val="4472C4" w:themeColor="accent1"/>
      <w:sz w:val="24"/>
      <w:szCs w:val="18"/>
      <w:lang w:val="en-GB"/>
    </w:rPr>
  </w:style>
  <w:style w:type="paragraph" w:customStyle="1" w:styleId="TableCell">
    <w:name w:val="Table Cell"/>
    <w:basedOn w:val="Normalny"/>
    <w:uiPriority w:val="9"/>
    <w:qFormat/>
    <w:rsid w:val="00A5498B"/>
    <w:pPr>
      <w:spacing w:before="10" w:after="20" w:line="200" w:lineRule="exact"/>
      <w:jc w:val="right"/>
    </w:pPr>
    <w:rPr>
      <w:rFonts w:ascii="Arial Narrow" w:hAnsi="Arial Narrow"/>
      <w:color w:val="000000" w:themeColor="text1"/>
      <w:sz w:val="17"/>
    </w:rPr>
  </w:style>
  <w:style w:type="paragraph" w:customStyle="1" w:styleId="TableColumn">
    <w:name w:val="Table Column"/>
    <w:qFormat/>
    <w:rsid w:val="00A5498B"/>
    <w:pPr>
      <w:spacing w:before="20" w:after="0" w:line="220" w:lineRule="exact"/>
      <w:jc w:val="center"/>
    </w:pPr>
    <w:rPr>
      <w:rFonts w:ascii="Arial Narrow" w:hAnsi="Arial Narrow"/>
      <w:color w:val="000000" w:themeColor="text1"/>
      <w:sz w:val="18"/>
      <w:lang w:val="en-GB"/>
    </w:rPr>
  </w:style>
  <w:style w:type="table" w:customStyle="1" w:styleId="OECD">
    <w:name w:val="OECD"/>
    <w:basedOn w:val="Tabela-Prosty1"/>
    <w:uiPriority w:val="99"/>
    <w:rsid w:val="00A5498B"/>
    <w:pPr>
      <w:widowControl/>
      <w:spacing w:before="10" w:after="20" w:line="200" w:lineRule="exact"/>
    </w:pPr>
    <w:rPr>
      <w:rFonts w:ascii="Arial Narrow" w:hAnsi="Arial Narrow"/>
      <w:sz w:val="17"/>
      <w:szCs w:val="20"/>
      <w:lang w:val="en-US" w:eastAsia="en-GB"/>
    </w:rPr>
    <w:tblPr>
      <w:tblBorders>
        <w:top w:val="single" w:sz="12" w:space="0" w:color="4472C4" w:themeColor="accent1"/>
        <w:bottom w:val="single" w:sz="12" w:space="0" w:color="4472C4" w:themeColor="accent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4472C4" w:themeColor="accen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ela-Prosty1">
    <w:name w:val="Table Simple 1"/>
    <w:basedOn w:val="Standardowy"/>
    <w:uiPriority w:val="99"/>
    <w:semiHidden/>
    <w:unhideWhenUsed/>
    <w:rsid w:val="00A5498B"/>
    <w:pPr>
      <w:widowControl w:val="0"/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023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23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324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24"/>
    <w:rPr>
      <w:b/>
      <w:bCs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234093"/>
    <w:pPr>
      <w:ind w:left="720"/>
      <w:contextualSpacing/>
    </w:pPr>
  </w:style>
  <w:style w:type="paragraph" w:styleId="Poprawka">
    <w:name w:val="Revision"/>
    <w:hidden/>
    <w:uiPriority w:val="99"/>
    <w:semiHidden/>
    <w:rsid w:val="00013261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C553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109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858"/>
    <w:rPr>
      <w:rFonts w:ascii="Segoe UI" w:hAnsi="Segoe UI" w:cs="Segoe UI"/>
      <w:sz w:val="18"/>
      <w:szCs w:val="18"/>
      <w:lang w:val="en-GB"/>
    </w:rPr>
  </w:style>
  <w:style w:type="numbering" w:customStyle="1" w:styleId="Styl1">
    <w:name w:val="Styl1"/>
    <w:uiPriority w:val="99"/>
    <w:rsid w:val="000E194C"/>
    <w:pPr>
      <w:numPr>
        <w:numId w:val="7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64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6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C2AB-5B6A-4D6E-A64B-9C6AFE86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3820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Świąder Katarzyna</cp:lastModifiedBy>
  <cp:revision>2</cp:revision>
  <dcterms:created xsi:type="dcterms:W3CDTF">2025-03-31T12:55:00Z</dcterms:created>
  <dcterms:modified xsi:type="dcterms:W3CDTF">2025-03-31T12:55:00Z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2024-10-15T15:17:46.4572624+02:00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GRN-2d6ce532-65bd-4e74-9149-b0e26fcdf4d5</vt:lpwstr>
  </property>
  <property fmtid="{D5CDD505-2E9C-101B-9397-08002B2CF9AE}" pid="7" name="MFHash">
    <vt:lpwstr>5A5Aidx8F0IV3x9KK4Inrg6MuVWFWCPbi9+BB4fQ4VI=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