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F100" w14:textId="77777777" w:rsidR="00DB3C34" w:rsidRDefault="00DB3C34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</w:p>
    <w:p w14:paraId="6803A607" w14:textId="70F78BD9" w:rsidR="00C66A4A" w:rsidRPr="00DB3C34" w:rsidRDefault="00C66A4A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DB3C34">
        <w:rPr>
          <w:rFonts w:asciiTheme="minorHAnsi" w:hAnsiTheme="minorHAnsi" w:cstheme="minorHAnsi"/>
          <w:b/>
          <w:bCs/>
        </w:rPr>
        <w:t>Kontrole systemu ogrzewania i klimatyzacji</w:t>
      </w:r>
    </w:p>
    <w:p w14:paraId="2C14624A" w14:textId="5720F14E" w:rsidR="003016A3" w:rsidRPr="00DB3C34" w:rsidRDefault="003016A3" w:rsidP="001E2979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DB3C34">
        <w:rPr>
          <w:rFonts w:asciiTheme="minorHAnsi" w:hAnsiTheme="minorHAnsi" w:cstheme="minorHAnsi"/>
          <w:b/>
          <w:bCs/>
        </w:rPr>
        <w:t>Czy kontrola systemu ogrzewania w danym budynku obejmuje źródło</w:t>
      </w:r>
      <w:r w:rsidR="000801DB" w:rsidRPr="00DB3C34">
        <w:rPr>
          <w:rFonts w:asciiTheme="minorHAnsi" w:hAnsiTheme="minorHAnsi" w:cstheme="minorHAnsi"/>
          <w:b/>
          <w:bCs/>
        </w:rPr>
        <w:t xml:space="preserve"> ciepła</w:t>
      </w:r>
      <w:r w:rsidRPr="00DB3C34">
        <w:rPr>
          <w:rFonts w:asciiTheme="minorHAnsi" w:hAnsiTheme="minorHAnsi" w:cstheme="minorHAnsi"/>
          <w:b/>
          <w:bCs/>
        </w:rPr>
        <w:t xml:space="preserve"> (kotłownia np. gazowa) wraz z wszystkimi mieszkaniami i częściami wspólnymi budynku (wyposażonymi tylko w grzejniki), czy tylko źródło ciepła? </w:t>
      </w:r>
    </w:p>
    <w:p w14:paraId="7F91A13A" w14:textId="78E0DBEA" w:rsidR="006F1FE0" w:rsidRPr="00DB3C34" w:rsidRDefault="006F1FE0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 xml:space="preserve">Kontrola dotyczy systemu ogrzewania lub systemu klimatyzacji w całym budynku. </w:t>
      </w:r>
    </w:p>
    <w:p w14:paraId="0ECC554C" w14:textId="3B511BDC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bookmarkStart w:id="0" w:name="_Hlk126328051"/>
      <w:r w:rsidRPr="00DB3C34">
        <w:rPr>
          <w:rFonts w:asciiTheme="minorHAnsi" w:hAnsiTheme="minorHAnsi" w:cstheme="minorHAnsi"/>
        </w:rPr>
        <w:t xml:space="preserve">Zgodnie z art. 23 ustawy właściciel lub zarządca budynku poddaje budynki w czasie ich użytkowania okresowej kontroli w zakresie systemu ogrzewania lub systemu klimatyzacji. </w:t>
      </w:r>
      <w:bookmarkEnd w:id="0"/>
      <w:r w:rsidRPr="00DB3C34">
        <w:rPr>
          <w:rFonts w:asciiTheme="minorHAnsi" w:hAnsiTheme="minorHAnsi" w:cstheme="minorHAnsi"/>
        </w:rPr>
        <w:t>Kontrola budynku polega na</w:t>
      </w:r>
      <w:r w:rsidR="006F1FE0" w:rsidRPr="00DB3C34">
        <w:rPr>
          <w:rFonts w:asciiTheme="minorHAnsi" w:hAnsiTheme="minorHAnsi" w:cstheme="minorHAnsi"/>
        </w:rPr>
        <w:t xml:space="preserve"> </w:t>
      </w:r>
      <w:r w:rsidRPr="00DB3C34">
        <w:rPr>
          <w:rFonts w:asciiTheme="minorHAnsi" w:hAnsiTheme="minorHAnsi" w:cstheme="minorHAnsi"/>
        </w:rPr>
        <w:t>sprawdzeniu stanu technicznego systemu ogrzewania, z</w:t>
      </w:r>
      <w:r w:rsidR="00B66963" w:rsidRPr="00DB3C34">
        <w:rPr>
          <w:rFonts w:asciiTheme="minorHAnsi" w:hAnsiTheme="minorHAnsi" w:cstheme="minorHAnsi"/>
        </w:rPr>
        <w:t> </w:t>
      </w:r>
      <w:r w:rsidRPr="00DB3C34">
        <w:rPr>
          <w:rFonts w:asciiTheme="minorHAnsi" w:hAnsiTheme="minorHAnsi" w:cstheme="minorHAnsi"/>
        </w:rPr>
        <w:t>uwzględnieniem efektywności energetycznej źródeł ciepła oraz dostosowania ich mocy do</w:t>
      </w:r>
      <w:r w:rsidR="00B66963" w:rsidRPr="00DB3C34">
        <w:rPr>
          <w:rFonts w:asciiTheme="minorHAnsi" w:hAnsiTheme="minorHAnsi" w:cstheme="minorHAnsi"/>
        </w:rPr>
        <w:t> </w:t>
      </w:r>
      <w:r w:rsidRPr="00DB3C34">
        <w:rPr>
          <w:rFonts w:asciiTheme="minorHAnsi" w:hAnsiTheme="minorHAnsi" w:cstheme="minorHAnsi"/>
        </w:rPr>
        <w:t>potrzeb użytkowych:</w:t>
      </w:r>
    </w:p>
    <w:p w14:paraId="4FF105DF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a) co najmniej raz na 5 lat – dla kotłów o nominalnej mocy cieplnej od 20 kW do 100 kW,</w:t>
      </w:r>
    </w:p>
    <w:p w14:paraId="4A35B007" w14:textId="03CCD5B1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b) co najmniej raz na 2 lata – dla kotłów opalanych paliwem ciekłym lub stałym o nominalnej mocy cieplnej większej niż 100 kW,</w:t>
      </w:r>
    </w:p>
    <w:p w14:paraId="08AEE96B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c) co najmniej raz na 4 lata – dla kotłów opalanych gazem o nominalnej mocy cieplnej większej niż 100 kW,</w:t>
      </w:r>
    </w:p>
    <w:p w14:paraId="393D5E6D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d) co najmniej raz na 3 lata – dla źródeł ciepła niewymienionych w lit. a–c, dostępnych części systemu ogrzewania lub połączonego systemu ogrzewania i wentylacji, o sumarycznej nominalnej mocy cieplnej większej niż 70 kW;</w:t>
      </w:r>
    </w:p>
    <w:p w14:paraId="025C4A0D" w14:textId="070D89D8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Kontrola budynku polega na ocenie efektywności energetycznej, co najmniej raz na 5 lat:</w:t>
      </w:r>
    </w:p>
    <w:p w14:paraId="29918F05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a) dostępnych części systemu klimatyzacji o nominalnej mocy chłodniczej większej niż 12 kW,</w:t>
      </w:r>
    </w:p>
    <w:p w14:paraId="5028726F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 xml:space="preserve">b) połączonego systemu klimatyzacji i wentylacji o sumarycznej nominalnej mocy chłodniczej większej niż 70 </w:t>
      </w:r>
      <w:proofErr w:type="spellStart"/>
      <w:r w:rsidRPr="00DB3C34">
        <w:rPr>
          <w:rFonts w:asciiTheme="minorHAnsi" w:hAnsiTheme="minorHAnsi" w:cstheme="minorHAnsi"/>
        </w:rPr>
        <w:t>kW.</w:t>
      </w:r>
      <w:proofErr w:type="spellEnd"/>
    </w:p>
    <w:p w14:paraId="3ABADEF9" w14:textId="269D6449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Kontrola systemu ogrzewania obejmuje ocenę sprawności tego systemu i doboru wielkości źródła ciepła do wymogów grzewczych budynku oraz zdolności systemu ogrzewania do</w:t>
      </w:r>
      <w:r w:rsidR="00A50301" w:rsidRPr="00DB3C34">
        <w:rPr>
          <w:rFonts w:asciiTheme="minorHAnsi" w:hAnsiTheme="minorHAnsi" w:cstheme="minorHAnsi"/>
        </w:rPr>
        <w:t> </w:t>
      </w:r>
      <w:r w:rsidRPr="00DB3C34">
        <w:rPr>
          <w:rFonts w:asciiTheme="minorHAnsi" w:hAnsiTheme="minorHAnsi" w:cstheme="minorHAnsi"/>
        </w:rPr>
        <w:t>optymalizacji działania.</w:t>
      </w:r>
    </w:p>
    <w:p w14:paraId="2E08B759" w14:textId="1A0E8D83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W ustawie określono również, że nie dokonuje się ponownej kontroli w zakresie oceny doboru wielkości źródła ciepła, w przypadku gdy od czasu przeprowadzenia takiej kontroli nie dokonano zmian w systemie ogrzewania lub połączonym systemie ogrzewania i</w:t>
      </w:r>
      <w:r w:rsidR="00A50301" w:rsidRPr="00DB3C34">
        <w:rPr>
          <w:rFonts w:asciiTheme="minorHAnsi" w:hAnsiTheme="minorHAnsi" w:cstheme="minorHAnsi"/>
        </w:rPr>
        <w:t> </w:t>
      </w:r>
      <w:r w:rsidRPr="00DB3C34">
        <w:rPr>
          <w:rFonts w:asciiTheme="minorHAnsi" w:hAnsiTheme="minorHAnsi" w:cstheme="minorHAnsi"/>
        </w:rPr>
        <w:t>wentylacji lub zmian w charakterystyce energetycznej budynku.</w:t>
      </w:r>
    </w:p>
    <w:p w14:paraId="6FA476F4" w14:textId="5ABF3AD2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lastRenderedPageBreak/>
        <w:t>Kontrola systemu klimatyzacji obejmuje ocenę sprawności tego systemu i doboru jego wielkości do wymogów chłodzenia budynku oraz zdolności systemu klimatyzacji do optymalizacji działania w typowych warunkach jego użytkowania lub eksploatacji.</w:t>
      </w:r>
    </w:p>
    <w:p w14:paraId="13745991" w14:textId="5E3ECF52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W ustawie określono, że nie dokonuje się ponownej kontroli w zakresie oceny doboru wielkości systemu klimatyzacji, w przypadku gdy od czasu przeprowadzenia takiej kontroli nie dokonano zmian w systemie klimatyzacji lub połączonym systemie klimatyzacji i</w:t>
      </w:r>
      <w:r w:rsidR="00B66963" w:rsidRPr="00DB3C34">
        <w:rPr>
          <w:rFonts w:asciiTheme="minorHAnsi" w:hAnsiTheme="minorHAnsi" w:cstheme="minorHAnsi"/>
        </w:rPr>
        <w:t> </w:t>
      </w:r>
      <w:r w:rsidRPr="00DB3C34">
        <w:rPr>
          <w:rFonts w:asciiTheme="minorHAnsi" w:hAnsiTheme="minorHAnsi" w:cstheme="minorHAnsi"/>
        </w:rPr>
        <w:t>wentylacji lub zmian w charakterystyce energetycznej budynku.</w:t>
      </w:r>
    </w:p>
    <w:p w14:paraId="719CCAF1" w14:textId="432CE05B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Nie dokonuje się kontroli systemu ogrzewania oraz systemu klimatyzacji w budynkach:</w:t>
      </w:r>
    </w:p>
    <w:p w14:paraId="27227364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1) mieszkalnych wyposażonych w systemy automatyki i sterowania umożliwiające:</w:t>
      </w:r>
    </w:p>
    <w:p w14:paraId="2218A4D9" w14:textId="12560244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a) stałe monitorowanie elektroniczne dokonujące pomiarów sprawności systemu ogrzewania, połączonego systemu ogrzewania i wentylacji, systemu klimatyzacji lub połączonego systemu klimatyzacji i wentylacji i informujące właścicieli lub zarządców budynków o spadku sprawności tych systemów i potrzebie ich konserwacji, naprawy lub wymiany oraz</w:t>
      </w:r>
    </w:p>
    <w:p w14:paraId="2678D287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b) skuteczne sterowanie w celu zapewnienia optymalnego wytwarzania, dystrybucji, magazynowania i wykorzystywania energii;</w:t>
      </w:r>
    </w:p>
    <w:p w14:paraId="043159A4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2) niemieszkalnych wyposażonych w systemy automatyki i sterowania umożliwiające:</w:t>
      </w:r>
    </w:p>
    <w:p w14:paraId="74489ED3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a) stałe monitorowanie, rejestrowanie, analizowanie i dostosowywanie zużycia energii oraz</w:t>
      </w:r>
    </w:p>
    <w:p w14:paraId="2101F1FA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b) analizę porównawczą efektywności energetycznej budynku, wykrywanie utraty efektywności systemów: ogrzewania, wentylacji, klimatyzacji, przygotowania ciepłej wody użytkowej, oświetlenia wbudowanego, automatyki i sterowania, wytwarzania energii elektrycznej w budynku, a także informowanie właściciela lub zarządcy budynku o możliwościach poprawy efektywności energetycznej, oraz</w:t>
      </w:r>
    </w:p>
    <w:p w14:paraId="62ACB7E5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c) komunikację, a także interoperacyjność z połączonymi systemami, o których mowa w lit. b;</w:t>
      </w:r>
    </w:p>
    <w:p w14:paraId="1717AF40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3) wyposażonych w systemy techniczne, o których mowa w pkt 2 lit. b:</w:t>
      </w:r>
    </w:p>
    <w:p w14:paraId="02AAE2AD" w14:textId="77777777" w:rsidR="006A210F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a) objęte umową o poprawę efektywności energetycznej, o której mowa w art. 7 ust. 1 ustawy z dnia 20 maja 2016 r. o efektywności energetycznej (Dz. U. z 2021 r. poz. 2166),</w:t>
      </w:r>
    </w:p>
    <w:p w14:paraId="42EFB121" w14:textId="399B5F24" w:rsidR="00400129" w:rsidRPr="00DB3C34" w:rsidRDefault="006A210F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b) obsługiwane przez operatora urządzeń lub sieci, podlegające monitorowaniu wyników przez tego operatora.</w:t>
      </w:r>
    </w:p>
    <w:p w14:paraId="189DBC27" w14:textId="77777777" w:rsidR="000C4C63" w:rsidRPr="00DB3C34" w:rsidRDefault="000C4C63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250B7C1D" w14:textId="3C0373CE" w:rsidR="003016A3" w:rsidRPr="00DB3C34" w:rsidRDefault="003016A3" w:rsidP="001E2979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DB3C34">
        <w:rPr>
          <w:rFonts w:asciiTheme="minorHAnsi" w:hAnsiTheme="minorHAnsi" w:cstheme="minorHAnsi"/>
          <w:b/>
          <w:bCs/>
        </w:rPr>
        <w:lastRenderedPageBreak/>
        <w:t>Czy jeśli w lokalu użytkowym lub mieszkalnym jest indywidualne źródło ciepła o</w:t>
      </w:r>
      <w:r w:rsidR="000C4C63" w:rsidRPr="00DB3C34">
        <w:rPr>
          <w:rFonts w:asciiTheme="minorHAnsi" w:hAnsiTheme="minorHAnsi" w:cstheme="minorHAnsi"/>
          <w:b/>
          <w:bCs/>
        </w:rPr>
        <w:t> </w:t>
      </w:r>
      <w:r w:rsidRPr="00DB3C34">
        <w:rPr>
          <w:rFonts w:asciiTheme="minorHAnsi" w:hAnsiTheme="minorHAnsi" w:cstheme="minorHAnsi"/>
          <w:b/>
          <w:bCs/>
        </w:rPr>
        <w:t>mocy powyżej 20kW kontrole tego źródła (art. 23</w:t>
      </w:r>
      <w:r w:rsidR="00781A68" w:rsidRPr="00DB3C34">
        <w:rPr>
          <w:rFonts w:asciiTheme="minorHAnsi" w:hAnsiTheme="minorHAnsi" w:cstheme="minorHAnsi"/>
          <w:b/>
          <w:bCs/>
        </w:rPr>
        <w:t xml:space="preserve"> ustawy</w:t>
      </w:r>
      <w:r w:rsidRPr="00DB3C34">
        <w:rPr>
          <w:rFonts w:asciiTheme="minorHAnsi" w:hAnsiTheme="minorHAnsi" w:cstheme="minorHAnsi"/>
          <w:b/>
          <w:bCs/>
        </w:rPr>
        <w:t xml:space="preserve">) przeprowadza Spółdzielnia, czy właściciel/najemca/użytkownik tego lokalu z obowiązkiem dostarczenia do spółdzielni protokołu z kontroli? Czy powyższe kontrole należy wpisywać do </w:t>
      </w:r>
      <w:r w:rsidR="000801DB" w:rsidRPr="00DB3C34">
        <w:rPr>
          <w:rFonts w:asciiTheme="minorHAnsi" w:hAnsiTheme="minorHAnsi" w:cstheme="minorHAnsi"/>
          <w:b/>
          <w:bCs/>
        </w:rPr>
        <w:t xml:space="preserve"> książki obiektu budowlanego (</w:t>
      </w:r>
      <w:r w:rsidRPr="00DB3C34">
        <w:rPr>
          <w:rFonts w:asciiTheme="minorHAnsi" w:hAnsiTheme="minorHAnsi" w:cstheme="minorHAnsi"/>
          <w:b/>
          <w:bCs/>
        </w:rPr>
        <w:t>KOB</w:t>
      </w:r>
      <w:r w:rsidR="000801DB" w:rsidRPr="00DB3C34">
        <w:rPr>
          <w:rFonts w:asciiTheme="minorHAnsi" w:hAnsiTheme="minorHAnsi" w:cstheme="minorHAnsi"/>
          <w:b/>
          <w:bCs/>
        </w:rPr>
        <w:t>)</w:t>
      </w:r>
      <w:r w:rsidRPr="00DB3C34">
        <w:rPr>
          <w:rFonts w:asciiTheme="minorHAnsi" w:hAnsiTheme="minorHAnsi" w:cstheme="minorHAnsi"/>
          <w:b/>
          <w:bCs/>
        </w:rPr>
        <w:t xml:space="preserve">? Co w przypadku nie dostarczenia do Spółdzielni ww. protokołu? </w:t>
      </w:r>
    </w:p>
    <w:p w14:paraId="1496B1C9" w14:textId="6EA46523" w:rsidR="006F1FE0" w:rsidRPr="00DB3C34" w:rsidRDefault="006F1FE0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 xml:space="preserve">Zgodnie z art. 23 ustawy właściciel lub zarządca budynku poddaje budynki w czasie ich użytkowania okresowej kontroli w zakresie systemu ogrzewania lub systemu klimatyzacji. Powyższe oznacza, </w:t>
      </w:r>
      <w:r w:rsidR="000C4C63" w:rsidRPr="00DB3C34">
        <w:rPr>
          <w:rFonts w:asciiTheme="minorHAnsi" w:hAnsiTheme="minorHAnsi" w:cstheme="minorHAnsi"/>
        </w:rPr>
        <w:t>ż</w:t>
      </w:r>
      <w:r w:rsidRPr="00DB3C34">
        <w:rPr>
          <w:rFonts w:asciiTheme="minorHAnsi" w:hAnsiTheme="minorHAnsi" w:cstheme="minorHAnsi"/>
        </w:rPr>
        <w:t>e kontroli należy poddać budynek a nie lokal</w:t>
      </w:r>
      <w:r w:rsidR="00781A68" w:rsidRPr="00DB3C34">
        <w:rPr>
          <w:rFonts w:asciiTheme="minorHAnsi" w:hAnsiTheme="minorHAnsi" w:cstheme="minorHAnsi"/>
        </w:rPr>
        <w:t xml:space="preserve">, a </w:t>
      </w:r>
      <w:r w:rsidR="001A39B1" w:rsidRPr="00DB3C34">
        <w:rPr>
          <w:rFonts w:asciiTheme="minorHAnsi" w:hAnsiTheme="minorHAnsi" w:cstheme="minorHAnsi"/>
        </w:rPr>
        <w:t xml:space="preserve">przeprowadzenie </w:t>
      </w:r>
      <w:r w:rsidR="00781A68" w:rsidRPr="00DB3C34">
        <w:rPr>
          <w:rFonts w:asciiTheme="minorHAnsi" w:hAnsiTheme="minorHAnsi" w:cstheme="minorHAnsi"/>
        </w:rPr>
        <w:t>kontroli zapewnia spółdzielnia</w:t>
      </w:r>
      <w:r w:rsidR="000801DB" w:rsidRPr="00DB3C34">
        <w:rPr>
          <w:rFonts w:asciiTheme="minorHAnsi" w:hAnsiTheme="minorHAnsi" w:cstheme="minorHAnsi"/>
        </w:rPr>
        <w:t>.</w:t>
      </w:r>
    </w:p>
    <w:p w14:paraId="649B348B" w14:textId="33C8EFEB" w:rsidR="000801DB" w:rsidRPr="00DB3C34" w:rsidRDefault="00861BC1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>Zgodnie z art. 64 ustawy z dnia 7 lipca 1994 r. – Prawo budowlane protokoły z kontroli systemu ogrzewania i systemu klimatyzacji należy dołączyć do książki obiektu budowlanego.</w:t>
      </w:r>
    </w:p>
    <w:p w14:paraId="6908C00F" w14:textId="77777777" w:rsidR="00DF369E" w:rsidRPr="00DB3C34" w:rsidRDefault="00DF369E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0E66A59" w14:textId="1D2512FF" w:rsidR="00951A04" w:rsidRPr="00DB3C34" w:rsidRDefault="00951A04" w:rsidP="001E2979">
      <w:pPr>
        <w:pStyle w:val="Akapitzlist"/>
        <w:numPr>
          <w:ilvl w:val="0"/>
          <w:numId w:val="20"/>
        </w:numPr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 w:rsidRPr="00DB3C34">
        <w:rPr>
          <w:rFonts w:cstheme="minorHAnsi"/>
          <w:b/>
          <w:bCs/>
          <w:sz w:val="24"/>
          <w:szCs w:val="24"/>
        </w:rPr>
        <w:t>Kto może dokonywać kontroli systemu ogrzewania lub systemu klimatyzacji?</w:t>
      </w:r>
    </w:p>
    <w:p w14:paraId="56D9F4F0" w14:textId="77777777" w:rsidR="000C4C63" w:rsidRPr="00DB3C34" w:rsidRDefault="00951A04" w:rsidP="001E2979">
      <w:pPr>
        <w:spacing w:after="0" w:line="360" w:lineRule="auto"/>
        <w:rPr>
          <w:rFonts w:cstheme="minorHAnsi"/>
          <w:sz w:val="24"/>
          <w:szCs w:val="24"/>
        </w:rPr>
      </w:pPr>
      <w:r w:rsidRPr="00DB3C34">
        <w:rPr>
          <w:rFonts w:cstheme="minorHAnsi"/>
          <w:sz w:val="24"/>
          <w:szCs w:val="24"/>
        </w:rPr>
        <w:t>Do sporządzenia protokołów kontroli systemu ogrzewania lub systemu klimatyzacji uprawniona jest osoba wpisana do wykazu osób uprawnionych do kontroli systemu ogrzewania lub systemu klimatyzacji.</w:t>
      </w:r>
      <w:r w:rsidR="000C4C63" w:rsidRPr="00DB3C34">
        <w:rPr>
          <w:rFonts w:cstheme="minorHAnsi"/>
          <w:sz w:val="24"/>
          <w:szCs w:val="24"/>
        </w:rPr>
        <w:t xml:space="preserve"> </w:t>
      </w:r>
    </w:p>
    <w:p w14:paraId="128AAF7A" w14:textId="029674F5" w:rsidR="00951A04" w:rsidRPr="00DB3C34" w:rsidRDefault="00951A04" w:rsidP="001E2979">
      <w:pPr>
        <w:spacing w:after="0" w:line="360" w:lineRule="auto"/>
        <w:rPr>
          <w:rFonts w:cstheme="minorHAnsi"/>
          <w:sz w:val="24"/>
          <w:szCs w:val="24"/>
        </w:rPr>
      </w:pPr>
      <w:r w:rsidRPr="00DB3C34">
        <w:rPr>
          <w:rFonts w:cstheme="minorHAnsi"/>
          <w:sz w:val="24"/>
          <w:szCs w:val="24"/>
        </w:rPr>
        <w:t xml:space="preserve">Więcej informacji: </w:t>
      </w:r>
      <w:hyperlink r:id="rId8" w:history="1">
        <w:r w:rsidRPr="00DB3C34">
          <w:rPr>
            <w:rStyle w:val="Hipercze"/>
            <w:rFonts w:cstheme="minorHAnsi"/>
            <w:sz w:val="24"/>
            <w:szCs w:val="24"/>
          </w:rPr>
          <w:t>https://www.gov.pl/web/rozwoj-technologia/centralny-rejestr-charakterystyki-energetycznej-budynkow</w:t>
        </w:r>
      </w:hyperlink>
    </w:p>
    <w:p w14:paraId="61117F58" w14:textId="77777777" w:rsidR="000C4C63" w:rsidRPr="00DB3C34" w:rsidRDefault="000C4C63" w:rsidP="001E2979">
      <w:pPr>
        <w:spacing w:after="0" w:line="360" w:lineRule="auto"/>
        <w:rPr>
          <w:rFonts w:cstheme="minorHAnsi"/>
          <w:sz w:val="24"/>
          <w:szCs w:val="24"/>
        </w:rPr>
      </w:pPr>
    </w:p>
    <w:p w14:paraId="331D0D19" w14:textId="3403C38A" w:rsidR="000E22D6" w:rsidRPr="00DB3C34" w:rsidRDefault="000E22D6" w:rsidP="001E2979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DB3C34">
        <w:rPr>
          <w:rFonts w:asciiTheme="minorHAnsi" w:hAnsiTheme="minorHAnsi" w:cstheme="minorHAnsi"/>
          <w:b/>
          <w:bCs/>
        </w:rPr>
        <w:t>Czy w zakresie kontroli systemu ogrzewania lub klimatyzacji czynności te mogą być realizowane przez osoby posiadające odpowiednie uprawnienia, lecz pozostające w</w:t>
      </w:r>
      <w:r w:rsidR="000C4C63" w:rsidRPr="00DB3C34">
        <w:rPr>
          <w:rFonts w:asciiTheme="minorHAnsi" w:hAnsiTheme="minorHAnsi" w:cstheme="minorHAnsi"/>
          <w:b/>
          <w:bCs/>
        </w:rPr>
        <w:t> </w:t>
      </w:r>
      <w:r w:rsidRPr="00DB3C34">
        <w:rPr>
          <w:rFonts w:asciiTheme="minorHAnsi" w:hAnsiTheme="minorHAnsi" w:cstheme="minorHAnsi"/>
          <w:b/>
          <w:bCs/>
        </w:rPr>
        <w:t>stosunku pracy ze Spółdzielnią?</w:t>
      </w:r>
    </w:p>
    <w:p w14:paraId="7C8C40D6" w14:textId="77777777" w:rsidR="000E22D6" w:rsidRPr="00DB3C34" w:rsidRDefault="000E22D6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B3C34">
        <w:rPr>
          <w:rFonts w:asciiTheme="minorHAnsi" w:hAnsiTheme="minorHAnsi" w:cstheme="minorHAnsi"/>
        </w:rPr>
        <w:t xml:space="preserve">W ustawie nie zawarto </w:t>
      </w:r>
      <w:proofErr w:type="spellStart"/>
      <w:r w:rsidRPr="00DB3C34">
        <w:rPr>
          <w:rFonts w:asciiTheme="minorHAnsi" w:hAnsiTheme="minorHAnsi" w:cstheme="minorHAnsi"/>
        </w:rPr>
        <w:t>wyłączeń</w:t>
      </w:r>
      <w:proofErr w:type="spellEnd"/>
      <w:r w:rsidRPr="00DB3C34">
        <w:rPr>
          <w:rFonts w:asciiTheme="minorHAnsi" w:hAnsiTheme="minorHAnsi" w:cstheme="minorHAnsi"/>
        </w:rPr>
        <w:t xml:space="preserve"> w tym zakresie. Osoby wpisane do wykazu osób uprawnionych do ww. kontroli, pozostające w stosunku pracy ze Spółdzielnią, mogą dokonywać kontroli.</w:t>
      </w:r>
    </w:p>
    <w:p w14:paraId="6F6DE768" w14:textId="77777777" w:rsidR="003016A3" w:rsidRPr="00DB3C34" w:rsidRDefault="003016A3" w:rsidP="001E297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sectPr w:rsidR="003016A3" w:rsidRPr="00DB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AC61" w14:textId="77777777" w:rsidR="005D118B" w:rsidRDefault="005D118B" w:rsidP="003E327E">
      <w:pPr>
        <w:spacing w:after="0" w:line="240" w:lineRule="auto"/>
      </w:pPr>
      <w:r>
        <w:separator/>
      </w:r>
    </w:p>
  </w:endnote>
  <w:endnote w:type="continuationSeparator" w:id="0">
    <w:p w14:paraId="286ECBDA" w14:textId="77777777" w:rsidR="005D118B" w:rsidRDefault="005D118B" w:rsidP="003E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4CA0" w14:textId="77777777" w:rsidR="005D118B" w:rsidRDefault="005D118B" w:rsidP="003E327E">
      <w:pPr>
        <w:spacing w:after="0" w:line="240" w:lineRule="auto"/>
      </w:pPr>
      <w:r>
        <w:separator/>
      </w:r>
    </w:p>
  </w:footnote>
  <w:footnote w:type="continuationSeparator" w:id="0">
    <w:p w14:paraId="0DC7CE48" w14:textId="77777777" w:rsidR="005D118B" w:rsidRDefault="005D118B" w:rsidP="003E3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EBF"/>
    <w:multiLevelType w:val="hybridMultilevel"/>
    <w:tmpl w:val="D32CFE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78E3"/>
    <w:multiLevelType w:val="hybridMultilevel"/>
    <w:tmpl w:val="B7CA75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0541"/>
    <w:multiLevelType w:val="hybridMultilevel"/>
    <w:tmpl w:val="9B4EAB3A"/>
    <w:lvl w:ilvl="0" w:tplc="9D2C0646">
      <w:start w:val="1"/>
      <w:numFmt w:val="bullet"/>
      <w:lvlText w:val="-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656FB"/>
    <w:multiLevelType w:val="hybridMultilevel"/>
    <w:tmpl w:val="27E6E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24069"/>
    <w:multiLevelType w:val="hybridMultilevel"/>
    <w:tmpl w:val="99ACEEBE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0971546C"/>
    <w:multiLevelType w:val="hybridMultilevel"/>
    <w:tmpl w:val="CF4AECA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0A32468C"/>
    <w:multiLevelType w:val="hybridMultilevel"/>
    <w:tmpl w:val="78CC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911DA"/>
    <w:multiLevelType w:val="hybridMultilevel"/>
    <w:tmpl w:val="0C543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52554"/>
    <w:multiLevelType w:val="hybridMultilevel"/>
    <w:tmpl w:val="A3E86B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E1E21"/>
    <w:multiLevelType w:val="hybridMultilevel"/>
    <w:tmpl w:val="75B41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1183F"/>
    <w:multiLevelType w:val="hybridMultilevel"/>
    <w:tmpl w:val="C8B66F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1906CF"/>
    <w:multiLevelType w:val="hybridMultilevel"/>
    <w:tmpl w:val="53ECFF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3311C"/>
    <w:multiLevelType w:val="hybridMultilevel"/>
    <w:tmpl w:val="73784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13E2F"/>
    <w:multiLevelType w:val="hybridMultilevel"/>
    <w:tmpl w:val="859C13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C91FC7"/>
    <w:multiLevelType w:val="hybridMultilevel"/>
    <w:tmpl w:val="9BF2F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F57D6"/>
    <w:multiLevelType w:val="hybridMultilevel"/>
    <w:tmpl w:val="304E71AC"/>
    <w:lvl w:ilvl="0" w:tplc="756AD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F4D3F"/>
    <w:multiLevelType w:val="hybridMultilevel"/>
    <w:tmpl w:val="DE061D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D6210E"/>
    <w:multiLevelType w:val="hybridMultilevel"/>
    <w:tmpl w:val="695A12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8976CB"/>
    <w:multiLevelType w:val="hybridMultilevel"/>
    <w:tmpl w:val="0E7E78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025A1"/>
    <w:multiLevelType w:val="hybridMultilevel"/>
    <w:tmpl w:val="A54E3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5970"/>
    <w:multiLevelType w:val="hybridMultilevel"/>
    <w:tmpl w:val="B3821CD4"/>
    <w:lvl w:ilvl="0" w:tplc="AB7AF74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1436E"/>
    <w:multiLevelType w:val="hybridMultilevel"/>
    <w:tmpl w:val="F8CC31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5427E"/>
    <w:multiLevelType w:val="hybridMultilevel"/>
    <w:tmpl w:val="EB20F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95ADC"/>
    <w:multiLevelType w:val="hybridMultilevel"/>
    <w:tmpl w:val="68F8792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DB386E"/>
    <w:multiLevelType w:val="hybridMultilevel"/>
    <w:tmpl w:val="1A30F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E2EB0"/>
    <w:multiLevelType w:val="hybridMultilevel"/>
    <w:tmpl w:val="D32CFEDA"/>
    <w:lvl w:ilvl="0" w:tplc="E76E2A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F178E"/>
    <w:multiLevelType w:val="hybridMultilevel"/>
    <w:tmpl w:val="BCF0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44CA3"/>
    <w:multiLevelType w:val="hybridMultilevel"/>
    <w:tmpl w:val="D2B64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41B35"/>
    <w:multiLevelType w:val="hybridMultilevel"/>
    <w:tmpl w:val="EB20F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07834"/>
    <w:multiLevelType w:val="hybridMultilevel"/>
    <w:tmpl w:val="0B365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12013"/>
    <w:multiLevelType w:val="hybridMultilevel"/>
    <w:tmpl w:val="52D2DA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844B8F"/>
    <w:multiLevelType w:val="hybridMultilevel"/>
    <w:tmpl w:val="088081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A0C21"/>
    <w:multiLevelType w:val="hybridMultilevel"/>
    <w:tmpl w:val="21808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31391"/>
    <w:multiLevelType w:val="hybridMultilevel"/>
    <w:tmpl w:val="CE7E4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D3B8E"/>
    <w:multiLevelType w:val="hybridMultilevel"/>
    <w:tmpl w:val="11A2C9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30126"/>
    <w:multiLevelType w:val="hybridMultilevel"/>
    <w:tmpl w:val="893C4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459A9"/>
    <w:multiLevelType w:val="hybridMultilevel"/>
    <w:tmpl w:val="EA52D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B2814"/>
    <w:multiLevelType w:val="hybridMultilevel"/>
    <w:tmpl w:val="1C20426A"/>
    <w:lvl w:ilvl="0" w:tplc="68A291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43D21"/>
    <w:multiLevelType w:val="hybridMultilevel"/>
    <w:tmpl w:val="D32CFE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5428C"/>
    <w:multiLevelType w:val="hybridMultilevel"/>
    <w:tmpl w:val="8B9AFC4A"/>
    <w:lvl w:ilvl="0" w:tplc="37980A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A2B92"/>
    <w:multiLevelType w:val="hybridMultilevel"/>
    <w:tmpl w:val="8AD8E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5278"/>
    <w:multiLevelType w:val="hybridMultilevel"/>
    <w:tmpl w:val="F5988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90749"/>
    <w:multiLevelType w:val="hybridMultilevel"/>
    <w:tmpl w:val="68F879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471689"/>
    <w:multiLevelType w:val="hybridMultilevel"/>
    <w:tmpl w:val="695A12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EB3E07"/>
    <w:multiLevelType w:val="hybridMultilevel"/>
    <w:tmpl w:val="9352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054823">
    <w:abstractNumId w:val="14"/>
  </w:num>
  <w:num w:numId="2" w16cid:durableId="1601256182">
    <w:abstractNumId w:val="33"/>
  </w:num>
  <w:num w:numId="3" w16cid:durableId="620958106">
    <w:abstractNumId w:val="28"/>
  </w:num>
  <w:num w:numId="4" w16cid:durableId="91708383">
    <w:abstractNumId w:val="42"/>
  </w:num>
  <w:num w:numId="5" w16cid:durableId="916596313">
    <w:abstractNumId w:val="3"/>
  </w:num>
  <w:num w:numId="6" w16cid:durableId="1741901025">
    <w:abstractNumId w:val="25"/>
  </w:num>
  <w:num w:numId="7" w16cid:durableId="162209418">
    <w:abstractNumId w:val="43"/>
  </w:num>
  <w:num w:numId="8" w16cid:durableId="1144154912">
    <w:abstractNumId w:val="36"/>
  </w:num>
  <w:num w:numId="9" w16cid:durableId="156265329">
    <w:abstractNumId w:val="7"/>
  </w:num>
  <w:num w:numId="10" w16cid:durableId="731855529">
    <w:abstractNumId w:val="9"/>
  </w:num>
  <w:num w:numId="11" w16cid:durableId="1058170327">
    <w:abstractNumId w:val="0"/>
  </w:num>
  <w:num w:numId="12" w16cid:durableId="929315201">
    <w:abstractNumId w:val="24"/>
  </w:num>
  <w:num w:numId="13" w16cid:durableId="1313294103">
    <w:abstractNumId w:val="40"/>
  </w:num>
  <w:num w:numId="14" w16cid:durableId="829058754">
    <w:abstractNumId w:val="30"/>
  </w:num>
  <w:num w:numId="15" w16cid:durableId="206452282">
    <w:abstractNumId w:val="10"/>
  </w:num>
  <w:num w:numId="16" w16cid:durableId="1439370767">
    <w:abstractNumId w:val="13"/>
  </w:num>
  <w:num w:numId="17" w16cid:durableId="1362779861">
    <w:abstractNumId w:val="32"/>
  </w:num>
  <w:num w:numId="18" w16cid:durableId="1840807567">
    <w:abstractNumId w:val="41"/>
  </w:num>
  <w:num w:numId="19" w16cid:durableId="2027099007">
    <w:abstractNumId w:val="18"/>
  </w:num>
  <w:num w:numId="20" w16cid:durableId="106388846">
    <w:abstractNumId w:val="11"/>
  </w:num>
  <w:num w:numId="21" w16cid:durableId="1509638650">
    <w:abstractNumId w:val="26"/>
  </w:num>
  <w:num w:numId="22" w16cid:durableId="1107043423">
    <w:abstractNumId w:val="6"/>
  </w:num>
  <w:num w:numId="23" w16cid:durableId="1806388099">
    <w:abstractNumId w:val="38"/>
  </w:num>
  <w:num w:numId="24" w16cid:durableId="1295676790">
    <w:abstractNumId w:val="17"/>
  </w:num>
  <w:num w:numId="25" w16cid:durableId="244073069">
    <w:abstractNumId w:val="22"/>
  </w:num>
  <w:num w:numId="26" w16cid:durableId="1665861766">
    <w:abstractNumId w:val="23"/>
  </w:num>
  <w:num w:numId="27" w16cid:durableId="1599294668">
    <w:abstractNumId w:val="1"/>
  </w:num>
  <w:num w:numId="28" w16cid:durableId="11614320">
    <w:abstractNumId w:val="15"/>
  </w:num>
  <w:num w:numId="29" w16cid:durableId="15553160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1439223">
    <w:abstractNumId w:val="2"/>
  </w:num>
  <w:num w:numId="31" w16cid:durableId="157305717">
    <w:abstractNumId w:val="20"/>
  </w:num>
  <w:num w:numId="32" w16cid:durableId="19833453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5312324">
    <w:abstractNumId w:val="12"/>
  </w:num>
  <w:num w:numId="34" w16cid:durableId="1943293701">
    <w:abstractNumId w:val="19"/>
  </w:num>
  <w:num w:numId="35" w16cid:durableId="1604075846">
    <w:abstractNumId w:val="34"/>
  </w:num>
  <w:num w:numId="36" w16cid:durableId="2032759613">
    <w:abstractNumId w:val="21"/>
  </w:num>
  <w:num w:numId="37" w16cid:durableId="922449461">
    <w:abstractNumId w:val="39"/>
  </w:num>
  <w:num w:numId="38" w16cid:durableId="728766574">
    <w:abstractNumId w:val="35"/>
  </w:num>
  <w:num w:numId="39" w16cid:durableId="1812287401">
    <w:abstractNumId w:val="37"/>
  </w:num>
  <w:num w:numId="40" w16cid:durableId="1691570623">
    <w:abstractNumId w:val="27"/>
  </w:num>
  <w:num w:numId="41" w16cid:durableId="1729769468">
    <w:abstractNumId w:val="4"/>
  </w:num>
  <w:num w:numId="42" w16cid:durableId="1713069458">
    <w:abstractNumId w:val="44"/>
  </w:num>
  <w:num w:numId="43" w16cid:durableId="102001991">
    <w:abstractNumId w:val="5"/>
  </w:num>
  <w:num w:numId="44" w16cid:durableId="1583024187">
    <w:abstractNumId w:val="31"/>
  </w:num>
  <w:num w:numId="45" w16cid:durableId="1083380533">
    <w:abstractNumId w:val="8"/>
  </w:num>
  <w:num w:numId="46" w16cid:durableId="13233129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E4"/>
    <w:rsid w:val="00010BA8"/>
    <w:rsid w:val="00011958"/>
    <w:rsid w:val="00047BCB"/>
    <w:rsid w:val="0006334B"/>
    <w:rsid w:val="00077CF2"/>
    <w:rsid w:val="000801DB"/>
    <w:rsid w:val="00080CE4"/>
    <w:rsid w:val="000B5364"/>
    <w:rsid w:val="000C2A4A"/>
    <w:rsid w:val="000C4C63"/>
    <w:rsid w:val="000D4314"/>
    <w:rsid w:val="000D4EB2"/>
    <w:rsid w:val="000E22D6"/>
    <w:rsid w:val="000E6C7D"/>
    <w:rsid w:val="001019EA"/>
    <w:rsid w:val="00101B6A"/>
    <w:rsid w:val="001044D0"/>
    <w:rsid w:val="0013016B"/>
    <w:rsid w:val="00131EAB"/>
    <w:rsid w:val="00167FB0"/>
    <w:rsid w:val="00173727"/>
    <w:rsid w:val="0018242F"/>
    <w:rsid w:val="00185EBD"/>
    <w:rsid w:val="0019386E"/>
    <w:rsid w:val="001A39B1"/>
    <w:rsid w:val="001C2C17"/>
    <w:rsid w:val="001C39C5"/>
    <w:rsid w:val="001C58EE"/>
    <w:rsid w:val="001D78CF"/>
    <w:rsid w:val="001E2979"/>
    <w:rsid w:val="001E52FB"/>
    <w:rsid w:val="001F7AE4"/>
    <w:rsid w:val="0020552D"/>
    <w:rsid w:val="00212A1B"/>
    <w:rsid w:val="002160F3"/>
    <w:rsid w:val="002250FA"/>
    <w:rsid w:val="00256949"/>
    <w:rsid w:val="002653F8"/>
    <w:rsid w:val="00275CC9"/>
    <w:rsid w:val="00285DED"/>
    <w:rsid w:val="0028695A"/>
    <w:rsid w:val="00292B39"/>
    <w:rsid w:val="002C019A"/>
    <w:rsid w:val="002C5A08"/>
    <w:rsid w:val="002D04CA"/>
    <w:rsid w:val="002D44B2"/>
    <w:rsid w:val="002E2EDE"/>
    <w:rsid w:val="002F74F3"/>
    <w:rsid w:val="00301413"/>
    <w:rsid w:val="003016A3"/>
    <w:rsid w:val="00322B4A"/>
    <w:rsid w:val="00327D89"/>
    <w:rsid w:val="00331276"/>
    <w:rsid w:val="0034425E"/>
    <w:rsid w:val="00364A4F"/>
    <w:rsid w:val="00366790"/>
    <w:rsid w:val="00384F4F"/>
    <w:rsid w:val="003A1C7F"/>
    <w:rsid w:val="003A3140"/>
    <w:rsid w:val="003A6D38"/>
    <w:rsid w:val="003C0047"/>
    <w:rsid w:val="003C6ECF"/>
    <w:rsid w:val="003D71BD"/>
    <w:rsid w:val="003E327E"/>
    <w:rsid w:val="00400129"/>
    <w:rsid w:val="00420492"/>
    <w:rsid w:val="0043442A"/>
    <w:rsid w:val="00470D79"/>
    <w:rsid w:val="004A3795"/>
    <w:rsid w:val="004B20DE"/>
    <w:rsid w:val="004D04BA"/>
    <w:rsid w:val="004D280C"/>
    <w:rsid w:val="004D38EE"/>
    <w:rsid w:val="004D4C35"/>
    <w:rsid w:val="004E1CEB"/>
    <w:rsid w:val="0052047A"/>
    <w:rsid w:val="00530DC8"/>
    <w:rsid w:val="005321C8"/>
    <w:rsid w:val="0057308D"/>
    <w:rsid w:val="005A6E2D"/>
    <w:rsid w:val="005B537A"/>
    <w:rsid w:val="005D118B"/>
    <w:rsid w:val="005D38AA"/>
    <w:rsid w:val="005D7194"/>
    <w:rsid w:val="005F4F41"/>
    <w:rsid w:val="005F6C5C"/>
    <w:rsid w:val="00601DDE"/>
    <w:rsid w:val="00611EE3"/>
    <w:rsid w:val="0061728E"/>
    <w:rsid w:val="00623A65"/>
    <w:rsid w:val="00623B0C"/>
    <w:rsid w:val="00644928"/>
    <w:rsid w:val="00662270"/>
    <w:rsid w:val="00662559"/>
    <w:rsid w:val="006810B1"/>
    <w:rsid w:val="006A210F"/>
    <w:rsid w:val="006C0B68"/>
    <w:rsid w:val="006C4AF0"/>
    <w:rsid w:val="006E0A1D"/>
    <w:rsid w:val="006E3B6E"/>
    <w:rsid w:val="006E61B4"/>
    <w:rsid w:val="006E6A9A"/>
    <w:rsid w:val="006F1FE0"/>
    <w:rsid w:val="006F26DF"/>
    <w:rsid w:val="007046D5"/>
    <w:rsid w:val="007142FF"/>
    <w:rsid w:val="0072561D"/>
    <w:rsid w:val="007342FE"/>
    <w:rsid w:val="00741662"/>
    <w:rsid w:val="00761361"/>
    <w:rsid w:val="00770A7A"/>
    <w:rsid w:val="00781A68"/>
    <w:rsid w:val="00796AD1"/>
    <w:rsid w:val="007A126C"/>
    <w:rsid w:val="007A52E5"/>
    <w:rsid w:val="007A7D5B"/>
    <w:rsid w:val="007E7F5C"/>
    <w:rsid w:val="008052CF"/>
    <w:rsid w:val="008263CD"/>
    <w:rsid w:val="00835832"/>
    <w:rsid w:val="00840808"/>
    <w:rsid w:val="008455F9"/>
    <w:rsid w:val="00852AD9"/>
    <w:rsid w:val="00861BC1"/>
    <w:rsid w:val="00871164"/>
    <w:rsid w:val="00892769"/>
    <w:rsid w:val="0089325B"/>
    <w:rsid w:val="008949B3"/>
    <w:rsid w:val="0089612B"/>
    <w:rsid w:val="008A57C5"/>
    <w:rsid w:val="008B3F88"/>
    <w:rsid w:val="008D4799"/>
    <w:rsid w:val="008F7C7E"/>
    <w:rsid w:val="008F7EEC"/>
    <w:rsid w:val="009029ED"/>
    <w:rsid w:val="009216AE"/>
    <w:rsid w:val="00946C6E"/>
    <w:rsid w:val="00951A04"/>
    <w:rsid w:val="009678BC"/>
    <w:rsid w:val="009728EA"/>
    <w:rsid w:val="00974DB0"/>
    <w:rsid w:val="00975A0A"/>
    <w:rsid w:val="009B0D72"/>
    <w:rsid w:val="009C1C63"/>
    <w:rsid w:val="009C1E38"/>
    <w:rsid w:val="009C2433"/>
    <w:rsid w:val="009C5968"/>
    <w:rsid w:val="00A056A4"/>
    <w:rsid w:val="00A07C3D"/>
    <w:rsid w:val="00A23F84"/>
    <w:rsid w:val="00A50301"/>
    <w:rsid w:val="00A734A6"/>
    <w:rsid w:val="00A82A75"/>
    <w:rsid w:val="00A831EE"/>
    <w:rsid w:val="00A91218"/>
    <w:rsid w:val="00AB6448"/>
    <w:rsid w:val="00AE1050"/>
    <w:rsid w:val="00AF745D"/>
    <w:rsid w:val="00AF7918"/>
    <w:rsid w:val="00B62AD4"/>
    <w:rsid w:val="00B66963"/>
    <w:rsid w:val="00B73482"/>
    <w:rsid w:val="00B77CE1"/>
    <w:rsid w:val="00B96F9F"/>
    <w:rsid w:val="00BE0343"/>
    <w:rsid w:val="00C10125"/>
    <w:rsid w:val="00C14101"/>
    <w:rsid w:val="00C35872"/>
    <w:rsid w:val="00C66A4A"/>
    <w:rsid w:val="00C85B66"/>
    <w:rsid w:val="00CA3743"/>
    <w:rsid w:val="00CA3F44"/>
    <w:rsid w:val="00CC14D7"/>
    <w:rsid w:val="00CC4B0F"/>
    <w:rsid w:val="00CC5674"/>
    <w:rsid w:val="00D03FA6"/>
    <w:rsid w:val="00D31BE8"/>
    <w:rsid w:val="00D60AF1"/>
    <w:rsid w:val="00D95A09"/>
    <w:rsid w:val="00DB3C34"/>
    <w:rsid w:val="00DB3C48"/>
    <w:rsid w:val="00DC1D34"/>
    <w:rsid w:val="00DF369E"/>
    <w:rsid w:val="00E079E7"/>
    <w:rsid w:val="00E1245D"/>
    <w:rsid w:val="00E13DB4"/>
    <w:rsid w:val="00E36FE3"/>
    <w:rsid w:val="00E41339"/>
    <w:rsid w:val="00E50AA3"/>
    <w:rsid w:val="00E51682"/>
    <w:rsid w:val="00E61B9D"/>
    <w:rsid w:val="00E67290"/>
    <w:rsid w:val="00E770CF"/>
    <w:rsid w:val="00EB0E41"/>
    <w:rsid w:val="00EC05A2"/>
    <w:rsid w:val="00EC7F73"/>
    <w:rsid w:val="00ED043F"/>
    <w:rsid w:val="00ED2D81"/>
    <w:rsid w:val="00ED5E47"/>
    <w:rsid w:val="00EE3C8F"/>
    <w:rsid w:val="00F0108B"/>
    <w:rsid w:val="00F1275F"/>
    <w:rsid w:val="00F2012C"/>
    <w:rsid w:val="00F221EB"/>
    <w:rsid w:val="00F24987"/>
    <w:rsid w:val="00F4492B"/>
    <w:rsid w:val="00F67999"/>
    <w:rsid w:val="00FC09D2"/>
    <w:rsid w:val="00F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33B7"/>
  <w15:docId w15:val="{27405F6D-B986-4F9A-B847-B6BF5984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A65"/>
  </w:style>
  <w:style w:type="paragraph" w:styleId="Nagwek1">
    <w:name w:val="heading 1"/>
    <w:basedOn w:val="Normalny"/>
    <w:next w:val="Normalny"/>
    <w:link w:val="Nagwek1Znak"/>
    <w:uiPriority w:val="9"/>
    <w:qFormat/>
    <w:rsid w:val="00322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3A65"/>
    <w:rPr>
      <w:color w:val="0000FF"/>
      <w:u w:val="single"/>
    </w:rPr>
  </w:style>
  <w:style w:type="paragraph" w:customStyle="1" w:styleId="Default">
    <w:name w:val="Default"/>
    <w:rsid w:val="00623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4B20DE"/>
  </w:style>
  <w:style w:type="character" w:customStyle="1" w:styleId="markedcontent">
    <w:name w:val="markedcontent"/>
    <w:basedOn w:val="Domylnaczcionkaakapitu"/>
    <w:rsid w:val="00101B6A"/>
  </w:style>
  <w:style w:type="paragraph" w:styleId="NormalnyWeb">
    <w:name w:val="Normal (Web)"/>
    <w:basedOn w:val="Normalny"/>
    <w:uiPriority w:val="99"/>
    <w:unhideWhenUsed/>
    <w:rsid w:val="0042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0492"/>
    <w:rPr>
      <w:b/>
      <w:bCs/>
    </w:rPr>
  </w:style>
  <w:style w:type="character" w:customStyle="1" w:styleId="text-justify">
    <w:name w:val="text-justify"/>
    <w:basedOn w:val="Domylnaczcionkaakapitu"/>
    <w:rsid w:val="009216AE"/>
  </w:style>
  <w:style w:type="character" w:styleId="Nierozpoznanawzmianka">
    <w:name w:val="Unresolved Mention"/>
    <w:basedOn w:val="Domylnaczcionkaakapitu"/>
    <w:uiPriority w:val="99"/>
    <w:semiHidden/>
    <w:unhideWhenUsed/>
    <w:rsid w:val="007A52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2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2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1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21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21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1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1C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1012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C2A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22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centralny-rejestr-charakterystyki-energetycznej-budynk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EDFA-D047-4962-B060-D8FF6836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 Magdalena</dc:creator>
  <cp:keywords/>
  <dc:description/>
  <cp:lastModifiedBy>Wąsowska Barbara</cp:lastModifiedBy>
  <cp:revision>2</cp:revision>
  <dcterms:created xsi:type="dcterms:W3CDTF">2023-06-20T10:00:00Z</dcterms:created>
  <dcterms:modified xsi:type="dcterms:W3CDTF">2023-06-20T10:00:00Z</dcterms:modified>
</cp:coreProperties>
</file>