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F148" w14:textId="77777777" w:rsidR="00037025" w:rsidRDefault="00037025" w:rsidP="00BA5D57">
      <w:pPr>
        <w:jc w:val="center"/>
        <w:rPr>
          <w:sz w:val="28"/>
          <w:szCs w:val="28"/>
        </w:rPr>
      </w:pPr>
    </w:p>
    <w:p w14:paraId="6272F1CA" w14:textId="77777777" w:rsidR="00037025" w:rsidRDefault="00037025" w:rsidP="00BA5D57">
      <w:pPr>
        <w:jc w:val="center"/>
        <w:rPr>
          <w:sz w:val="28"/>
          <w:szCs w:val="28"/>
        </w:rPr>
      </w:pPr>
    </w:p>
    <w:p w14:paraId="36DBFBFD" w14:textId="1E4F4767" w:rsidR="00CF16C3" w:rsidRPr="00037025" w:rsidRDefault="00BA5D57" w:rsidP="00BA5D57">
      <w:pPr>
        <w:jc w:val="center"/>
        <w:rPr>
          <w:b/>
          <w:bCs/>
          <w:sz w:val="28"/>
          <w:szCs w:val="28"/>
        </w:rPr>
      </w:pPr>
      <w:r w:rsidRPr="00037025">
        <w:rPr>
          <w:b/>
          <w:bCs/>
          <w:sz w:val="28"/>
          <w:szCs w:val="28"/>
        </w:rPr>
        <w:t>Opis przedmiotu zamówienia</w:t>
      </w:r>
    </w:p>
    <w:p w14:paraId="701C3B98" w14:textId="77777777" w:rsidR="00BA5D57" w:rsidRDefault="00BA5D57"/>
    <w:p w14:paraId="44FE9609" w14:textId="2CCC56C5" w:rsidR="00BA5D57" w:rsidRDefault="00DD0B2E">
      <w:r w:rsidRPr="00DD0B2E">
        <w:t>Zapewnienie obsługi transakcji bezgotówkowych dokonywanych kartą płatniczą z tytułu opłat należnych przy realizacji usług realizowanych przez użytkowników Biznes.gov.pl</w:t>
      </w:r>
    </w:p>
    <w:p w14:paraId="17199D94" w14:textId="77777777" w:rsidR="00BA5D57" w:rsidRDefault="00BA5D57"/>
    <w:p w14:paraId="53161F3B" w14:textId="77777777" w:rsidR="00BA5D57" w:rsidRDefault="00BA5D57"/>
    <w:p w14:paraId="5B9FBD30" w14:textId="77777777" w:rsidR="00BA5D57" w:rsidRDefault="00BA5D57"/>
    <w:p w14:paraId="4F124127" w14:textId="77777777" w:rsidR="00BA5D57" w:rsidRDefault="00BA5D57"/>
    <w:p w14:paraId="44651F1B" w14:textId="77777777" w:rsidR="00BA5D57" w:rsidRDefault="00BA5D57"/>
    <w:p w14:paraId="70B72125" w14:textId="77777777" w:rsidR="00BA5D57" w:rsidRDefault="00BA5D57"/>
    <w:p w14:paraId="00069D98" w14:textId="77777777" w:rsidR="00BA5D57" w:rsidRDefault="00BA5D57"/>
    <w:p w14:paraId="451BB705" w14:textId="77777777" w:rsidR="00BA5D57" w:rsidRDefault="00BA5D57"/>
    <w:p w14:paraId="342CABDA" w14:textId="77777777" w:rsidR="00BA5D57" w:rsidRDefault="00BA5D57"/>
    <w:p w14:paraId="43D1B17E" w14:textId="77777777" w:rsidR="00BA5D57" w:rsidRDefault="00BA5D57"/>
    <w:p w14:paraId="48B00CDD" w14:textId="77777777" w:rsidR="00BA5D57" w:rsidRDefault="00BA5D57"/>
    <w:p w14:paraId="4D289B9B" w14:textId="77777777" w:rsidR="00BA5D57" w:rsidRDefault="00BA5D57"/>
    <w:p w14:paraId="07F7A927" w14:textId="77777777" w:rsidR="00BA5D57" w:rsidRDefault="00BA5D57"/>
    <w:p w14:paraId="5F66D683" w14:textId="77777777" w:rsidR="00BA5D57" w:rsidRDefault="00BA5D57"/>
    <w:p w14:paraId="47D0ACA6" w14:textId="77777777" w:rsidR="00BA5D57" w:rsidRDefault="00BA5D57"/>
    <w:p w14:paraId="55A38D38" w14:textId="77777777" w:rsidR="00BA5D57" w:rsidRDefault="00BA5D57"/>
    <w:p w14:paraId="48AA55EF" w14:textId="77777777" w:rsidR="00BA5D57" w:rsidRDefault="00BA5D57"/>
    <w:p w14:paraId="7156AA5B" w14:textId="77777777" w:rsidR="00BA5D57" w:rsidRDefault="00BA5D57"/>
    <w:p w14:paraId="32C37848" w14:textId="77777777" w:rsidR="00BA5D57" w:rsidRDefault="00BA5D57"/>
    <w:p w14:paraId="28545414" w14:textId="77777777" w:rsidR="00BA5D57" w:rsidRDefault="00BA5D57"/>
    <w:p w14:paraId="5E4074A6" w14:textId="77777777" w:rsidR="00BA5D57" w:rsidRDefault="00BA5D57"/>
    <w:p w14:paraId="35934CBE" w14:textId="77777777" w:rsidR="00BA5D57" w:rsidRDefault="00BA5D57"/>
    <w:p w14:paraId="1BB2AD67" w14:textId="77777777" w:rsidR="00BA5D57" w:rsidRDefault="00BA5D57"/>
    <w:p w14:paraId="61CBDFF1" w14:textId="77777777" w:rsidR="00BA5D57" w:rsidRDefault="00BA5D57"/>
    <w:p w14:paraId="7146FD57" w14:textId="77777777" w:rsidR="00BA5D57" w:rsidRDefault="00BA5D57"/>
    <w:p w14:paraId="68E235F8" w14:textId="77777777" w:rsidR="00BA5D57" w:rsidRDefault="00BA5D57"/>
    <w:p w14:paraId="4FC3A866" w14:textId="77777777" w:rsidR="00BA5D57" w:rsidRDefault="00BA5D57"/>
    <w:sdt>
      <w:sdtPr>
        <w:rPr>
          <w:rFonts w:asciiTheme="minorHAnsi" w:eastAsiaTheme="minorEastAsia" w:hAnsiTheme="minorHAnsi" w:cstheme="minorBidi"/>
          <w:color w:val="auto"/>
          <w:kern w:val="2"/>
          <w:sz w:val="22"/>
          <w:szCs w:val="22"/>
          <w:lang w:eastAsia="en-US"/>
          <w14:ligatures w14:val="standardContextual"/>
        </w:rPr>
        <w:id w:val="373432985"/>
        <w:docPartObj>
          <w:docPartGallery w:val="Table of Contents"/>
          <w:docPartUnique/>
        </w:docPartObj>
      </w:sdtPr>
      <w:sdtEndPr>
        <w:rPr>
          <w:b/>
          <w:bCs/>
        </w:rPr>
      </w:sdtEndPr>
      <w:sdtContent>
        <w:p w14:paraId="4F5BBEC1" w14:textId="47B1CD63" w:rsidR="0082123C" w:rsidRDefault="0082123C">
          <w:pPr>
            <w:pStyle w:val="Nagwekspisutreci"/>
          </w:pPr>
          <w:r>
            <w:t>Spis treści</w:t>
          </w:r>
        </w:p>
        <w:p w14:paraId="6260EEF3" w14:textId="2621CA94" w:rsidR="00D87DBB" w:rsidRDefault="0082123C" w:rsidP="00D87DBB">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193966566" w:history="1">
            <w:r w:rsidR="00D87DBB" w:rsidRPr="00F5778C">
              <w:rPr>
                <w:rStyle w:val="Hipercze"/>
                <w:noProof/>
              </w:rPr>
              <w:t>1.</w:t>
            </w:r>
            <w:r w:rsidR="00D87DBB">
              <w:rPr>
                <w:rFonts w:cstheme="minorBidi"/>
                <w:noProof/>
                <w:kern w:val="2"/>
                <w:sz w:val="24"/>
                <w:szCs w:val="24"/>
                <w14:ligatures w14:val="standardContextual"/>
              </w:rPr>
              <w:tab/>
            </w:r>
            <w:r w:rsidR="00D87DBB" w:rsidRPr="00F5778C">
              <w:rPr>
                <w:rStyle w:val="Hipercze"/>
                <w:noProof/>
              </w:rPr>
              <w:t>Kontekst zamówienia</w:t>
            </w:r>
            <w:r w:rsidR="00D87DBB">
              <w:rPr>
                <w:noProof/>
                <w:webHidden/>
              </w:rPr>
              <w:tab/>
            </w:r>
            <w:r w:rsidR="00D87DBB">
              <w:rPr>
                <w:noProof/>
                <w:webHidden/>
              </w:rPr>
              <w:fldChar w:fldCharType="begin"/>
            </w:r>
            <w:r w:rsidR="00D87DBB">
              <w:rPr>
                <w:noProof/>
                <w:webHidden/>
              </w:rPr>
              <w:instrText xml:space="preserve"> PAGEREF _Toc193966566 \h </w:instrText>
            </w:r>
            <w:r w:rsidR="00D87DBB">
              <w:rPr>
                <w:noProof/>
                <w:webHidden/>
              </w:rPr>
            </w:r>
            <w:r w:rsidR="00D87DBB">
              <w:rPr>
                <w:noProof/>
                <w:webHidden/>
              </w:rPr>
              <w:fldChar w:fldCharType="separate"/>
            </w:r>
            <w:r w:rsidR="00D87DBB">
              <w:rPr>
                <w:noProof/>
                <w:webHidden/>
              </w:rPr>
              <w:t>3</w:t>
            </w:r>
            <w:r w:rsidR="00D87DBB">
              <w:rPr>
                <w:noProof/>
                <w:webHidden/>
              </w:rPr>
              <w:fldChar w:fldCharType="end"/>
            </w:r>
          </w:hyperlink>
        </w:p>
        <w:p w14:paraId="3BBBCE33" w14:textId="7D25A5A5" w:rsidR="00D87DBB" w:rsidRDefault="00D87DBB" w:rsidP="00D87DBB">
          <w:pPr>
            <w:pStyle w:val="Spistreci1"/>
            <w:rPr>
              <w:rFonts w:cstheme="minorBidi"/>
              <w:noProof/>
              <w:kern w:val="2"/>
              <w:sz w:val="24"/>
              <w:szCs w:val="24"/>
              <w14:ligatures w14:val="standardContextual"/>
            </w:rPr>
          </w:pPr>
          <w:hyperlink w:anchor="_Toc193966567" w:history="1">
            <w:r w:rsidRPr="00F5778C">
              <w:rPr>
                <w:rStyle w:val="Hipercze"/>
                <w:noProof/>
              </w:rPr>
              <w:t>2.</w:t>
            </w:r>
            <w:r>
              <w:rPr>
                <w:rFonts w:cstheme="minorBidi"/>
                <w:noProof/>
                <w:kern w:val="2"/>
                <w:sz w:val="24"/>
                <w:szCs w:val="24"/>
                <w14:ligatures w14:val="standardContextual"/>
              </w:rPr>
              <w:tab/>
            </w:r>
            <w:r w:rsidRPr="00F5778C">
              <w:rPr>
                <w:rStyle w:val="Hipercze"/>
                <w:noProof/>
              </w:rPr>
              <w:t>Przedmiot zamówienia</w:t>
            </w:r>
            <w:r>
              <w:rPr>
                <w:noProof/>
                <w:webHidden/>
              </w:rPr>
              <w:tab/>
            </w:r>
            <w:r>
              <w:rPr>
                <w:noProof/>
                <w:webHidden/>
              </w:rPr>
              <w:fldChar w:fldCharType="begin"/>
            </w:r>
            <w:r>
              <w:rPr>
                <w:noProof/>
                <w:webHidden/>
              </w:rPr>
              <w:instrText xml:space="preserve"> PAGEREF _Toc193966567 \h </w:instrText>
            </w:r>
            <w:r>
              <w:rPr>
                <w:noProof/>
                <w:webHidden/>
              </w:rPr>
            </w:r>
            <w:r>
              <w:rPr>
                <w:noProof/>
                <w:webHidden/>
              </w:rPr>
              <w:fldChar w:fldCharType="separate"/>
            </w:r>
            <w:r>
              <w:rPr>
                <w:noProof/>
                <w:webHidden/>
              </w:rPr>
              <w:t>3</w:t>
            </w:r>
            <w:r>
              <w:rPr>
                <w:noProof/>
                <w:webHidden/>
              </w:rPr>
              <w:fldChar w:fldCharType="end"/>
            </w:r>
          </w:hyperlink>
        </w:p>
        <w:p w14:paraId="2EE23FEA" w14:textId="348FE2F5" w:rsidR="00D87DBB" w:rsidRDefault="00D87DBB" w:rsidP="00D87DBB">
          <w:pPr>
            <w:pStyle w:val="Spistreci1"/>
            <w:rPr>
              <w:rFonts w:cstheme="minorBidi"/>
              <w:noProof/>
              <w:kern w:val="2"/>
              <w:sz w:val="24"/>
              <w:szCs w:val="24"/>
              <w14:ligatures w14:val="standardContextual"/>
            </w:rPr>
          </w:pPr>
          <w:hyperlink w:anchor="_Toc193966568" w:history="1">
            <w:r w:rsidRPr="00F5778C">
              <w:rPr>
                <w:rStyle w:val="Hipercze"/>
                <w:noProof/>
              </w:rPr>
              <w:t>3.</w:t>
            </w:r>
            <w:r>
              <w:rPr>
                <w:rFonts w:cstheme="minorBidi"/>
                <w:noProof/>
                <w:kern w:val="2"/>
                <w:sz w:val="24"/>
                <w:szCs w:val="24"/>
                <w14:ligatures w14:val="standardContextual"/>
              </w:rPr>
              <w:tab/>
            </w:r>
            <w:r w:rsidRPr="00F5778C">
              <w:rPr>
                <w:rStyle w:val="Hipercze"/>
                <w:noProof/>
              </w:rPr>
              <w:t>Wymagania dla usługi</w:t>
            </w:r>
            <w:r>
              <w:rPr>
                <w:noProof/>
                <w:webHidden/>
              </w:rPr>
              <w:tab/>
            </w:r>
            <w:r>
              <w:rPr>
                <w:noProof/>
                <w:webHidden/>
              </w:rPr>
              <w:fldChar w:fldCharType="begin"/>
            </w:r>
            <w:r>
              <w:rPr>
                <w:noProof/>
                <w:webHidden/>
              </w:rPr>
              <w:instrText xml:space="preserve"> PAGEREF _Toc193966568 \h </w:instrText>
            </w:r>
            <w:r>
              <w:rPr>
                <w:noProof/>
                <w:webHidden/>
              </w:rPr>
            </w:r>
            <w:r>
              <w:rPr>
                <w:noProof/>
                <w:webHidden/>
              </w:rPr>
              <w:fldChar w:fldCharType="separate"/>
            </w:r>
            <w:r>
              <w:rPr>
                <w:noProof/>
                <w:webHidden/>
              </w:rPr>
              <w:t>3</w:t>
            </w:r>
            <w:r>
              <w:rPr>
                <w:noProof/>
                <w:webHidden/>
              </w:rPr>
              <w:fldChar w:fldCharType="end"/>
            </w:r>
          </w:hyperlink>
        </w:p>
        <w:p w14:paraId="38BAAF21" w14:textId="760B95EC" w:rsidR="00D87DBB" w:rsidRDefault="00D87DBB" w:rsidP="00D87DBB">
          <w:pPr>
            <w:pStyle w:val="Spistreci1"/>
            <w:rPr>
              <w:rFonts w:cstheme="minorBidi"/>
              <w:noProof/>
              <w:kern w:val="2"/>
              <w:sz w:val="24"/>
              <w:szCs w:val="24"/>
              <w14:ligatures w14:val="standardContextual"/>
            </w:rPr>
          </w:pPr>
          <w:hyperlink w:anchor="_Toc193966569" w:history="1">
            <w:r w:rsidRPr="00F5778C">
              <w:rPr>
                <w:rStyle w:val="Hipercze"/>
                <w:noProof/>
              </w:rPr>
              <w:t>4.</w:t>
            </w:r>
            <w:r>
              <w:rPr>
                <w:rFonts w:cstheme="minorBidi"/>
                <w:noProof/>
                <w:kern w:val="2"/>
                <w:sz w:val="24"/>
                <w:szCs w:val="24"/>
                <w14:ligatures w14:val="standardContextual"/>
              </w:rPr>
              <w:tab/>
            </w:r>
            <w:r w:rsidRPr="00F5778C">
              <w:rPr>
                <w:rStyle w:val="Hipercze"/>
                <w:noProof/>
              </w:rPr>
              <w:t>Okres realizacji zamówienia</w:t>
            </w:r>
            <w:r>
              <w:rPr>
                <w:noProof/>
                <w:webHidden/>
              </w:rPr>
              <w:tab/>
            </w:r>
            <w:r>
              <w:rPr>
                <w:noProof/>
                <w:webHidden/>
              </w:rPr>
              <w:fldChar w:fldCharType="begin"/>
            </w:r>
            <w:r>
              <w:rPr>
                <w:noProof/>
                <w:webHidden/>
              </w:rPr>
              <w:instrText xml:space="preserve"> PAGEREF _Toc193966569 \h </w:instrText>
            </w:r>
            <w:r>
              <w:rPr>
                <w:noProof/>
                <w:webHidden/>
              </w:rPr>
            </w:r>
            <w:r>
              <w:rPr>
                <w:noProof/>
                <w:webHidden/>
              </w:rPr>
              <w:fldChar w:fldCharType="separate"/>
            </w:r>
            <w:r>
              <w:rPr>
                <w:noProof/>
                <w:webHidden/>
              </w:rPr>
              <w:t>4</w:t>
            </w:r>
            <w:r>
              <w:rPr>
                <w:noProof/>
                <w:webHidden/>
              </w:rPr>
              <w:fldChar w:fldCharType="end"/>
            </w:r>
          </w:hyperlink>
        </w:p>
        <w:p w14:paraId="6CDD4486" w14:textId="13280F5E" w:rsidR="00D87DBB" w:rsidRDefault="00D87DBB" w:rsidP="00D87DBB">
          <w:pPr>
            <w:pStyle w:val="Spistreci1"/>
            <w:rPr>
              <w:rFonts w:cstheme="minorBidi"/>
              <w:noProof/>
              <w:kern w:val="2"/>
              <w:sz w:val="24"/>
              <w:szCs w:val="24"/>
              <w14:ligatures w14:val="standardContextual"/>
            </w:rPr>
          </w:pPr>
          <w:hyperlink w:anchor="_Toc193966570" w:history="1">
            <w:r w:rsidRPr="00F5778C">
              <w:rPr>
                <w:rStyle w:val="Hipercze"/>
                <w:noProof/>
              </w:rPr>
              <w:t>5.</w:t>
            </w:r>
            <w:r>
              <w:rPr>
                <w:rFonts w:cstheme="minorBidi"/>
                <w:noProof/>
                <w:kern w:val="2"/>
                <w:sz w:val="24"/>
                <w:szCs w:val="24"/>
                <w14:ligatures w14:val="standardContextual"/>
              </w:rPr>
              <w:tab/>
            </w:r>
            <w:r w:rsidRPr="00F5778C">
              <w:rPr>
                <w:rStyle w:val="Hipercze"/>
                <w:noProof/>
              </w:rPr>
              <w:t>Wymagania względem Wykonawcy</w:t>
            </w:r>
            <w:r>
              <w:rPr>
                <w:noProof/>
                <w:webHidden/>
              </w:rPr>
              <w:tab/>
            </w:r>
            <w:r>
              <w:rPr>
                <w:noProof/>
                <w:webHidden/>
              </w:rPr>
              <w:fldChar w:fldCharType="begin"/>
            </w:r>
            <w:r>
              <w:rPr>
                <w:noProof/>
                <w:webHidden/>
              </w:rPr>
              <w:instrText xml:space="preserve"> PAGEREF _Toc193966570 \h </w:instrText>
            </w:r>
            <w:r>
              <w:rPr>
                <w:noProof/>
                <w:webHidden/>
              </w:rPr>
            </w:r>
            <w:r>
              <w:rPr>
                <w:noProof/>
                <w:webHidden/>
              </w:rPr>
              <w:fldChar w:fldCharType="separate"/>
            </w:r>
            <w:r>
              <w:rPr>
                <w:noProof/>
                <w:webHidden/>
              </w:rPr>
              <w:t>5</w:t>
            </w:r>
            <w:r>
              <w:rPr>
                <w:noProof/>
                <w:webHidden/>
              </w:rPr>
              <w:fldChar w:fldCharType="end"/>
            </w:r>
          </w:hyperlink>
        </w:p>
        <w:p w14:paraId="7F9ACA14" w14:textId="5BF2E269" w:rsidR="00D87DBB" w:rsidRDefault="00D87DBB" w:rsidP="00D87DBB">
          <w:pPr>
            <w:pStyle w:val="Spistreci1"/>
            <w:rPr>
              <w:rFonts w:cstheme="minorBidi"/>
              <w:noProof/>
              <w:kern w:val="2"/>
              <w:sz w:val="24"/>
              <w:szCs w:val="24"/>
              <w14:ligatures w14:val="standardContextual"/>
            </w:rPr>
          </w:pPr>
          <w:hyperlink w:anchor="_Toc193966571" w:history="1">
            <w:r w:rsidRPr="00F5778C">
              <w:rPr>
                <w:rStyle w:val="Hipercze"/>
                <w:noProof/>
              </w:rPr>
              <w:t>6.</w:t>
            </w:r>
            <w:r>
              <w:rPr>
                <w:rFonts w:cstheme="minorBidi"/>
                <w:noProof/>
                <w:kern w:val="2"/>
                <w:sz w:val="24"/>
                <w:szCs w:val="24"/>
                <w14:ligatures w14:val="standardContextual"/>
              </w:rPr>
              <w:tab/>
            </w:r>
            <w:r w:rsidRPr="00F5778C">
              <w:rPr>
                <w:rStyle w:val="Hipercze"/>
                <w:noProof/>
              </w:rPr>
              <w:t>Kryteria punktacji ofert</w:t>
            </w:r>
            <w:r>
              <w:rPr>
                <w:noProof/>
                <w:webHidden/>
              </w:rPr>
              <w:tab/>
            </w:r>
            <w:r>
              <w:rPr>
                <w:noProof/>
                <w:webHidden/>
              </w:rPr>
              <w:fldChar w:fldCharType="begin"/>
            </w:r>
            <w:r>
              <w:rPr>
                <w:noProof/>
                <w:webHidden/>
              </w:rPr>
              <w:instrText xml:space="preserve"> PAGEREF _Toc193966571 \h </w:instrText>
            </w:r>
            <w:r>
              <w:rPr>
                <w:noProof/>
                <w:webHidden/>
              </w:rPr>
            </w:r>
            <w:r>
              <w:rPr>
                <w:noProof/>
                <w:webHidden/>
              </w:rPr>
              <w:fldChar w:fldCharType="separate"/>
            </w:r>
            <w:r>
              <w:rPr>
                <w:noProof/>
                <w:webHidden/>
              </w:rPr>
              <w:t>5</w:t>
            </w:r>
            <w:r>
              <w:rPr>
                <w:noProof/>
                <w:webHidden/>
              </w:rPr>
              <w:fldChar w:fldCharType="end"/>
            </w:r>
          </w:hyperlink>
        </w:p>
        <w:p w14:paraId="704755C7" w14:textId="2E13E8A4" w:rsidR="00D87DBB" w:rsidRDefault="00D87DBB" w:rsidP="00D87DBB">
          <w:pPr>
            <w:pStyle w:val="Spistreci1"/>
            <w:rPr>
              <w:rFonts w:cstheme="minorBidi"/>
              <w:noProof/>
              <w:kern w:val="2"/>
              <w:sz w:val="24"/>
              <w:szCs w:val="24"/>
              <w14:ligatures w14:val="standardContextual"/>
            </w:rPr>
          </w:pPr>
          <w:hyperlink w:anchor="_Toc193966572" w:history="1">
            <w:r w:rsidRPr="00F5778C">
              <w:rPr>
                <w:rStyle w:val="Hipercze"/>
                <w:noProof/>
              </w:rPr>
              <w:t>7.</w:t>
            </w:r>
            <w:r>
              <w:rPr>
                <w:rFonts w:cstheme="minorBidi"/>
                <w:noProof/>
                <w:kern w:val="2"/>
                <w:sz w:val="24"/>
                <w:szCs w:val="24"/>
                <w14:ligatures w14:val="standardContextual"/>
              </w:rPr>
              <w:tab/>
            </w:r>
            <w:r w:rsidRPr="00F5778C">
              <w:rPr>
                <w:rStyle w:val="Hipercze"/>
                <w:noProof/>
              </w:rPr>
              <w:t>Sposób i termin składania ofert</w:t>
            </w:r>
            <w:r>
              <w:rPr>
                <w:noProof/>
                <w:webHidden/>
              </w:rPr>
              <w:tab/>
            </w:r>
            <w:r>
              <w:rPr>
                <w:noProof/>
                <w:webHidden/>
              </w:rPr>
              <w:fldChar w:fldCharType="begin"/>
            </w:r>
            <w:r>
              <w:rPr>
                <w:noProof/>
                <w:webHidden/>
              </w:rPr>
              <w:instrText xml:space="preserve"> PAGEREF _Toc193966572 \h </w:instrText>
            </w:r>
            <w:r>
              <w:rPr>
                <w:noProof/>
                <w:webHidden/>
              </w:rPr>
            </w:r>
            <w:r>
              <w:rPr>
                <w:noProof/>
                <w:webHidden/>
              </w:rPr>
              <w:fldChar w:fldCharType="separate"/>
            </w:r>
            <w:r>
              <w:rPr>
                <w:noProof/>
                <w:webHidden/>
              </w:rPr>
              <w:t>6</w:t>
            </w:r>
            <w:r>
              <w:rPr>
                <w:noProof/>
                <w:webHidden/>
              </w:rPr>
              <w:fldChar w:fldCharType="end"/>
            </w:r>
          </w:hyperlink>
        </w:p>
        <w:p w14:paraId="7BB29E83" w14:textId="72968E5D" w:rsidR="00D87DBB" w:rsidRDefault="00D87DBB" w:rsidP="00D87DBB">
          <w:pPr>
            <w:pStyle w:val="Spistreci1"/>
            <w:rPr>
              <w:rFonts w:cstheme="minorBidi"/>
              <w:noProof/>
              <w:kern w:val="2"/>
              <w:sz w:val="24"/>
              <w:szCs w:val="24"/>
              <w14:ligatures w14:val="standardContextual"/>
            </w:rPr>
          </w:pPr>
          <w:hyperlink w:anchor="_Toc193966573" w:history="1">
            <w:r w:rsidRPr="00F5778C">
              <w:rPr>
                <w:rStyle w:val="Hipercze"/>
                <w:noProof/>
              </w:rPr>
              <w:t>8.</w:t>
            </w:r>
            <w:r>
              <w:rPr>
                <w:rFonts w:cstheme="minorBidi"/>
                <w:noProof/>
                <w:kern w:val="2"/>
                <w:sz w:val="24"/>
                <w:szCs w:val="24"/>
                <w14:ligatures w14:val="standardContextual"/>
              </w:rPr>
              <w:tab/>
            </w:r>
            <w:r w:rsidRPr="00F5778C">
              <w:rPr>
                <w:rStyle w:val="Hipercze"/>
                <w:noProof/>
              </w:rPr>
              <w:t>Postanowienia końcowe</w:t>
            </w:r>
            <w:r>
              <w:rPr>
                <w:noProof/>
                <w:webHidden/>
              </w:rPr>
              <w:tab/>
            </w:r>
            <w:r>
              <w:rPr>
                <w:noProof/>
                <w:webHidden/>
              </w:rPr>
              <w:fldChar w:fldCharType="begin"/>
            </w:r>
            <w:r>
              <w:rPr>
                <w:noProof/>
                <w:webHidden/>
              </w:rPr>
              <w:instrText xml:space="preserve"> PAGEREF _Toc193966573 \h </w:instrText>
            </w:r>
            <w:r>
              <w:rPr>
                <w:noProof/>
                <w:webHidden/>
              </w:rPr>
            </w:r>
            <w:r>
              <w:rPr>
                <w:noProof/>
                <w:webHidden/>
              </w:rPr>
              <w:fldChar w:fldCharType="separate"/>
            </w:r>
            <w:r>
              <w:rPr>
                <w:noProof/>
                <w:webHidden/>
              </w:rPr>
              <w:t>6</w:t>
            </w:r>
            <w:r>
              <w:rPr>
                <w:noProof/>
                <w:webHidden/>
              </w:rPr>
              <w:fldChar w:fldCharType="end"/>
            </w:r>
          </w:hyperlink>
        </w:p>
        <w:p w14:paraId="0DB1C895" w14:textId="0E780519" w:rsidR="0082123C" w:rsidRDefault="0082123C">
          <w:r>
            <w:rPr>
              <w:b/>
              <w:bCs/>
            </w:rPr>
            <w:fldChar w:fldCharType="end"/>
          </w:r>
        </w:p>
      </w:sdtContent>
    </w:sdt>
    <w:p w14:paraId="67329C0F" w14:textId="77777777" w:rsidR="00BA5D57" w:rsidRDefault="00BA5D57"/>
    <w:p w14:paraId="4F4A5A83" w14:textId="77777777" w:rsidR="00BA5D57" w:rsidRDefault="00BA5D57"/>
    <w:p w14:paraId="1509FA9C" w14:textId="77777777" w:rsidR="00BA5D57" w:rsidRDefault="00BA5D57"/>
    <w:p w14:paraId="3A8D117A" w14:textId="77777777" w:rsidR="00BA5D57" w:rsidRDefault="00BA5D57"/>
    <w:p w14:paraId="61AC6A57" w14:textId="77777777" w:rsidR="00BA5D57" w:rsidRDefault="00BA5D57"/>
    <w:p w14:paraId="5F7BEE2F" w14:textId="77777777" w:rsidR="00BA5D57" w:rsidRDefault="00BA5D57"/>
    <w:p w14:paraId="6F53C885" w14:textId="77777777" w:rsidR="00BA5D57" w:rsidRDefault="00BA5D57"/>
    <w:p w14:paraId="543A454E" w14:textId="77777777" w:rsidR="00BA5D57" w:rsidRDefault="00BA5D57"/>
    <w:p w14:paraId="3A3ED29B" w14:textId="77777777" w:rsidR="00BA5D57" w:rsidRDefault="00BA5D57"/>
    <w:p w14:paraId="1AA57EF2" w14:textId="77777777" w:rsidR="00BA5D57" w:rsidRDefault="00BA5D57"/>
    <w:p w14:paraId="613CC0AE" w14:textId="77777777" w:rsidR="00BA5D57" w:rsidRDefault="00BA5D57"/>
    <w:p w14:paraId="36D5A3B7" w14:textId="77777777" w:rsidR="00BA5D57" w:rsidRDefault="00BA5D57"/>
    <w:p w14:paraId="57A57F49" w14:textId="77777777" w:rsidR="00BA5D57" w:rsidRDefault="00BA5D57"/>
    <w:p w14:paraId="6501CB9F" w14:textId="77777777" w:rsidR="00DD4FDC" w:rsidRDefault="00DD4FDC"/>
    <w:p w14:paraId="030F77B8" w14:textId="77777777" w:rsidR="00DD4FDC" w:rsidRDefault="00DD4FDC"/>
    <w:p w14:paraId="0F2C2C4F" w14:textId="77777777" w:rsidR="00DD4FDC" w:rsidRDefault="00DD4FDC"/>
    <w:p w14:paraId="74756195" w14:textId="77777777" w:rsidR="00DD4FDC" w:rsidRDefault="00DD4FDC"/>
    <w:p w14:paraId="3F684650" w14:textId="77777777" w:rsidR="00BA5D57" w:rsidRDefault="00BA5D57"/>
    <w:p w14:paraId="214CBD2E" w14:textId="7EB178AC" w:rsidR="00BA5D57" w:rsidRDefault="00BA5D57" w:rsidP="00C930A9">
      <w:pPr>
        <w:pStyle w:val="Nagwek1"/>
        <w:numPr>
          <w:ilvl w:val="0"/>
          <w:numId w:val="6"/>
        </w:numPr>
      </w:pPr>
      <w:bookmarkStart w:id="0" w:name="_Toc193966566"/>
      <w:r>
        <w:lastRenderedPageBreak/>
        <w:t>Kontekst zamówienia</w:t>
      </w:r>
      <w:bookmarkEnd w:id="0"/>
    </w:p>
    <w:p w14:paraId="2E08FFD9" w14:textId="181CD161" w:rsidR="00BA5D57" w:rsidRDefault="00A855A7" w:rsidP="00BA5D57">
      <w:r>
        <w:t>Ministerstwo Rozwoju i Technologii realizuje projekt pn. „Elektronizacja umów o pracę oraz usprawnienie usług cyfrowych dla przedsiębiorców”, współfinansowany z Funduszy Europejskich w ramach programu Fundusze Europejskie na Rozwój Cyfrowy 2021-2027. Projekt jest realizowany w partnerstwie z Sieć Badawcza Łukasiewicz – Poznańskim Instytutem Technologicznym.</w:t>
      </w:r>
    </w:p>
    <w:p w14:paraId="539F0CB5" w14:textId="47127EB7" w:rsidR="00977CD9" w:rsidRDefault="00586923" w:rsidP="00BA5D57">
      <w:r>
        <w:t>Jednym z zadań realizowanych w projekcie jest rozbudowa katalogu metod płatności za usługi wykonywane przez użytkowników Biznes.gov.pl na rzecz podmiotów administracji publicznej. Obecnie poprzez Biznes.gov.pl możliwe jest dokonanie płatności za wybrane usługi przelewem obsługiwanym przez Krajową Izbę Rozliczeniową. W ramach projektu planuje się rozszerzyć katalog dostępnych metod m. in. o płatności kartowe.</w:t>
      </w:r>
    </w:p>
    <w:p w14:paraId="55DED3E4" w14:textId="7960E511" w:rsidR="00BA5D57" w:rsidRDefault="00BA5D57" w:rsidP="00C930A9">
      <w:pPr>
        <w:pStyle w:val="Nagwek1"/>
        <w:numPr>
          <w:ilvl w:val="0"/>
          <w:numId w:val="6"/>
        </w:numPr>
      </w:pPr>
      <w:bookmarkStart w:id="1" w:name="_Toc193966567"/>
      <w:r>
        <w:t>Przedmiot zamówienia</w:t>
      </w:r>
      <w:bookmarkEnd w:id="1"/>
    </w:p>
    <w:p w14:paraId="482F3C65" w14:textId="2B93FC10" w:rsidR="00BA5D57" w:rsidRDefault="00B87FB1" w:rsidP="00BA5D57">
      <w:r>
        <w:t xml:space="preserve">Przedmiotem zamówienia jest zapewnienie </w:t>
      </w:r>
      <w:r w:rsidR="006110E7">
        <w:t>obsługi transakcji bezgotówkowych dokonywanych kartą płatniczą</w:t>
      </w:r>
      <w:r>
        <w:t xml:space="preserve"> </w:t>
      </w:r>
      <w:r w:rsidR="006110E7">
        <w:t>z tytułu opłat należnych przy realizacji</w:t>
      </w:r>
      <w:r>
        <w:t xml:space="preserve"> usług realizowanych przez użytkowników Biznes.gov.pl. Udostępnienie metody płatności kartowej dotyczyć będzie wyłącznie tych usług, dla których już istnieje możliwość dokonania opłaty za pomocą szybkiego przele</w:t>
      </w:r>
      <w:r w:rsidRPr="00DD0B2E">
        <w:t xml:space="preserve">wu. Obecnie system Biznes.gov.pl umożliwia dokonanie płatności za realizację </w:t>
      </w:r>
      <w:r w:rsidR="2F1209F0" w:rsidRPr="00DD0B2E">
        <w:t>4</w:t>
      </w:r>
      <w:r w:rsidRPr="00DD0B2E">
        <w:t xml:space="preserve"> e-usług, przy czym liczba tych usług może ulegać zmianie w okresie trwania umowy.</w:t>
      </w:r>
    </w:p>
    <w:p w14:paraId="658001C2" w14:textId="7782DDD9" w:rsidR="00B87FB1" w:rsidRDefault="00B87FB1" w:rsidP="00BA5D57">
      <w:r>
        <w:t>Wykonawca nie jest zobowiązany do prowadzenia bazy rachunków podmiotów administracji publicznej, na rzecz których będą dokonywane płatności.</w:t>
      </w:r>
    </w:p>
    <w:p w14:paraId="380B3B30" w14:textId="7E6A24B0" w:rsidR="00BA5D57" w:rsidRDefault="00BA5D57" w:rsidP="00C930A9">
      <w:pPr>
        <w:pStyle w:val="Nagwek1"/>
        <w:numPr>
          <w:ilvl w:val="0"/>
          <w:numId w:val="6"/>
        </w:numPr>
      </w:pPr>
      <w:bookmarkStart w:id="2" w:name="_Toc193966568"/>
      <w:r>
        <w:t>Wymagania</w:t>
      </w:r>
      <w:r w:rsidR="008466AB">
        <w:t xml:space="preserve"> dla usługi</w:t>
      </w:r>
      <w:bookmarkEnd w:id="2"/>
    </w:p>
    <w:tbl>
      <w:tblPr>
        <w:tblStyle w:val="Tabela-Siatka"/>
        <w:tblW w:w="0" w:type="auto"/>
        <w:tblLook w:val="04A0" w:firstRow="1" w:lastRow="0" w:firstColumn="1" w:lastColumn="0" w:noHBand="0" w:noVBand="1"/>
      </w:tblPr>
      <w:tblGrid>
        <w:gridCol w:w="704"/>
        <w:gridCol w:w="2126"/>
        <w:gridCol w:w="6232"/>
      </w:tblGrid>
      <w:tr w:rsidR="00AE0414" w14:paraId="5C43AA8C" w14:textId="77777777" w:rsidTr="0C17A3DC">
        <w:trPr>
          <w:trHeight w:val="300"/>
        </w:trPr>
        <w:tc>
          <w:tcPr>
            <w:tcW w:w="704" w:type="dxa"/>
            <w:shd w:val="clear" w:color="auto" w:fill="D9F2D0" w:themeFill="accent6" w:themeFillTint="33"/>
          </w:tcPr>
          <w:p w14:paraId="095CEED7" w14:textId="5E713977" w:rsidR="00AE0414" w:rsidRDefault="00AE0414" w:rsidP="00BA5D57">
            <w:r>
              <w:t>Lp</w:t>
            </w:r>
          </w:p>
        </w:tc>
        <w:tc>
          <w:tcPr>
            <w:tcW w:w="2126" w:type="dxa"/>
            <w:shd w:val="clear" w:color="auto" w:fill="D9F2D0" w:themeFill="accent6" w:themeFillTint="33"/>
          </w:tcPr>
          <w:p w14:paraId="17641D05" w14:textId="57416BB8" w:rsidR="00AE0414" w:rsidRDefault="00AE0414" w:rsidP="00BA5D57">
            <w:r>
              <w:t>Typ wymagania</w:t>
            </w:r>
          </w:p>
        </w:tc>
        <w:tc>
          <w:tcPr>
            <w:tcW w:w="6232" w:type="dxa"/>
            <w:shd w:val="clear" w:color="auto" w:fill="D9F2D0" w:themeFill="accent6" w:themeFillTint="33"/>
          </w:tcPr>
          <w:p w14:paraId="76BA1850" w14:textId="4752A13B" w:rsidR="00AE0414" w:rsidRDefault="00AE0414" w:rsidP="00BA5D57">
            <w:r>
              <w:t>Wymaganie</w:t>
            </w:r>
          </w:p>
        </w:tc>
      </w:tr>
      <w:tr w:rsidR="00AE0414" w14:paraId="488818EF" w14:textId="77777777" w:rsidTr="0C17A3DC">
        <w:trPr>
          <w:trHeight w:val="300"/>
        </w:trPr>
        <w:tc>
          <w:tcPr>
            <w:tcW w:w="704" w:type="dxa"/>
          </w:tcPr>
          <w:p w14:paraId="2B994179" w14:textId="40DEB8F5" w:rsidR="00AE0414" w:rsidRDefault="00AE0414" w:rsidP="00BA5D57">
            <w:r>
              <w:t>1.</w:t>
            </w:r>
          </w:p>
        </w:tc>
        <w:tc>
          <w:tcPr>
            <w:tcW w:w="2126" w:type="dxa"/>
          </w:tcPr>
          <w:p w14:paraId="2AF2B5DF" w14:textId="5B77267E" w:rsidR="00AE0414" w:rsidRDefault="00AE0414" w:rsidP="00BA5D57">
            <w:r>
              <w:t>Formalne</w:t>
            </w:r>
          </w:p>
        </w:tc>
        <w:tc>
          <w:tcPr>
            <w:tcW w:w="6232" w:type="dxa"/>
          </w:tcPr>
          <w:p w14:paraId="3C37ECE6" w14:textId="7213A8A2" w:rsidR="00AE0414" w:rsidRDefault="00AE0414" w:rsidP="00BA5D57">
            <w:r>
              <w:t>Wykonawca przed rozpoczęciem świadczenia usługi musi zawrzeć umowę z Krajową Izbą Rozliczeniową celem udostępnienia usługi w ramach systemu rozliczeniowego KIR</w:t>
            </w:r>
          </w:p>
        </w:tc>
      </w:tr>
      <w:tr w:rsidR="00B52911" w14:paraId="56653296" w14:textId="77777777" w:rsidTr="0C17A3DC">
        <w:trPr>
          <w:trHeight w:val="300"/>
        </w:trPr>
        <w:tc>
          <w:tcPr>
            <w:tcW w:w="704" w:type="dxa"/>
          </w:tcPr>
          <w:p w14:paraId="6A49B831" w14:textId="77777777" w:rsidR="00B52911" w:rsidRDefault="00B52911" w:rsidP="00BA5D57"/>
        </w:tc>
        <w:tc>
          <w:tcPr>
            <w:tcW w:w="2126" w:type="dxa"/>
          </w:tcPr>
          <w:p w14:paraId="292C1A20" w14:textId="1385F880" w:rsidR="00B52911" w:rsidRDefault="00B52911" w:rsidP="00BA5D57">
            <w:r>
              <w:t>Formalne</w:t>
            </w:r>
          </w:p>
        </w:tc>
        <w:tc>
          <w:tcPr>
            <w:tcW w:w="6232" w:type="dxa"/>
          </w:tcPr>
          <w:p w14:paraId="1BF30DCD" w14:textId="39DC13A1" w:rsidR="00B52911" w:rsidRDefault="00B52911" w:rsidP="00BA5D57">
            <w:r>
              <w:t xml:space="preserve">Koszt transakcji musi być pokrywany przez Fundację Polska Bezgotówkowa (FPB). Za dopełnienie formalności w tym zakresie odpowiada Wykonawca. Zamawiający dopuszcza możliwość zawarcia dodatkowej umowy z Fundacją Polska Bezgotówkowa, o ile będzie to konieczne do prawidłowej realizacji zamówienia. </w:t>
            </w:r>
            <w:r w:rsidR="00DD0B2E">
              <w:t>Za o</w:t>
            </w:r>
            <w:r>
              <w:t>bsługę procesu w relacji pomiędzy Zamawiającym a FPB</w:t>
            </w:r>
            <w:r w:rsidR="00DD0B2E">
              <w:t xml:space="preserve"> odpowiada Wykonawca</w:t>
            </w:r>
          </w:p>
        </w:tc>
      </w:tr>
      <w:tr w:rsidR="001514FF" w14:paraId="1E487910" w14:textId="77777777" w:rsidTr="0C17A3DC">
        <w:trPr>
          <w:trHeight w:val="300"/>
        </w:trPr>
        <w:tc>
          <w:tcPr>
            <w:tcW w:w="704" w:type="dxa"/>
          </w:tcPr>
          <w:p w14:paraId="3A8C990F" w14:textId="77777777" w:rsidR="001514FF" w:rsidRDefault="001514FF" w:rsidP="00BA5D57"/>
        </w:tc>
        <w:tc>
          <w:tcPr>
            <w:tcW w:w="2126" w:type="dxa"/>
          </w:tcPr>
          <w:p w14:paraId="3ED89F27" w14:textId="445EC9F3" w:rsidR="001514FF" w:rsidRDefault="001514FF" w:rsidP="00BA5D57">
            <w:r>
              <w:t>Formalne</w:t>
            </w:r>
          </w:p>
        </w:tc>
        <w:tc>
          <w:tcPr>
            <w:tcW w:w="6232" w:type="dxa"/>
          </w:tcPr>
          <w:p w14:paraId="175E78AE" w14:textId="77BAB8C8" w:rsidR="001514FF" w:rsidRDefault="35CFDCC3" w:rsidP="00BA5D57">
            <w:r>
              <w:t>S</w:t>
            </w:r>
            <w:r w:rsidR="001514FF">
              <w:t>tron</w:t>
            </w:r>
            <w:r w:rsidR="7FA85CD1">
              <w:t>a</w:t>
            </w:r>
            <w:r w:rsidR="001514FF">
              <w:t xml:space="preserve"> do realizacji transakcji </w:t>
            </w:r>
            <w:r w:rsidR="582E4551">
              <w:t>będzie udostępniana przez KIR na zasadach uzgodnionych pomiędzy KIR a Wykonawcą</w:t>
            </w:r>
          </w:p>
        </w:tc>
      </w:tr>
      <w:tr w:rsidR="001A4A75" w14:paraId="08301B9A" w14:textId="77777777" w:rsidTr="0C17A3DC">
        <w:trPr>
          <w:trHeight w:val="300"/>
        </w:trPr>
        <w:tc>
          <w:tcPr>
            <w:tcW w:w="704" w:type="dxa"/>
          </w:tcPr>
          <w:p w14:paraId="38DE3674" w14:textId="77777777" w:rsidR="001A4A75" w:rsidRDefault="001A4A75" w:rsidP="00BA5D57"/>
        </w:tc>
        <w:tc>
          <w:tcPr>
            <w:tcW w:w="2126" w:type="dxa"/>
          </w:tcPr>
          <w:p w14:paraId="3FDBCB25" w14:textId="1119C97F" w:rsidR="001A4A75" w:rsidRDefault="001A4A75" w:rsidP="00BA5D57">
            <w:r>
              <w:t>Formalne</w:t>
            </w:r>
          </w:p>
        </w:tc>
        <w:tc>
          <w:tcPr>
            <w:tcW w:w="6232" w:type="dxa"/>
          </w:tcPr>
          <w:p w14:paraId="6E0D1D76" w14:textId="25515656" w:rsidR="001A4A75" w:rsidRDefault="001A4A75" w:rsidP="00BA5D57">
            <w:r>
              <w:t>Wymagane jest świadczenie usługi w trybie 365/7/24, przy czym Zamawiający dopuszcza maksymalnie jednogodzinną przerwę techniczną w ciągu doby. Przerwa taka może występować raz w stałej określonej porze pomiędzy godziną 23:00 a 3:00 dnia następnego.</w:t>
            </w:r>
          </w:p>
        </w:tc>
      </w:tr>
      <w:tr w:rsidR="00864B64" w14:paraId="5A6F5CB6" w14:textId="77777777" w:rsidTr="0C17A3DC">
        <w:trPr>
          <w:trHeight w:val="300"/>
        </w:trPr>
        <w:tc>
          <w:tcPr>
            <w:tcW w:w="704" w:type="dxa"/>
          </w:tcPr>
          <w:p w14:paraId="227CC78B" w14:textId="77777777" w:rsidR="00864B64" w:rsidRDefault="00864B64" w:rsidP="00BA5D57"/>
        </w:tc>
        <w:tc>
          <w:tcPr>
            <w:tcW w:w="2126" w:type="dxa"/>
          </w:tcPr>
          <w:p w14:paraId="27FFE2B6" w14:textId="05606749" w:rsidR="00864B64" w:rsidRDefault="00864B64" w:rsidP="00BA5D57">
            <w:r>
              <w:t>Formalne</w:t>
            </w:r>
          </w:p>
        </w:tc>
        <w:tc>
          <w:tcPr>
            <w:tcW w:w="6232" w:type="dxa"/>
          </w:tcPr>
          <w:p w14:paraId="1EA927FA" w14:textId="097106EE" w:rsidR="00864B64" w:rsidRDefault="00864B64" w:rsidP="00BA5D57">
            <w:r>
              <w:t>Obsługa reklamacji użytkowników, w tym żądań zwrotów, musi zostać zapewniona przez Wykonawcę.</w:t>
            </w:r>
          </w:p>
        </w:tc>
      </w:tr>
      <w:tr w:rsidR="00AE0414" w14:paraId="4D73A5CC" w14:textId="77777777" w:rsidTr="0C17A3DC">
        <w:trPr>
          <w:trHeight w:val="300"/>
        </w:trPr>
        <w:tc>
          <w:tcPr>
            <w:tcW w:w="704" w:type="dxa"/>
          </w:tcPr>
          <w:p w14:paraId="6DFF9BC7" w14:textId="10057D04" w:rsidR="00AE0414" w:rsidRDefault="00AE0414" w:rsidP="00BA5D57"/>
        </w:tc>
        <w:tc>
          <w:tcPr>
            <w:tcW w:w="2126" w:type="dxa"/>
          </w:tcPr>
          <w:p w14:paraId="28315973" w14:textId="4674EE05" w:rsidR="00AE0414" w:rsidRDefault="00D33BB7" w:rsidP="00BA5D57">
            <w:r>
              <w:t>Techniczne</w:t>
            </w:r>
          </w:p>
        </w:tc>
        <w:tc>
          <w:tcPr>
            <w:tcW w:w="6232" w:type="dxa"/>
          </w:tcPr>
          <w:p w14:paraId="08415557" w14:textId="5F7469F0" w:rsidR="00AE0414" w:rsidRDefault="00D33BB7" w:rsidP="00BA5D57">
            <w:r>
              <w:t xml:space="preserve">Formularz dokonywanej płatności </w:t>
            </w:r>
            <w:r w:rsidR="57C0EF51">
              <w:t>może być prewypełniany danymi uzgodnionymi pomiędzy Zamawiającym a Wykonawcą</w:t>
            </w:r>
          </w:p>
        </w:tc>
      </w:tr>
      <w:tr w:rsidR="00AE0414" w14:paraId="47F2FEE5" w14:textId="77777777" w:rsidTr="0C17A3DC">
        <w:trPr>
          <w:trHeight w:val="300"/>
        </w:trPr>
        <w:tc>
          <w:tcPr>
            <w:tcW w:w="704" w:type="dxa"/>
          </w:tcPr>
          <w:p w14:paraId="0CE897AA" w14:textId="4D0A9B73" w:rsidR="00AE0414" w:rsidRDefault="00AE0414" w:rsidP="00BA5D57"/>
        </w:tc>
        <w:tc>
          <w:tcPr>
            <w:tcW w:w="2126" w:type="dxa"/>
          </w:tcPr>
          <w:p w14:paraId="68AC6FFA" w14:textId="67BCF465" w:rsidR="00AE0414" w:rsidRDefault="00D31A47" w:rsidP="00BA5D57">
            <w:r>
              <w:t>Techniczne</w:t>
            </w:r>
          </w:p>
        </w:tc>
        <w:tc>
          <w:tcPr>
            <w:tcW w:w="6232" w:type="dxa"/>
          </w:tcPr>
          <w:p w14:paraId="3A50C71A" w14:textId="4AE9C7C7" w:rsidR="00AE0414" w:rsidRDefault="41F0905A" w:rsidP="00BA5D57">
            <w:r>
              <w:t>System płatności umożliwia</w:t>
            </w:r>
            <w:r w:rsidR="00D31A47">
              <w:t xml:space="preserve"> automatyczne przekierowan</w:t>
            </w:r>
            <w:r w:rsidR="0E7D1082">
              <w:t>ie</w:t>
            </w:r>
            <w:r w:rsidR="00D31A47">
              <w:t xml:space="preserve"> z powrotem do systemu Biznes.gov.pl po określonym czasie liczonym w sekundach (czas ten może podlegać konfiguracji)</w:t>
            </w:r>
            <w:r w:rsidR="76CE4FAD">
              <w:t xml:space="preserve"> lub umożliwi</w:t>
            </w:r>
            <w:r w:rsidR="00DD0B2E">
              <w:t xml:space="preserve"> </w:t>
            </w:r>
            <w:r w:rsidR="00D31A47">
              <w:t>użytkownikowi wykonanie akcji powrotu do systemu Biznes.gov.pl ręcznie.</w:t>
            </w:r>
          </w:p>
        </w:tc>
      </w:tr>
      <w:tr w:rsidR="00AE0414" w14:paraId="0ED0D835" w14:textId="77777777" w:rsidTr="0C17A3DC">
        <w:trPr>
          <w:trHeight w:val="300"/>
        </w:trPr>
        <w:tc>
          <w:tcPr>
            <w:tcW w:w="704" w:type="dxa"/>
          </w:tcPr>
          <w:p w14:paraId="24AABAC0" w14:textId="6659CBE2" w:rsidR="00AE0414" w:rsidRDefault="00AE0414" w:rsidP="00BA5D57"/>
        </w:tc>
        <w:tc>
          <w:tcPr>
            <w:tcW w:w="2126" w:type="dxa"/>
          </w:tcPr>
          <w:p w14:paraId="502977D9" w14:textId="254C23C8" w:rsidR="00AE0414" w:rsidRDefault="00D42E90" w:rsidP="00BA5D57">
            <w:r>
              <w:t>Techniczne</w:t>
            </w:r>
          </w:p>
        </w:tc>
        <w:tc>
          <w:tcPr>
            <w:tcW w:w="6232" w:type="dxa"/>
          </w:tcPr>
          <w:p w14:paraId="61E7A5CF" w14:textId="565318E6" w:rsidR="00AE0414" w:rsidRDefault="00D42E90" w:rsidP="00BA5D57">
            <w:r>
              <w:t xml:space="preserve">Realizacja transakcji będzie następowała w systemie </w:t>
            </w:r>
            <w:r w:rsidR="32024E13">
              <w:t>KIR lub zintegrowanym z nim systemie Wykonawcy</w:t>
            </w:r>
          </w:p>
        </w:tc>
      </w:tr>
      <w:tr w:rsidR="00AE0414" w14:paraId="1A85420D" w14:textId="77777777" w:rsidTr="0C17A3DC">
        <w:trPr>
          <w:trHeight w:val="300"/>
        </w:trPr>
        <w:tc>
          <w:tcPr>
            <w:tcW w:w="704" w:type="dxa"/>
          </w:tcPr>
          <w:p w14:paraId="3FB09CC1" w14:textId="09399021" w:rsidR="00AE0414" w:rsidRDefault="00AE0414" w:rsidP="00BA5D57"/>
        </w:tc>
        <w:tc>
          <w:tcPr>
            <w:tcW w:w="2126" w:type="dxa"/>
          </w:tcPr>
          <w:p w14:paraId="7D033334" w14:textId="16277E28" w:rsidR="00AE0414" w:rsidRDefault="00F6131C" w:rsidP="00BA5D57">
            <w:r>
              <w:t>Techniczne</w:t>
            </w:r>
          </w:p>
        </w:tc>
        <w:tc>
          <w:tcPr>
            <w:tcW w:w="6232" w:type="dxa"/>
          </w:tcPr>
          <w:p w14:paraId="7ED05CCE" w14:textId="0BD2488A" w:rsidR="00AE0414" w:rsidRDefault="00F6131C" w:rsidP="00BA5D57">
            <w:r>
              <w:t>Komunikacja i transmisja danych z centrum rozliczeniowym musi posiadać formę szyfrowaną.</w:t>
            </w:r>
          </w:p>
        </w:tc>
      </w:tr>
      <w:tr w:rsidR="00AE0414" w14:paraId="3126545B" w14:textId="77777777" w:rsidTr="0C17A3DC">
        <w:trPr>
          <w:trHeight w:val="300"/>
        </w:trPr>
        <w:tc>
          <w:tcPr>
            <w:tcW w:w="704" w:type="dxa"/>
          </w:tcPr>
          <w:p w14:paraId="76F95DB9" w14:textId="3B7C53EE" w:rsidR="00AE0414" w:rsidRDefault="00AE0414" w:rsidP="00BA5D57"/>
        </w:tc>
        <w:tc>
          <w:tcPr>
            <w:tcW w:w="2126" w:type="dxa"/>
          </w:tcPr>
          <w:p w14:paraId="05439FE7" w14:textId="1EFB06FA" w:rsidR="00AE0414" w:rsidRDefault="00F6131C" w:rsidP="00BA5D57">
            <w:r>
              <w:t>Techniczne</w:t>
            </w:r>
          </w:p>
        </w:tc>
        <w:tc>
          <w:tcPr>
            <w:tcW w:w="6232" w:type="dxa"/>
          </w:tcPr>
          <w:p w14:paraId="0E5A16B8" w14:textId="32D79A1D" w:rsidR="00AE0414" w:rsidRDefault="00F6131C" w:rsidP="00BA5D57">
            <w:r>
              <w:t>Wykonawca musi udostępniać możliwość akceptacji co najmniej następujących kart: Visa, Mastercard</w:t>
            </w:r>
            <w:r w:rsidR="009E044D">
              <w:t>.</w:t>
            </w:r>
          </w:p>
        </w:tc>
      </w:tr>
      <w:tr w:rsidR="00AE0414" w14:paraId="1AADAC99" w14:textId="77777777" w:rsidTr="0C17A3DC">
        <w:trPr>
          <w:trHeight w:val="300"/>
        </w:trPr>
        <w:tc>
          <w:tcPr>
            <w:tcW w:w="704" w:type="dxa"/>
          </w:tcPr>
          <w:p w14:paraId="674470C2" w14:textId="1A14EA75" w:rsidR="00AE0414" w:rsidRDefault="00AE0414" w:rsidP="00BA5D57"/>
        </w:tc>
        <w:tc>
          <w:tcPr>
            <w:tcW w:w="2126" w:type="dxa"/>
          </w:tcPr>
          <w:p w14:paraId="267EF3C9" w14:textId="6A6F1682" w:rsidR="00AE0414" w:rsidRDefault="001514FF" w:rsidP="00BA5D57">
            <w:r>
              <w:t>Techniczne</w:t>
            </w:r>
          </w:p>
        </w:tc>
        <w:tc>
          <w:tcPr>
            <w:tcW w:w="6232" w:type="dxa"/>
          </w:tcPr>
          <w:p w14:paraId="6F5B3FDB" w14:textId="0EA7D6E5" w:rsidR="00AE0414" w:rsidRDefault="001514FF" w:rsidP="00BA5D57">
            <w:r>
              <w:t>Potwierdzenia dokonania płatności muszą być generowane w czasie rzeczywistym.</w:t>
            </w:r>
          </w:p>
        </w:tc>
      </w:tr>
      <w:tr w:rsidR="001514FF" w14:paraId="546739DC" w14:textId="77777777" w:rsidTr="0C17A3DC">
        <w:trPr>
          <w:trHeight w:val="300"/>
        </w:trPr>
        <w:tc>
          <w:tcPr>
            <w:tcW w:w="704" w:type="dxa"/>
          </w:tcPr>
          <w:p w14:paraId="7894EE76" w14:textId="77777777" w:rsidR="001514FF" w:rsidRDefault="001514FF" w:rsidP="00BA5D57"/>
        </w:tc>
        <w:tc>
          <w:tcPr>
            <w:tcW w:w="2126" w:type="dxa"/>
          </w:tcPr>
          <w:p w14:paraId="048D2E97" w14:textId="71CB6005" w:rsidR="001514FF" w:rsidRDefault="00B34477" w:rsidP="00BA5D57">
            <w:r>
              <w:t>Formalno-techniczne</w:t>
            </w:r>
          </w:p>
        </w:tc>
        <w:tc>
          <w:tcPr>
            <w:tcW w:w="6232" w:type="dxa"/>
          </w:tcPr>
          <w:p w14:paraId="374104F0" w14:textId="40A2B1F3" w:rsidR="001514FF" w:rsidRDefault="00B34477" w:rsidP="00BA5D57">
            <w:r>
              <w:t>Wykonawca będzie generował raporty o dokonanych transakcjach na żądanie Zamawiającego w czasie nie dłuższym niż 1 dzień roboczy. Żądanie Zamawiającego będzie zawierało wymagane parametry transakcji. Dopuszczalne parametry: data transakcji lub zakres dat, kwota transakcji lub zakres kwot, id transakcji, status, typ karty, kod autoryzacji, inne udostępnione przez Wykonawcę.</w:t>
            </w:r>
          </w:p>
        </w:tc>
      </w:tr>
      <w:tr w:rsidR="001514FF" w14:paraId="73A32E37" w14:textId="77777777" w:rsidTr="0C17A3DC">
        <w:trPr>
          <w:trHeight w:val="300"/>
        </w:trPr>
        <w:tc>
          <w:tcPr>
            <w:tcW w:w="704" w:type="dxa"/>
          </w:tcPr>
          <w:p w14:paraId="062C2070" w14:textId="77777777" w:rsidR="001514FF" w:rsidRDefault="001514FF" w:rsidP="00BA5D57"/>
        </w:tc>
        <w:tc>
          <w:tcPr>
            <w:tcW w:w="2126" w:type="dxa"/>
          </w:tcPr>
          <w:p w14:paraId="65E50F93" w14:textId="2D73338D" w:rsidR="001514FF" w:rsidRDefault="00030DEE" w:rsidP="00BA5D57">
            <w:r>
              <w:t>Formalno-techniczne</w:t>
            </w:r>
          </w:p>
        </w:tc>
        <w:tc>
          <w:tcPr>
            <w:tcW w:w="6232" w:type="dxa"/>
          </w:tcPr>
          <w:p w14:paraId="7838399B" w14:textId="7C751C92" w:rsidR="001514FF" w:rsidRDefault="4546A03E" w:rsidP="00BA5D57">
            <w:r>
              <w:t>Wykonawca zapewni dedykowany kanał obsługi zgłoszeń/pytań Zamawiającego dotyczących obsługiwanych płatności. Kanał musi obejmować: 1) dedykowany adres e-mail lub system rejestracji zgłoszeń 2) numer telefonu. Rozwiązanie musi funkcjonować co najmniej w dni robocze w godzinach 8-16</w:t>
            </w:r>
            <w:r w:rsidR="1A15CB13">
              <w:t xml:space="preserve"> i działać z uwzględnieniem SLA zaoferowanego przez Wykonawcę.</w:t>
            </w:r>
          </w:p>
          <w:p w14:paraId="1F935EA9" w14:textId="08F6DC1F" w:rsidR="001514FF" w:rsidRDefault="43766E2F" w:rsidP="00BA5D57">
            <w:r>
              <w:t>Zgłoszenia może dokonać dowolny pracownik Zamawiającego, zapewniony kanał zgłoszeń musi umożliwiać dokonanie potwierdzenia przyjęcia zgłoszenia. Do czasu realizacji nie wlicza się czas oczekiwania W</w:t>
            </w:r>
            <w:r w:rsidR="30B6B6C9">
              <w:t>ykonawcy na odpowiedź na pytania skierowane do Zamawiającego lub użytkownika.</w:t>
            </w:r>
          </w:p>
        </w:tc>
      </w:tr>
    </w:tbl>
    <w:p w14:paraId="08827F54" w14:textId="77777777" w:rsidR="00BA5D57" w:rsidRDefault="00BA5D57" w:rsidP="00BA5D57"/>
    <w:p w14:paraId="3139610F" w14:textId="77777777" w:rsidR="00BA5D57" w:rsidRDefault="00BA5D57" w:rsidP="00BA5D57"/>
    <w:p w14:paraId="713004CF" w14:textId="540BEEDE" w:rsidR="00977CD9" w:rsidRDefault="00977CD9" w:rsidP="00C930A9">
      <w:pPr>
        <w:pStyle w:val="Nagwek1"/>
        <w:numPr>
          <w:ilvl w:val="0"/>
          <w:numId w:val="6"/>
        </w:numPr>
      </w:pPr>
      <w:bookmarkStart w:id="3" w:name="_Toc193966569"/>
      <w:r>
        <w:t>Okres realizacji zamówienia</w:t>
      </w:r>
      <w:bookmarkEnd w:id="3"/>
    </w:p>
    <w:p w14:paraId="0EFCD6CA" w14:textId="51A3D058" w:rsidR="00977CD9" w:rsidRDefault="00977CD9" w:rsidP="002335FD">
      <w:r>
        <w:t xml:space="preserve">Umowa zostaje zawarta na okres </w:t>
      </w:r>
      <w:r w:rsidR="009268AE">
        <w:t>24</w:t>
      </w:r>
      <w:r>
        <w:t xml:space="preserve"> miesięcy</w:t>
      </w:r>
      <w:r w:rsidR="002335FD">
        <w:t>, przy czym usługa świadczona będzie od czasu wdrożenia systemu płatności zintegrowanego z systemem Biznes.gov.pl. Integracja taka musi nastąpić w terminie nie dłuższym niż 3 miesiące od dnia podpisania umowy.</w:t>
      </w:r>
    </w:p>
    <w:p w14:paraId="23847878" w14:textId="0D978D34" w:rsidR="00AE0414" w:rsidRDefault="00AE0414" w:rsidP="00977CD9">
      <w:r>
        <w:t>Umowa może zostać wypowiedziana przez Zamawiającego</w:t>
      </w:r>
      <w:r w:rsidR="00B52911">
        <w:t xml:space="preserve"> z zachowaniem jednomiesięcznego okresu wypowiedzenia</w:t>
      </w:r>
      <w:r>
        <w:t xml:space="preserve"> w dowolnym momencie po upływie 6 miesięcy w </w:t>
      </w:r>
      <w:r w:rsidR="00D87DBB">
        <w:t>przypadku,</w:t>
      </w:r>
      <w:r>
        <w:t xml:space="preserve"> gdy jej dalsza realizacja nie leży w interesie publicznym.</w:t>
      </w:r>
      <w:r w:rsidR="00B52911">
        <w:t xml:space="preserve"> Umowa może zostać wypowiedziana przez </w:t>
      </w:r>
      <w:r w:rsidR="00B52911">
        <w:lastRenderedPageBreak/>
        <w:t>Zamawiającego z jednomiesięcznym okresem wypowiedzenia w przypadku zakończenia relacji umownej Zamawiającego z dotychczasowym dostawcą usług rozliczeniowych.</w:t>
      </w:r>
    </w:p>
    <w:p w14:paraId="59F0E7B9" w14:textId="1C3B9C54" w:rsidR="00B52911" w:rsidRDefault="00B52911" w:rsidP="00977CD9">
      <w:r>
        <w:t>Umowa może ulec rozwiązaniu w przypadku wystąpienia okoliczności, w których nie będzie możliwe pokrycie kosztu transakcji przez Fundację Polska Bezgotówkowa.</w:t>
      </w:r>
    </w:p>
    <w:p w14:paraId="06E9BD25" w14:textId="77777777" w:rsidR="00977CD9" w:rsidRDefault="00977CD9" w:rsidP="00977CD9"/>
    <w:p w14:paraId="1E45A296" w14:textId="4132D3E8" w:rsidR="008466AB" w:rsidRDefault="008466AB" w:rsidP="00C930A9">
      <w:pPr>
        <w:pStyle w:val="Nagwek1"/>
        <w:numPr>
          <w:ilvl w:val="0"/>
          <w:numId w:val="6"/>
        </w:numPr>
      </w:pPr>
      <w:bookmarkStart w:id="4" w:name="_Toc193966570"/>
      <w:r>
        <w:t>Wymagania względem Wykonawcy</w:t>
      </w:r>
      <w:bookmarkEnd w:id="4"/>
    </w:p>
    <w:p w14:paraId="0CD62BC9" w14:textId="21FA902E" w:rsidR="008466AB" w:rsidRDefault="005E6459" w:rsidP="008466AB">
      <w:r>
        <w:t>Wykonawca musi posiadać następujące uprawnienia lub prawa do wykonywania działalności:</w:t>
      </w:r>
    </w:p>
    <w:p w14:paraId="395723C7" w14:textId="783BBC42" w:rsidR="005E6459" w:rsidRDefault="005E6459" w:rsidP="00D87DBB">
      <w:pPr>
        <w:pStyle w:val="Akapitzlist"/>
        <w:numPr>
          <w:ilvl w:val="0"/>
          <w:numId w:val="8"/>
        </w:numPr>
      </w:pPr>
      <w:r>
        <w:t>Posiada uprawnienia do obsługi i rozliczania transakcji bezgotówkowych opłacanych kartami płatniczymi w rozumieniu art. 4 ust.1 pkt. 4 ustawy z dnia 29 sierpnia 1997r - Prawo bankowe (t.j. Dz. U. z 2024 r. poz. 1646, 1685);</w:t>
      </w:r>
    </w:p>
    <w:p w14:paraId="1E4816F1" w14:textId="7531BC95" w:rsidR="005E6459" w:rsidRDefault="005E6459" w:rsidP="00D87DBB">
      <w:pPr>
        <w:pStyle w:val="Akapitzlist"/>
        <w:numPr>
          <w:ilvl w:val="0"/>
          <w:numId w:val="8"/>
        </w:numPr>
      </w:pPr>
      <w:r>
        <w:t>Posiada uprawnienia agenta rozliczeniowego  w rozumieniu art. 2 pkt. 1 a) ustawy z dnia 19 sierpnia 2011 r. o usługach płatniczych (t.j. Dz. U. z 2024 r. poz. 30, 731, 1222)</w:t>
      </w:r>
      <w:r w:rsidR="00B84495">
        <w:t>;</w:t>
      </w:r>
    </w:p>
    <w:p w14:paraId="39AA7312" w14:textId="4F4AEB20" w:rsidR="00B84495" w:rsidRDefault="00B84495" w:rsidP="00D87DBB">
      <w:pPr>
        <w:pStyle w:val="Akapitzlist"/>
        <w:numPr>
          <w:ilvl w:val="0"/>
          <w:numId w:val="8"/>
        </w:numPr>
      </w:pPr>
      <w:r>
        <w:t>Wykonawca musi posiadać certyfikat PCI DSS (Payment Card Industry Data Security Standard).</w:t>
      </w:r>
    </w:p>
    <w:p w14:paraId="1C5F8ED2" w14:textId="77777777" w:rsidR="005E6459" w:rsidRDefault="005E6459" w:rsidP="005E6459"/>
    <w:p w14:paraId="0F672163" w14:textId="4CE170D2" w:rsidR="00BA5D57" w:rsidRDefault="00BA5D57" w:rsidP="00C930A9">
      <w:pPr>
        <w:pStyle w:val="Nagwek1"/>
        <w:numPr>
          <w:ilvl w:val="0"/>
          <w:numId w:val="6"/>
        </w:numPr>
      </w:pPr>
      <w:bookmarkStart w:id="5" w:name="_Toc193966571"/>
      <w:r>
        <w:t>Kryteria</w:t>
      </w:r>
      <w:r w:rsidR="009E044D">
        <w:t xml:space="preserve"> punktacji ofert</w:t>
      </w:r>
      <w:bookmarkEnd w:id="5"/>
    </w:p>
    <w:p w14:paraId="4B37318C" w14:textId="77777777" w:rsidR="00977CD9" w:rsidRDefault="00977CD9" w:rsidP="00977CD9">
      <w:pPr>
        <w:pStyle w:val="Akapitzlist"/>
      </w:pPr>
    </w:p>
    <w:p w14:paraId="537123CA" w14:textId="77777777" w:rsidR="009E044D" w:rsidRDefault="009E044D" w:rsidP="00977CD9">
      <w:pPr>
        <w:pStyle w:val="Akapitzlist"/>
      </w:pPr>
    </w:p>
    <w:p w14:paraId="3875E151" w14:textId="17B1DAD2" w:rsidR="009E044D" w:rsidRDefault="00977CD9" w:rsidP="009E044D">
      <w:pPr>
        <w:pStyle w:val="Akapitzlist"/>
        <w:numPr>
          <w:ilvl w:val="0"/>
          <w:numId w:val="4"/>
        </w:numPr>
      </w:pPr>
      <w:r>
        <w:t xml:space="preserve">Możliwość akceptacji </w:t>
      </w:r>
      <w:r w:rsidR="009E044D">
        <w:t>typów kart (maksymalnie 10 punktów):</w:t>
      </w:r>
    </w:p>
    <w:p w14:paraId="635814E4" w14:textId="77777777" w:rsidR="009E044D" w:rsidRDefault="009E044D" w:rsidP="009E044D">
      <w:pPr>
        <w:pStyle w:val="Akapitzlist"/>
        <w:ind w:left="1080"/>
      </w:pPr>
    </w:p>
    <w:tbl>
      <w:tblPr>
        <w:tblStyle w:val="Tabela-Siatka"/>
        <w:tblW w:w="0" w:type="auto"/>
        <w:tblInd w:w="1080" w:type="dxa"/>
        <w:tblLook w:val="04A0" w:firstRow="1" w:lastRow="0" w:firstColumn="1" w:lastColumn="0" w:noHBand="0" w:noVBand="1"/>
      </w:tblPr>
      <w:tblGrid>
        <w:gridCol w:w="4020"/>
        <w:gridCol w:w="3962"/>
      </w:tblGrid>
      <w:tr w:rsidR="009E044D" w14:paraId="1EEF63E2" w14:textId="77777777" w:rsidTr="009E044D">
        <w:tc>
          <w:tcPr>
            <w:tcW w:w="4020" w:type="dxa"/>
            <w:shd w:val="clear" w:color="auto" w:fill="D9F2D0" w:themeFill="accent6" w:themeFillTint="33"/>
          </w:tcPr>
          <w:p w14:paraId="2AB5A60D" w14:textId="42B51479" w:rsidR="009E044D" w:rsidRDefault="009E044D" w:rsidP="009E044D">
            <w:pPr>
              <w:pStyle w:val="Akapitzlist"/>
              <w:ind w:left="0"/>
            </w:pPr>
            <w:r>
              <w:t>Typ karty</w:t>
            </w:r>
          </w:p>
        </w:tc>
        <w:tc>
          <w:tcPr>
            <w:tcW w:w="3962" w:type="dxa"/>
            <w:shd w:val="clear" w:color="auto" w:fill="D9F2D0" w:themeFill="accent6" w:themeFillTint="33"/>
          </w:tcPr>
          <w:p w14:paraId="15B013AC" w14:textId="1ADB5BF0" w:rsidR="009E044D" w:rsidRDefault="009E044D" w:rsidP="009E044D">
            <w:pPr>
              <w:pStyle w:val="Akapitzlist"/>
              <w:ind w:left="0"/>
            </w:pPr>
            <w:r>
              <w:t>Tak/Nie</w:t>
            </w:r>
          </w:p>
        </w:tc>
      </w:tr>
      <w:tr w:rsidR="009E044D" w14:paraId="67FC8850" w14:textId="77777777" w:rsidTr="009E044D">
        <w:tc>
          <w:tcPr>
            <w:tcW w:w="4020" w:type="dxa"/>
          </w:tcPr>
          <w:p w14:paraId="60D7A9FE" w14:textId="46A0535A" w:rsidR="009E044D" w:rsidRDefault="009E044D" w:rsidP="009E044D">
            <w:pPr>
              <w:pStyle w:val="Akapitzlist"/>
              <w:ind w:left="0"/>
            </w:pPr>
            <w:r>
              <w:t>Visa</w:t>
            </w:r>
          </w:p>
        </w:tc>
        <w:tc>
          <w:tcPr>
            <w:tcW w:w="3962" w:type="dxa"/>
          </w:tcPr>
          <w:p w14:paraId="4CA16DC2" w14:textId="49FA10B4" w:rsidR="009E044D" w:rsidRDefault="009E044D" w:rsidP="009E044D">
            <w:pPr>
              <w:pStyle w:val="Akapitzlist"/>
              <w:ind w:left="0"/>
            </w:pPr>
            <w:r>
              <w:t>Tak (obowiązkowe)</w:t>
            </w:r>
          </w:p>
        </w:tc>
      </w:tr>
      <w:tr w:rsidR="009E044D" w14:paraId="0A20E356" w14:textId="77777777" w:rsidTr="009E044D">
        <w:tc>
          <w:tcPr>
            <w:tcW w:w="4020" w:type="dxa"/>
          </w:tcPr>
          <w:p w14:paraId="12E26397" w14:textId="75BF2174" w:rsidR="009E044D" w:rsidRDefault="009E044D" w:rsidP="009E044D">
            <w:pPr>
              <w:pStyle w:val="Akapitzlist"/>
              <w:ind w:left="0"/>
            </w:pPr>
            <w:r>
              <w:t>Mastercard</w:t>
            </w:r>
          </w:p>
        </w:tc>
        <w:tc>
          <w:tcPr>
            <w:tcW w:w="3962" w:type="dxa"/>
          </w:tcPr>
          <w:p w14:paraId="12135141" w14:textId="67425170" w:rsidR="009E044D" w:rsidRDefault="009E044D" w:rsidP="009E044D">
            <w:pPr>
              <w:pStyle w:val="Akapitzlist"/>
              <w:ind w:left="0"/>
            </w:pPr>
            <w:r>
              <w:t>Tak (obowiązkowe)</w:t>
            </w:r>
          </w:p>
        </w:tc>
      </w:tr>
      <w:tr w:rsidR="009E044D" w14:paraId="3E26783E" w14:textId="77777777" w:rsidTr="009E044D">
        <w:tc>
          <w:tcPr>
            <w:tcW w:w="4020" w:type="dxa"/>
          </w:tcPr>
          <w:p w14:paraId="2ABE20FA" w14:textId="05E9A08F" w:rsidR="009E044D" w:rsidRDefault="009E044D" w:rsidP="009E044D">
            <w:pPr>
              <w:pStyle w:val="Akapitzlist"/>
              <w:ind w:left="0"/>
            </w:pPr>
            <w:r>
              <w:t>American Express</w:t>
            </w:r>
          </w:p>
        </w:tc>
        <w:tc>
          <w:tcPr>
            <w:tcW w:w="3962" w:type="dxa"/>
          </w:tcPr>
          <w:p w14:paraId="5B03DC47" w14:textId="28820836" w:rsidR="009E044D" w:rsidRDefault="009E044D" w:rsidP="009E044D">
            <w:pPr>
              <w:pStyle w:val="Akapitzlist"/>
              <w:ind w:left="0"/>
            </w:pPr>
            <w:r>
              <w:t>Tak/Nie (max. 10 punktów)</w:t>
            </w:r>
          </w:p>
        </w:tc>
      </w:tr>
    </w:tbl>
    <w:p w14:paraId="6B25BE1D" w14:textId="77777777" w:rsidR="009E044D" w:rsidRDefault="009E044D" w:rsidP="009E044D">
      <w:pPr>
        <w:pStyle w:val="Akapitzlist"/>
        <w:ind w:left="1080"/>
      </w:pPr>
    </w:p>
    <w:p w14:paraId="56415AA8" w14:textId="59CC6BF3" w:rsidR="00977CD9" w:rsidRDefault="00977CD9" w:rsidP="009E044D">
      <w:pPr>
        <w:pStyle w:val="Akapitzlist"/>
        <w:ind w:left="1080"/>
      </w:pPr>
      <w:r>
        <w:t xml:space="preserve"> </w:t>
      </w:r>
      <w:r w:rsidR="00030DC3">
        <w:t>Punkty zostaną przyznane w przypadku zaoferowania obsługi kart dodatkowego wydawcy, tj. American Express na zasadach określonych w niniejszym OPZ, bez dodatkowych kosztów dla Zamawiającego z tego tytułu. Obsługa kart American Express nie jest obowiązkowa, w przypadku braku zaoferowania obsługi kart tego wydawcy na zasadach określonych w OPZ, Wykonawca będzie zobligowany wyłącznie do obsługi kart Visa i Mastercard.</w:t>
      </w:r>
    </w:p>
    <w:p w14:paraId="368FC114" w14:textId="77777777" w:rsidR="00977CD9" w:rsidRDefault="00977CD9" w:rsidP="00977CD9">
      <w:pPr>
        <w:pStyle w:val="Akapitzlist"/>
      </w:pPr>
    </w:p>
    <w:p w14:paraId="39B23429" w14:textId="77777777" w:rsidR="00ED159E" w:rsidRDefault="00ED159E" w:rsidP="00977CD9">
      <w:pPr>
        <w:pStyle w:val="Akapitzlist"/>
      </w:pPr>
    </w:p>
    <w:p w14:paraId="44A513E9" w14:textId="46F5C409" w:rsidR="00ED159E" w:rsidRDefault="00ED159E" w:rsidP="00ED159E">
      <w:pPr>
        <w:pStyle w:val="Akapitzlist"/>
        <w:numPr>
          <w:ilvl w:val="0"/>
          <w:numId w:val="4"/>
        </w:numPr>
      </w:pPr>
      <w:r>
        <w:t>Czasy SLA</w:t>
      </w:r>
      <w:r w:rsidR="006F1E34">
        <w:t xml:space="preserve"> (maksymalnie 40 punktów):</w:t>
      </w:r>
    </w:p>
    <w:p w14:paraId="7FC6D351" w14:textId="77777777" w:rsidR="006F1E34" w:rsidRDefault="006F1E34" w:rsidP="006F1E34">
      <w:pPr>
        <w:pStyle w:val="Akapitzlist"/>
        <w:ind w:left="1080"/>
      </w:pPr>
    </w:p>
    <w:p w14:paraId="15C35878" w14:textId="683245BA" w:rsidR="00977CD9" w:rsidRDefault="006F1E34" w:rsidP="00DB3DE6">
      <w:pPr>
        <w:pStyle w:val="Akapitzlist"/>
        <w:numPr>
          <w:ilvl w:val="0"/>
          <w:numId w:val="5"/>
        </w:numPr>
      </w:pPr>
      <w:r>
        <w:t>Czas podjęcia zgłoszenia</w:t>
      </w:r>
      <w:r w:rsidR="00DB3DE6">
        <w:t xml:space="preserve"> (maksymalnie 20 punktów)</w:t>
      </w:r>
    </w:p>
    <w:p w14:paraId="1D8D229E" w14:textId="77777777" w:rsidR="006F1E34" w:rsidRDefault="006F1E34" w:rsidP="006F1E34">
      <w:pPr>
        <w:pStyle w:val="Akapitzlist"/>
        <w:ind w:left="1080"/>
      </w:pPr>
    </w:p>
    <w:p w14:paraId="658A36D8" w14:textId="358FDDC2" w:rsidR="00DB3DE6" w:rsidRDefault="00DB3DE6" w:rsidP="006F1E34">
      <w:pPr>
        <w:pStyle w:val="Akapitzlist"/>
        <w:ind w:left="1080"/>
      </w:pPr>
      <w:r>
        <w:t xml:space="preserve">Punkty będą przyznane według wzoru: </w:t>
      </w:r>
    </w:p>
    <w:p w14:paraId="5562E52C" w14:textId="0ED66171" w:rsidR="00DB3DE6" w:rsidRDefault="00DB3DE6" w:rsidP="006F1E34">
      <w:pPr>
        <w:pStyle w:val="Akapitzlist"/>
        <w:ind w:left="1080"/>
      </w:pPr>
      <w:r>
        <w:lastRenderedPageBreak/>
        <w:t>Czas z oferty z najszybszym czasem podjęcia zgłoszenia / czas oferty badanej * 20 pkt</w:t>
      </w:r>
    </w:p>
    <w:p w14:paraId="291BEA78" w14:textId="65E4FE84" w:rsidR="00DB3DE6" w:rsidRDefault="00DB3DE6" w:rsidP="006F1E34">
      <w:pPr>
        <w:pStyle w:val="Akapitzlist"/>
        <w:ind w:left="1080"/>
      </w:pPr>
      <w:r>
        <w:t>Wynik zostanie zaokrąglony do dwóch cyfr po przecinku.</w:t>
      </w:r>
    </w:p>
    <w:p w14:paraId="243DF624" w14:textId="77777777" w:rsidR="006F1E34" w:rsidRDefault="006F1E34" w:rsidP="006F1E34">
      <w:pPr>
        <w:pStyle w:val="Akapitzlist"/>
        <w:ind w:left="1080"/>
      </w:pPr>
    </w:p>
    <w:p w14:paraId="5456DCE0" w14:textId="792F4007" w:rsidR="00BA5D57" w:rsidRDefault="006F1E34" w:rsidP="00DB3DE6">
      <w:pPr>
        <w:pStyle w:val="Akapitzlist"/>
        <w:numPr>
          <w:ilvl w:val="0"/>
          <w:numId w:val="5"/>
        </w:numPr>
      </w:pPr>
      <w:r>
        <w:t>Czas realizacji zgłoszenia</w:t>
      </w:r>
      <w:r w:rsidR="00DB3DE6">
        <w:t xml:space="preserve"> (maksymalnie 20 punktów)</w:t>
      </w:r>
    </w:p>
    <w:p w14:paraId="4A3D518C" w14:textId="77777777" w:rsidR="00DB3DE6" w:rsidRDefault="00DB3DE6" w:rsidP="00DB3DE6">
      <w:pPr>
        <w:ind w:left="1080"/>
      </w:pPr>
    </w:p>
    <w:p w14:paraId="3E6F98CF" w14:textId="77777777" w:rsidR="00DB3DE6" w:rsidRDefault="00DB3DE6" w:rsidP="00DB3DE6">
      <w:pPr>
        <w:pStyle w:val="Akapitzlist"/>
        <w:ind w:left="1080"/>
      </w:pPr>
      <w:r>
        <w:t xml:space="preserve">Punkty będą przyznane według wzoru: </w:t>
      </w:r>
    </w:p>
    <w:p w14:paraId="5A46068E" w14:textId="7454BCCA" w:rsidR="00DB3DE6" w:rsidRDefault="00DB3DE6" w:rsidP="00DB3DE6">
      <w:pPr>
        <w:pStyle w:val="Akapitzlist"/>
        <w:ind w:left="1080"/>
      </w:pPr>
      <w:r>
        <w:t>Czas z oferty z najszybszym czasem realizacji zgłoszenia / czas oferty badanej * 20 pkt</w:t>
      </w:r>
    </w:p>
    <w:p w14:paraId="4B7648C2" w14:textId="77777777" w:rsidR="00DB3DE6" w:rsidRDefault="00DB3DE6" w:rsidP="00DB3DE6">
      <w:pPr>
        <w:pStyle w:val="Akapitzlist"/>
        <w:ind w:left="1080"/>
      </w:pPr>
      <w:r>
        <w:t>Wynik zostanie zaokrąglony do dwóch cyfr po przecinku.</w:t>
      </w:r>
    </w:p>
    <w:p w14:paraId="0C3C9DF9" w14:textId="77777777" w:rsidR="00DB3DE6" w:rsidRDefault="00DB3DE6" w:rsidP="00DB3DE6">
      <w:pPr>
        <w:pStyle w:val="Akapitzlist"/>
        <w:ind w:left="1080"/>
      </w:pPr>
    </w:p>
    <w:p w14:paraId="657693B4" w14:textId="002F6199" w:rsidR="00DB3DE6" w:rsidRDefault="00DB3DE6" w:rsidP="00DB3DE6">
      <w:pPr>
        <w:pStyle w:val="Akapitzlist"/>
        <w:ind w:left="1080"/>
      </w:pPr>
      <w:r>
        <w:t>Czasy podjęcia i realizacji zgłoszenia muszą zostać podane w pełnych godzinach</w:t>
      </w:r>
      <w:r w:rsidR="1B110B65">
        <w:t>, przy uwzględnieniu minimalnego wymogu funkcjonowania kanału zgłoszeń w dni robocze w godzinach 8-16.</w:t>
      </w:r>
    </w:p>
    <w:p w14:paraId="6A30F738" w14:textId="77777777" w:rsidR="00DB3DE6" w:rsidRDefault="00DB3DE6" w:rsidP="00DB3DE6">
      <w:pPr>
        <w:pStyle w:val="Akapitzlist"/>
        <w:ind w:left="1080"/>
      </w:pPr>
    </w:p>
    <w:p w14:paraId="6E32F38A" w14:textId="77777777" w:rsidR="00DB3DE6" w:rsidRDefault="00DB3DE6" w:rsidP="00DB3DE6">
      <w:pPr>
        <w:pStyle w:val="Akapitzlist"/>
        <w:ind w:left="1080"/>
      </w:pPr>
    </w:p>
    <w:p w14:paraId="1EA517E8" w14:textId="1E4B677D" w:rsidR="00DB3DE6" w:rsidRDefault="00DB3DE6" w:rsidP="00DB3DE6">
      <w:pPr>
        <w:pStyle w:val="Akapitzlist"/>
        <w:ind w:left="1080"/>
      </w:pPr>
      <w:r>
        <w:t>Za najkorzystniejszą zostanie uznana oferta, która osiągnie najlepszy bilans punktowy w zdefiniowanych kryteriach a) i b). W przypadku równej liczby punktów, decydować będzie czas złożenia ofert, tj. wybrana zostanie oferta, która została złożona najwcześniej.</w:t>
      </w:r>
    </w:p>
    <w:p w14:paraId="20F38DFF" w14:textId="77777777" w:rsidR="00BA5D57" w:rsidRDefault="00BA5D57" w:rsidP="00BA5D57"/>
    <w:p w14:paraId="71140DDD" w14:textId="65C2FF00" w:rsidR="00BA5D57" w:rsidRDefault="00BA5D57" w:rsidP="00C930A9">
      <w:pPr>
        <w:pStyle w:val="Nagwek1"/>
        <w:numPr>
          <w:ilvl w:val="0"/>
          <w:numId w:val="6"/>
        </w:numPr>
      </w:pPr>
      <w:bookmarkStart w:id="6" w:name="_Toc193966572"/>
      <w:r>
        <w:t>Sposób i termin składania ofert</w:t>
      </w:r>
      <w:bookmarkEnd w:id="6"/>
    </w:p>
    <w:p w14:paraId="6CDBE42F" w14:textId="668C97C5" w:rsidR="00BA5D57" w:rsidRDefault="00B84495" w:rsidP="00B84495">
      <w:pPr>
        <w:ind w:left="360"/>
      </w:pPr>
      <w:r>
        <w:t xml:space="preserve">Podpisane oferty należy przesłać drogą mailową na adres: </w:t>
      </w:r>
      <w:r w:rsidR="00DD0B2E">
        <w:t>michal.packowski@mrit.gov.pl</w:t>
      </w:r>
      <w:r>
        <w:t xml:space="preserve"> do dnia</w:t>
      </w:r>
      <w:r w:rsidR="00E57FF3">
        <w:t xml:space="preserve"> 9</w:t>
      </w:r>
      <w:r w:rsidR="00DD0B2E">
        <w:t xml:space="preserve"> kwietnia </w:t>
      </w:r>
      <w:r>
        <w:t>2025 r.</w:t>
      </w:r>
    </w:p>
    <w:p w14:paraId="6568CD65" w14:textId="592CB20C" w:rsidR="00B84495" w:rsidRDefault="00B84495" w:rsidP="00B84495">
      <w:pPr>
        <w:ind w:left="360"/>
      </w:pPr>
      <w:r>
        <w:t>Kompletna oferta musi zawierać formularz ofertowy</w:t>
      </w:r>
      <w:r w:rsidR="0026516B">
        <w:t xml:space="preserve"> oraz ewentualne pełnomocnictwo do złożenia oferty.</w:t>
      </w:r>
    </w:p>
    <w:p w14:paraId="083E97CC" w14:textId="2EAEE725" w:rsidR="009E044D" w:rsidRDefault="009E044D" w:rsidP="009E044D"/>
    <w:p w14:paraId="314B88ED" w14:textId="4A175390" w:rsidR="00BA5D57" w:rsidRDefault="00BA5D57" w:rsidP="00037025">
      <w:pPr>
        <w:pStyle w:val="Nagwek1"/>
        <w:numPr>
          <w:ilvl w:val="0"/>
          <w:numId w:val="6"/>
        </w:numPr>
      </w:pPr>
      <w:bookmarkStart w:id="7" w:name="_Toc193966573"/>
      <w:r>
        <w:t>Postanowienia końcowe</w:t>
      </w:r>
      <w:bookmarkEnd w:id="7"/>
    </w:p>
    <w:p w14:paraId="163E3CC8" w14:textId="536EEB36" w:rsidR="00BA5D57" w:rsidRDefault="00057223" w:rsidP="00057223">
      <w:pPr>
        <w:pStyle w:val="Akapitzlist"/>
        <w:numPr>
          <w:ilvl w:val="0"/>
          <w:numId w:val="7"/>
        </w:numPr>
      </w:pPr>
      <w:r>
        <w:t>Treść umowy będzie podlegała uzgodnieniom między Zamawiającym a wybranym Wykonawcą.</w:t>
      </w:r>
    </w:p>
    <w:p w14:paraId="654020AE" w14:textId="77777777" w:rsidR="00886392" w:rsidRDefault="00886392" w:rsidP="00886392">
      <w:pPr>
        <w:pStyle w:val="Akapitzlist"/>
        <w:numPr>
          <w:ilvl w:val="0"/>
          <w:numId w:val="7"/>
        </w:numPr>
      </w:pPr>
      <w:r>
        <w:t>Niniejsza oferta nie stanowi oferty w myśl art. 66 Kodeksu Cywilnego, jak również nie jest</w:t>
      </w:r>
    </w:p>
    <w:p w14:paraId="649A702A" w14:textId="28D3C924" w:rsidR="00886392" w:rsidRDefault="00886392" w:rsidP="00886392">
      <w:pPr>
        <w:pStyle w:val="Akapitzlist"/>
      </w:pPr>
      <w:r>
        <w:t>ogłoszeniem w rozumieniu ustawy Prawo zamówień publicznych. Zamawiający zastrzega sobie prawo do odstąpienia od udzielenia zamówienia bez podania przyczyn.</w:t>
      </w:r>
    </w:p>
    <w:p w14:paraId="375810F3" w14:textId="77777777" w:rsidR="00886392" w:rsidRDefault="00886392" w:rsidP="00886392">
      <w:pPr>
        <w:pStyle w:val="Akapitzlist"/>
        <w:numPr>
          <w:ilvl w:val="0"/>
          <w:numId w:val="7"/>
        </w:numPr>
      </w:pPr>
      <w:r>
        <w:t>W celu zapewnienia porównywalności ofert Zamawiający zastrzega sobie prawo do</w:t>
      </w:r>
    </w:p>
    <w:p w14:paraId="01B61978" w14:textId="32488045" w:rsidR="00886392" w:rsidRDefault="00886392" w:rsidP="00886392">
      <w:pPr>
        <w:pStyle w:val="Akapitzlist"/>
      </w:pPr>
      <w:r>
        <w:t>skontaktowania się (telefonicznie, e-mailowo) z Oferentami, których dokumenty będą wymagały uzupełnienia, wyjaśnienia lub doprecyzowania. Dokumenty, co do których dany Oferent nie dokonał uzupełnień, wyjaśnień lub doprecyzowania w terminie wyznaczonym przez Zamawiającego nie będą rozpatrywane.</w:t>
      </w:r>
    </w:p>
    <w:p w14:paraId="6612CB69" w14:textId="4DC3A862" w:rsidR="00886392" w:rsidRDefault="00886392" w:rsidP="00886392">
      <w:pPr>
        <w:pStyle w:val="Akapitzlist"/>
        <w:numPr>
          <w:ilvl w:val="0"/>
          <w:numId w:val="7"/>
        </w:numPr>
      </w:pPr>
      <w:r>
        <w:lastRenderedPageBreak/>
        <w:t>Zamawiający zastrzega sobie prawo do odpowiedzi tylko na ofertę wybraną, jako najkorzystniejszą.</w:t>
      </w:r>
    </w:p>
    <w:p w14:paraId="6734CA07" w14:textId="0EAFB150" w:rsidR="00886392" w:rsidRDefault="00886392" w:rsidP="00886392">
      <w:pPr>
        <w:pStyle w:val="Akapitzlist"/>
        <w:numPr>
          <w:ilvl w:val="0"/>
          <w:numId w:val="7"/>
        </w:numPr>
      </w:pPr>
      <w:r>
        <w:t>Zamawiający informuje, iż całościowa oferowana cena stanowi informację publiczną w rozumieniu Ustawy o dostępie do informacji publicznej z dnia 6 września 2001 r.</w:t>
      </w:r>
    </w:p>
    <w:p w14:paraId="7C38028A" w14:textId="77777777" w:rsidR="00BA5D57" w:rsidRDefault="00BA5D57"/>
    <w:p w14:paraId="524AA345" w14:textId="77777777" w:rsidR="00BA5D57" w:rsidRDefault="00BA5D57"/>
    <w:p w14:paraId="377C2327" w14:textId="77777777" w:rsidR="00BA5D57" w:rsidRDefault="00BA5D57"/>
    <w:p w14:paraId="09812FB0" w14:textId="77777777" w:rsidR="00BA5D57" w:rsidRDefault="00BA5D57"/>
    <w:p w14:paraId="2D5E1561" w14:textId="77777777" w:rsidR="00BA5D57" w:rsidRDefault="00BA5D57"/>
    <w:p w14:paraId="405CCFBF" w14:textId="77777777" w:rsidR="00BA5D57" w:rsidRDefault="00BA5D57"/>
    <w:sectPr w:rsidR="00BA5D5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0907" w14:textId="77777777" w:rsidR="00931F2A" w:rsidRDefault="00931F2A" w:rsidP="00BA5D57">
      <w:pPr>
        <w:spacing w:after="0" w:line="240" w:lineRule="auto"/>
      </w:pPr>
      <w:r>
        <w:separator/>
      </w:r>
    </w:p>
  </w:endnote>
  <w:endnote w:type="continuationSeparator" w:id="0">
    <w:p w14:paraId="3F304390" w14:textId="77777777" w:rsidR="00931F2A" w:rsidRDefault="00931F2A" w:rsidP="00BA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611E" w14:textId="77777777" w:rsidR="00931F2A" w:rsidRDefault="00931F2A" w:rsidP="00BA5D57">
      <w:pPr>
        <w:spacing w:after="0" w:line="240" w:lineRule="auto"/>
      </w:pPr>
      <w:r>
        <w:separator/>
      </w:r>
    </w:p>
  </w:footnote>
  <w:footnote w:type="continuationSeparator" w:id="0">
    <w:p w14:paraId="292CF58E" w14:textId="77777777" w:rsidR="00931F2A" w:rsidRDefault="00931F2A" w:rsidP="00BA5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1467" w14:textId="4E7374EA" w:rsidR="00BA5D57" w:rsidRDefault="00BA5D57">
    <w:pPr>
      <w:pStyle w:val="Nagwek"/>
    </w:pPr>
    <w:r>
      <w:rPr>
        <w:noProof/>
      </w:rPr>
      <w:drawing>
        <wp:inline distT="0" distB="0" distL="0" distR="0" wp14:anchorId="13B0385D" wp14:editId="4D624810">
          <wp:extent cx="5753100" cy="822960"/>
          <wp:effectExtent l="0" t="0" r="0" b="0"/>
          <wp:docPr id="19508764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1E0"/>
    <w:multiLevelType w:val="hybridMultilevel"/>
    <w:tmpl w:val="85C084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60FBC"/>
    <w:multiLevelType w:val="hybridMultilevel"/>
    <w:tmpl w:val="80E2F4B4"/>
    <w:lvl w:ilvl="0" w:tplc="C8D0708E">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D0A4DD2"/>
    <w:multiLevelType w:val="hybridMultilevel"/>
    <w:tmpl w:val="9142F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EA1711"/>
    <w:multiLevelType w:val="hybridMultilevel"/>
    <w:tmpl w:val="DC901B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047374"/>
    <w:multiLevelType w:val="hybridMultilevel"/>
    <w:tmpl w:val="6EAAF4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78773B"/>
    <w:multiLevelType w:val="hybridMultilevel"/>
    <w:tmpl w:val="F0E0606C"/>
    <w:lvl w:ilvl="0" w:tplc="71009C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74F11B32"/>
    <w:multiLevelType w:val="hybridMultilevel"/>
    <w:tmpl w:val="6A1E61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6346B84"/>
    <w:multiLevelType w:val="hybridMultilevel"/>
    <w:tmpl w:val="F1CA6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035115">
    <w:abstractNumId w:val="2"/>
  </w:num>
  <w:num w:numId="2" w16cid:durableId="78137333">
    <w:abstractNumId w:val="4"/>
  </w:num>
  <w:num w:numId="3" w16cid:durableId="58675680">
    <w:abstractNumId w:val="6"/>
  </w:num>
  <w:num w:numId="4" w16cid:durableId="317268728">
    <w:abstractNumId w:val="5"/>
  </w:num>
  <w:num w:numId="5" w16cid:durableId="474688003">
    <w:abstractNumId w:val="1"/>
  </w:num>
  <w:num w:numId="6" w16cid:durableId="1450781027">
    <w:abstractNumId w:val="7"/>
  </w:num>
  <w:num w:numId="7" w16cid:durableId="136806054">
    <w:abstractNumId w:val="3"/>
  </w:num>
  <w:num w:numId="8" w16cid:durableId="210707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EF"/>
    <w:rsid w:val="00030DC3"/>
    <w:rsid w:val="00030DEE"/>
    <w:rsid w:val="00037025"/>
    <w:rsid w:val="00057223"/>
    <w:rsid w:val="000B26A9"/>
    <w:rsid w:val="001514FF"/>
    <w:rsid w:val="001978FB"/>
    <w:rsid w:val="001A4A75"/>
    <w:rsid w:val="001C6679"/>
    <w:rsid w:val="002335FD"/>
    <w:rsid w:val="0026516B"/>
    <w:rsid w:val="0034383D"/>
    <w:rsid w:val="004C335C"/>
    <w:rsid w:val="00505658"/>
    <w:rsid w:val="005157E3"/>
    <w:rsid w:val="00586923"/>
    <w:rsid w:val="005E41EF"/>
    <w:rsid w:val="005E4C69"/>
    <w:rsid w:val="005E6459"/>
    <w:rsid w:val="006108F0"/>
    <w:rsid w:val="006110E7"/>
    <w:rsid w:val="00642D29"/>
    <w:rsid w:val="00644658"/>
    <w:rsid w:val="006805B8"/>
    <w:rsid w:val="006F1E34"/>
    <w:rsid w:val="007C6DAF"/>
    <w:rsid w:val="00802AFF"/>
    <w:rsid w:val="0082123C"/>
    <w:rsid w:val="008466AB"/>
    <w:rsid w:val="00864B64"/>
    <w:rsid w:val="00886392"/>
    <w:rsid w:val="009268AE"/>
    <w:rsid w:val="00931F2A"/>
    <w:rsid w:val="00935ABF"/>
    <w:rsid w:val="009371D8"/>
    <w:rsid w:val="00977CD9"/>
    <w:rsid w:val="009E044D"/>
    <w:rsid w:val="00A56E95"/>
    <w:rsid w:val="00A61306"/>
    <w:rsid w:val="00A855A7"/>
    <w:rsid w:val="00AE0414"/>
    <w:rsid w:val="00B213AA"/>
    <w:rsid w:val="00B34477"/>
    <w:rsid w:val="00B52911"/>
    <w:rsid w:val="00B84495"/>
    <w:rsid w:val="00B87FB1"/>
    <w:rsid w:val="00BA5D57"/>
    <w:rsid w:val="00BC78A4"/>
    <w:rsid w:val="00BE4951"/>
    <w:rsid w:val="00C930A9"/>
    <w:rsid w:val="00CA74F9"/>
    <w:rsid w:val="00CF16C3"/>
    <w:rsid w:val="00D10C49"/>
    <w:rsid w:val="00D31A47"/>
    <w:rsid w:val="00D33BB7"/>
    <w:rsid w:val="00D42E90"/>
    <w:rsid w:val="00D87DBB"/>
    <w:rsid w:val="00DB3DE6"/>
    <w:rsid w:val="00DD0B2E"/>
    <w:rsid w:val="00DD4FDC"/>
    <w:rsid w:val="00E21B1A"/>
    <w:rsid w:val="00E57FF3"/>
    <w:rsid w:val="00ED159E"/>
    <w:rsid w:val="00EF2600"/>
    <w:rsid w:val="00F2382F"/>
    <w:rsid w:val="00F6131C"/>
    <w:rsid w:val="00F757FF"/>
    <w:rsid w:val="00F75B9D"/>
    <w:rsid w:val="0811C3D9"/>
    <w:rsid w:val="0C17A3DC"/>
    <w:rsid w:val="0C53653A"/>
    <w:rsid w:val="0E7D1082"/>
    <w:rsid w:val="10615C8E"/>
    <w:rsid w:val="1A15CB13"/>
    <w:rsid w:val="1AFA145E"/>
    <w:rsid w:val="1B110B65"/>
    <w:rsid w:val="1B83D5B3"/>
    <w:rsid w:val="23D52DC8"/>
    <w:rsid w:val="24C94301"/>
    <w:rsid w:val="2E943AE0"/>
    <w:rsid w:val="2F1209F0"/>
    <w:rsid w:val="30B6B6C9"/>
    <w:rsid w:val="32024E13"/>
    <w:rsid w:val="35CFDCC3"/>
    <w:rsid w:val="41F0905A"/>
    <w:rsid w:val="43766E2F"/>
    <w:rsid w:val="4546A03E"/>
    <w:rsid w:val="485876F3"/>
    <w:rsid w:val="4AC1EB9E"/>
    <w:rsid w:val="4C413709"/>
    <w:rsid w:val="4E941F2D"/>
    <w:rsid w:val="57A9239A"/>
    <w:rsid w:val="57C0EF51"/>
    <w:rsid w:val="582E4551"/>
    <w:rsid w:val="5B576FCA"/>
    <w:rsid w:val="610B4CB6"/>
    <w:rsid w:val="6355D799"/>
    <w:rsid w:val="63632BDE"/>
    <w:rsid w:val="6E14EB01"/>
    <w:rsid w:val="741600C0"/>
    <w:rsid w:val="758E261D"/>
    <w:rsid w:val="76CE4FAD"/>
    <w:rsid w:val="7FA85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1D03"/>
  <w15:chartTrackingRefBased/>
  <w15:docId w15:val="{3AD2952F-921F-4DFA-AD9A-1B5E383E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E4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E4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E41E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E41E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E41E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E41E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41E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41E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41E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41E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41E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41E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41E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41E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41E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41E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41E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41EF"/>
    <w:rPr>
      <w:rFonts w:eastAsiaTheme="majorEastAsia" w:cstheme="majorBidi"/>
      <w:color w:val="272727" w:themeColor="text1" w:themeTint="D8"/>
    </w:rPr>
  </w:style>
  <w:style w:type="paragraph" w:styleId="Tytu">
    <w:name w:val="Title"/>
    <w:basedOn w:val="Normalny"/>
    <w:next w:val="Normalny"/>
    <w:link w:val="TytuZnak"/>
    <w:uiPriority w:val="10"/>
    <w:qFormat/>
    <w:rsid w:val="005E4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E41E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41E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41E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41EF"/>
    <w:pPr>
      <w:spacing w:before="160"/>
      <w:jc w:val="center"/>
    </w:pPr>
    <w:rPr>
      <w:i/>
      <w:iCs/>
      <w:color w:val="404040" w:themeColor="text1" w:themeTint="BF"/>
    </w:rPr>
  </w:style>
  <w:style w:type="character" w:customStyle="1" w:styleId="CytatZnak">
    <w:name w:val="Cytat Znak"/>
    <w:basedOn w:val="Domylnaczcionkaakapitu"/>
    <w:link w:val="Cytat"/>
    <w:uiPriority w:val="29"/>
    <w:rsid w:val="005E41EF"/>
    <w:rPr>
      <w:i/>
      <w:iCs/>
      <w:color w:val="404040" w:themeColor="text1" w:themeTint="BF"/>
    </w:rPr>
  </w:style>
  <w:style w:type="paragraph" w:styleId="Akapitzlist">
    <w:name w:val="List Paragraph"/>
    <w:basedOn w:val="Normalny"/>
    <w:uiPriority w:val="34"/>
    <w:qFormat/>
    <w:rsid w:val="005E41EF"/>
    <w:pPr>
      <w:ind w:left="720"/>
      <w:contextualSpacing/>
    </w:pPr>
  </w:style>
  <w:style w:type="character" w:styleId="Wyrnienieintensywne">
    <w:name w:val="Intense Emphasis"/>
    <w:basedOn w:val="Domylnaczcionkaakapitu"/>
    <w:uiPriority w:val="21"/>
    <w:qFormat/>
    <w:rsid w:val="005E41EF"/>
    <w:rPr>
      <w:i/>
      <w:iCs/>
      <w:color w:val="0F4761" w:themeColor="accent1" w:themeShade="BF"/>
    </w:rPr>
  </w:style>
  <w:style w:type="paragraph" w:styleId="Cytatintensywny">
    <w:name w:val="Intense Quote"/>
    <w:basedOn w:val="Normalny"/>
    <w:next w:val="Normalny"/>
    <w:link w:val="CytatintensywnyZnak"/>
    <w:uiPriority w:val="30"/>
    <w:qFormat/>
    <w:rsid w:val="005E4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E41EF"/>
    <w:rPr>
      <w:i/>
      <w:iCs/>
      <w:color w:val="0F4761" w:themeColor="accent1" w:themeShade="BF"/>
    </w:rPr>
  </w:style>
  <w:style w:type="character" w:styleId="Odwoanieintensywne">
    <w:name w:val="Intense Reference"/>
    <w:basedOn w:val="Domylnaczcionkaakapitu"/>
    <w:uiPriority w:val="32"/>
    <w:qFormat/>
    <w:rsid w:val="005E41EF"/>
    <w:rPr>
      <w:b/>
      <w:bCs/>
      <w:smallCaps/>
      <w:color w:val="0F4761" w:themeColor="accent1" w:themeShade="BF"/>
      <w:spacing w:val="5"/>
    </w:rPr>
  </w:style>
  <w:style w:type="paragraph" w:styleId="Nagwek">
    <w:name w:val="header"/>
    <w:basedOn w:val="Normalny"/>
    <w:link w:val="NagwekZnak"/>
    <w:uiPriority w:val="99"/>
    <w:unhideWhenUsed/>
    <w:rsid w:val="00BA5D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5D57"/>
  </w:style>
  <w:style w:type="paragraph" w:styleId="Stopka">
    <w:name w:val="footer"/>
    <w:basedOn w:val="Normalny"/>
    <w:link w:val="StopkaZnak"/>
    <w:uiPriority w:val="99"/>
    <w:unhideWhenUsed/>
    <w:rsid w:val="00BA5D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5D57"/>
  </w:style>
  <w:style w:type="paragraph" w:styleId="Nagwekspisutreci">
    <w:name w:val="TOC Heading"/>
    <w:basedOn w:val="Nagwek1"/>
    <w:next w:val="Normalny"/>
    <w:uiPriority w:val="39"/>
    <w:unhideWhenUsed/>
    <w:qFormat/>
    <w:rsid w:val="00BA5D57"/>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82123C"/>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87DBB"/>
    <w:pPr>
      <w:tabs>
        <w:tab w:val="left" w:pos="440"/>
        <w:tab w:val="right" w:leader="dot" w:pos="9062"/>
      </w:tabs>
      <w:spacing w:after="100"/>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82123C"/>
    <w:pPr>
      <w:spacing w:after="100"/>
      <w:ind w:left="440"/>
    </w:pPr>
    <w:rPr>
      <w:rFonts w:eastAsiaTheme="minorEastAsia" w:cs="Times New Roman"/>
      <w:kern w:val="0"/>
      <w:lang w:eastAsia="pl-PL"/>
      <w14:ligatures w14:val="none"/>
    </w:rPr>
  </w:style>
  <w:style w:type="table" w:styleId="Tabela-Siatka">
    <w:name w:val="Table Grid"/>
    <w:basedOn w:val="Standardowy"/>
    <w:uiPriority w:val="39"/>
    <w:rsid w:val="00AE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D4FDC"/>
    <w:rPr>
      <w:color w:val="467886" w:themeColor="hyperlink"/>
      <w:u w:val="single"/>
    </w:rPr>
  </w:style>
  <w:style w:type="character" w:styleId="Odwoaniedokomentarza">
    <w:name w:val="annotation reference"/>
    <w:basedOn w:val="Domylnaczcionkaakapitu"/>
    <w:uiPriority w:val="99"/>
    <w:semiHidden/>
    <w:unhideWhenUsed/>
    <w:rsid w:val="00F2382F"/>
    <w:rPr>
      <w:sz w:val="16"/>
      <w:szCs w:val="16"/>
    </w:rPr>
  </w:style>
  <w:style w:type="paragraph" w:styleId="Tekstkomentarza">
    <w:name w:val="annotation text"/>
    <w:basedOn w:val="Normalny"/>
    <w:link w:val="TekstkomentarzaZnak"/>
    <w:uiPriority w:val="99"/>
    <w:unhideWhenUsed/>
    <w:rsid w:val="00F2382F"/>
    <w:pPr>
      <w:spacing w:line="240" w:lineRule="auto"/>
    </w:pPr>
    <w:rPr>
      <w:sz w:val="20"/>
      <w:szCs w:val="20"/>
    </w:rPr>
  </w:style>
  <w:style w:type="character" w:customStyle="1" w:styleId="TekstkomentarzaZnak">
    <w:name w:val="Tekst komentarza Znak"/>
    <w:basedOn w:val="Domylnaczcionkaakapitu"/>
    <w:link w:val="Tekstkomentarza"/>
    <w:uiPriority w:val="99"/>
    <w:rsid w:val="00F2382F"/>
    <w:rPr>
      <w:sz w:val="20"/>
      <w:szCs w:val="20"/>
    </w:rPr>
  </w:style>
  <w:style w:type="paragraph" w:styleId="Tematkomentarza">
    <w:name w:val="annotation subject"/>
    <w:basedOn w:val="Tekstkomentarza"/>
    <w:next w:val="Tekstkomentarza"/>
    <w:link w:val="TematkomentarzaZnak"/>
    <w:uiPriority w:val="99"/>
    <w:semiHidden/>
    <w:unhideWhenUsed/>
    <w:rsid w:val="00F2382F"/>
    <w:rPr>
      <w:b/>
      <w:bCs/>
    </w:rPr>
  </w:style>
  <w:style w:type="character" w:customStyle="1" w:styleId="TematkomentarzaZnak">
    <w:name w:val="Temat komentarza Znak"/>
    <w:basedOn w:val="TekstkomentarzaZnak"/>
    <w:link w:val="Tematkomentarza"/>
    <w:uiPriority w:val="99"/>
    <w:semiHidden/>
    <w:rsid w:val="00F2382F"/>
    <w:rPr>
      <w:b/>
      <w:bCs/>
      <w:sz w:val="20"/>
      <w:szCs w:val="20"/>
    </w:rPr>
  </w:style>
  <w:style w:type="paragraph" w:styleId="Poprawka">
    <w:name w:val="Revision"/>
    <w:hidden/>
    <w:uiPriority w:val="99"/>
    <w:semiHidden/>
    <w:rsid w:val="00BC7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A111E210B308419C262E67DEB99A8D" ma:contentTypeVersion="14" ma:contentTypeDescription="Utwórz nowy dokument." ma:contentTypeScope="" ma:versionID="8814fd9ec2c44f33507055f2389e2b83">
  <xsd:schema xmlns:xsd="http://www.w3.org/2001/XMLSchema" xmlns:xs="http://www.w3.org/2001/XMLSchema" xmlns:p="http://schemas.microsoft.com/office/2006/metadata/properties" xmlns:ns2="3726bff6-6e3c-464e-adb0-62b4f5963c6f" xmlns:ns3="19515cc8-4b44-4355-b1a4-00204ae87b37" targetNamespace="http://schemas.microsoft.com/office/2006/metadata/properties" ma:root="true" ma:fieldsID="b39ca3d387b64004a7b96f3f0cc7c183" ns2:_="" ns3:_="">
    <xsd:import namespace="3726bff6-6e3c-464e-adb0-62b4f5963c6f"/>
    <xsd:import namespace="19515cc8-4b44-4355-b1a4-00204ae87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6bff6-6e3c-464e-adb0-62b4f5963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b205d356-f1e1-40f3-a99e-c475332e209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515cc8-4b44-4355-b1a4-00204ae87b37"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c5ce96d8-2f50-41a7-af4a-4ed8642823bc}" ma:internalName="TaxCatchAll" ma:showField="CatchAllData" ma:web="19515cc8-4b44-4355-b1a4-00204ae87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26bff6-6e3c-464e-adb0-62b4f5963c6f">
      <Terms xmlns="http://schemas.microsoft.com/office/infopath/2007/PartnerControls"/>
    </lcf76f155ced4ddcb4097134ff3c332f>
    <TaxCatchAll xmlns="19515cc8-4b44-4355-b1a4-00204ae87b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8BDF-A289-4FA1-AE6C-F42D94640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6bff6-6e3c-464e-adb0-62b4f5963c6f"/>
    <ds:schemaRef ds:uri="19515cc8-4b44-4355-b1a4-00204ae87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0597B-78FE-462E-9739-A8406C849448}">
  <ds:schemaRefs>
    <ds:schemaRef ds:uri="http://schemas.microsoft.com/office/2006/metadata/properties"/>
    <ds:schemaRef ds:uri="http://schemas.microsoft.com/office/infopath/2007/PartnerControls"/>
    <ds:schemaRef ds:uri="3726bff6-6e3c-464e-adb0-62b4f5963c6f"/>
    <ds:schemaRef ds:uri="19515cc8-4b44-4355-b1a4-00204ae87b37"/>
  </ds:schemaRefs>
</ds:datastoreItem>
</file>

<file path=customXml/itemProps3.xml><?xml version="1.0" encoding="utf-8"?>
<ds:datastoreItem xmlns:ds="http://schemas.openxmlformats.org/officeDocument/2006/customXml" ds:itemID="{DF8E5748-999C-47EB-A8D9-9E35AF8D96D5}">
  <ds:schemaRefs>
    <ds:schemaRef ds:uri="http://schemas.microsoft.com/sharepoint/v3/contenttype/forms"/>
  </ds:schemaRefs>
</ds:datastoreItem>
</file>

<file path=customXml/itemProps4.xml><?xml version="1.0" encoding="utf-8"?>
<ds:datastoreItem xmlns:ds="http://schemas.openxmlformats.org/officeDocument/2006/customXml" ds:itemID="{73267D54-118A-4436-B7AF-486B77F1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1388</Words>
  <Characters>8328</Characters>
  <Application>Microsoft Office Word</Application>
  <DocSecurity>0</DocSecurity>
  <Lines>69</Lines>
  <Paragraphs>19</Paragraphs>
  <ScaleCrop>false</ScaleCrop>
  <Company>IT</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Paćkowski Michał</dc:creator>
  <cp:keywords/>
  <dc:description/>
  <cp:lastModifiedBy>Makowski Marcin</cp:lastModifiedBy>
  <cp:revision>65</cp:revision>
  <dcterms:created xsi:type="dcterms:W3CDTF">2024-12-24T06:11:00Z</dcterms:created>
  <dcterms:modified xsi:type="dcterms:W3CDTF">2025-03-27T10:16:00Z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0x0101001FA111E210B308419C262E67DEB99A8D</vt:lpwstr>
  </property>
  <property fmtid="{D5CDD505-2E9C-101B-9397-08002B2CF9AE}" pid="3" name="MediaServiceImageTags">
    <vt:lpwstr/>
  </property>
</Properties>
</file>