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CFD" w:rsidRPr="00667C94" w:rsidRDefault="00992B1D" w:rsidP="0050681F">
      <w:pPr>
        <w:tabs>
          <w:tab w:val="left" w:pos="3402"/>
          <w:tab w:val="left" w:pos="7371"/>
        </w:tabs>
        <w:spacing w:after="0" w:line="240" w:lineRule="auto"/>
        <w:ind w:left="-142"/>
        <w:rPr>
          <w:sz w:val="24"/>
          <w:szCs w:val="24"/>
        </w:rPr>
      </w:pPr>
      <w:bookmarkStart w:id="0" w:name="_GoBack"/>
      <w:bookmarkEnd w:id="0"/>
      <w:r w:rsidRPr="00FB1DD3">
        <w:rPr>
          <w:noProof/>
          <w:lang w:eastAsia="pl-PL"/>
        </w:rPr>
        <w:drawing>
          <wp:inline distT="0" distB="0" distL="0" distR="0">
            <wp:extent cx="2519362" cy="605512"/>
            <wp:effectExtent l="0" t="0" r="0" b="4445"/>
            <wp:docPr id="3" name="Obraz 3" descr="Minis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Minister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7634" cy="617114"/>
                    </a:xfrm>
                    <a:prstGeom prst="rect">
                      <a:avLst/>
                    </a:prstGeom>
                    <a:noFill/>
                    <a:ln>
                      <a:noFill/>
                    </a:ln>
                  </pic:spPr>
                </pic:pic>
              </a:graphicData>
            </a:graphic>
          </wp:inline>
        </w:drawing>
      </w:r>
    </w:p>
    <w:p w:rsidR="00992B1D" w:rsidRPr="0076443A" w:rsidRDefault="007975C3" w:rsidP="00992B1D">
      <w:pPr>
        <w:spacing w:after="0" w:line="240" w:lineRule="auto"/>
        <w:ind w:left="5670" w:hanging="5670"/>
        <w:rPr>
          <w:color w:val="000000"/>
        </w:rPr>
      </w:pPr>
      <w:r>
        <w:rPr>
          <w:sz w:val="20"/>
          <w:szCs w:val="20"/>
        </w:rPr>
        <w:tab/>
      </w:r>
      <w:r w:rsidR="008102B9">
        <w:t xml:space="preserve">Warszawa, </w:t>
      </w:r>
      <w:r w:rsidR="008102B9" w:rsidRPr="00E92580">
        <w:rPr>
          <w:i/>
        </w:rPr>
        <w:t>/elektroniczny znacznik czasu/</w:t>
      </w:r>
    </w:p>
    <w:p w:rsidR="00992B1D" w:rsidRPr="0076443A" w:rsidRDefault="008102B9" w:rsidP="00992B1D">
      <w:pPr>
        <w:tabs>
          <w:tab w:val="right" w:pos="9356"/>
        </w:tabs>
        <w:spacing w:after="0" w:line="240" w:lineRule="auto"/>
        <w:rPr>
          <w:color w:val="000000"/>
        </w:rPr>
      </w:pPr>
      <w:r>
        <w:t>DP-WLM-0231-58/2021</w:t>
      </w:r>
      <w:r w:rsidR="00FC261A">
        <w:t>/MM</w:t>
      </w:r>
      <w:r w:rsidR="00992B1D">
        <w:tab/>
      </w:r>
    </w:p>
    <w:p w:rsidR="00992B1D" w:rsidRDefault="00992B1D" w:rsidP="00E84002">
      <w:pPr>
        <w:tabs>
          <w:tab w:val="left" w:pos="4678"/>
        </w:tabs>
        <w:spacing w:after="120" w:line="240" w:lineRule="auto"/>
        <w:rPr>
          <w:b/>
        </w:rPr>
      </w:pPr>
    </w:p>
    <w:p w:rsidR="00B56130" w:rsidRDefault="00B56130" w:rsidP="00992B1D">
      <w:pPr>
        <w:tabs>
          <w:tab w:val="left" w:pos="4678"/>
        </w:tabs>
        <w:spacing w:after="120" w:line="240" w:lineRule="auto"/>
        <w:ind w:left="4678" w:firstLine="992"/>
        <w:rPr>
          <w:b/>
        </w:rPr>
      </w:pPr>
    </w:p>
    <w:p w:rsidR="00B25F5A" w:rsidRDefault="00B25F5A" w:rsidP="007311AA">
      <w:pPr>
        <w:spacing w:after="120"/>
        <w:ind w:firstLine="4962"/>
        <w:jc w:val="both"/>
        <w:rPr>
          <w:b/>
        </w:rPr>
      </w:pPr>
    </w:p>
    <w:p w:rsidR="003C446E" w:rsidRDefault="007311AA" w:rsidP="003C446E">
      <w:pPr>
        <w:spacing w:after="120"/>
        <w:ind w:firstLine="4962"/>
        <w:jc w:val="both"/>
        <w:rPr>
          <w:b/>
        </w:rPr>
      </w:pPr>
      <w:r>
        <w:rPr>
          <w:b/>
        </w:rPr>
        <w:t>Pan</w:t>
      </w:r>
    </w:p>
    <w:p w:rsidR="003C446E" w:rsidRPr="003C446E" w:rsidRDefault="003C446E" w:rsidP="003C446E">
      <w:pPr>
        <w:spacing w:after="120"/>
        <w:ind w:firstLine="4962"/>
        <w:jc w:val="both"/>
        <w:rPr>
          <w:b/>
        </w:rPr>
      </w:pPr>
      <w:r w:rsidRPr="003C446E">
        <w:rPr>
          <w:rFonts w:asciiTheme="minorHAnsi" w:hAnsiTheme="minorHAnsi" w:cstheme="minorHAnsi"/>
          <w:b/>
        </w:rPr>
        <w:t>Konrad Szymański</w:t>
      </w:r>
    </w:p>
    <w:p w:rsidR="003C446E" w:rsidRPr="003C446E" w:rsidRDefault="003C446E" w:rsidP="003C446E">
      <w:pPr>
        <w:spacing w:after="120"/>
        <w:ind w:firstLine="4962"/>
        <w:jc w:val="both"/>
        <w:rPr>
          <w:b/>
        </w:rPr>
      </w:pPr>
      <w:r w:rsidRPr="000B1E0A">
        <w:rPr>
          <w:rFonts w:asciiTheme="minorHAnsi" w:hAnsiTheme="minorHAnsi" w:cstheme="minorHAnsi"/>
        </w:rPr>
        <w:t>Minister do Spraw Unii Europejskiej</w:t>
      </w:r>
    </w:p>
    <w:p w:rsidR="00992B1D" w:rsidRDefault="00992B1D" w:rsidP="007311AA">
      <w:pPr>
        <w:spacing w:after="120"/>
        <w:ind w:firstLine="4962"/>
        <w:jc w:val="both"/>
        <w:rPr>
          <w:b/>
        </w:rPr>
      </w:pPr>
    </w:p>
    <w:p w:rsidR="00DC3FAA" w:rsidRPr="007311AA" w:rsidRDefault="00DC3FAA" w:rsidP="009E053F">
      <w:pPr>
        <w:spacing w:after="120"/>
        <w:jc w:val="both"/>
        <w:rPr>
          <w:i/>
          <w:sz w:val="23"/>
          <w:szCs w:val="23"/>
        </w:rPr>
      </w:pPr>
    </w:p>
    <w:p w:rsidR="007311AA" w:rsidRPr="00DC3FAA" w:rsidRDefault="007311AA" w:rsidP="007311AA">
      <w:pPr>
        <w:spacing w:after="0"/>
        <w:jc w:val="both"/>
        <w:rPr>
          <w:i/>
        </w:rPr>
      </w:pPr>
      <w:r w:rsidRPr="00DC3FAA">
        <w:rPr>
          <w:i/>
        </w:rPr>
        <w:t>Szanowny Panie Ministrze,</w:t>
      </w:r>
    </w:p>
    <w:p w:rsidR="00EB7066" w:rsidRDefault="00DC3FAA" w:rsidP="000D0600">
      <w:pPr>
        <w:pStyle w:val="Akapitzlist"/>
        <w:spacing w:after="0"/>
        <w:ind w:left="0" w:firstLine="708"/>
        <w:jc w:val="both"/>
      </w:pPr>
      <w:r>
        <w:t>W odpowiedzi na pismo nr</w:t>
      </w:r>
      <w:r w:rsidR="003C446E">
        <w:t xml:space="preserve"> </w:t>
      </w:r>
      <w:r w:rsidR="00BE101F">
        <w:rPr>
          <w:rFonts w:asciiTheme="minorHAnsi" w:hAnsiTheme="minorHAnsi" w:cstheme="minorHAnsi"/>
        </w:rPr>
        <w:t>DPUE.920.2300.2021.EBK(10</w:t>
      </w:r>
      <w:r w:rsidR="003C446E" w:rsidRPr="000D24E3">
        <w:rPr>
          <w:rFonts w:asciiTheme="minorHAnsi" w:hAnsiTheme="minorHAnsi" w:cstheme="minorHAnsi"/>
        </w:rPr>
        <w:t>)</w:t>
      </w:r>
      <w:r>
        <w:t xml:space="preserve">, przy którym </w:t>
      </w:r>
      <w:r w:rsidR="004B0454">
        <w:t xml:space="preserve">przekazano uwagi </w:t>
      </w:r>
      <w:r>
        <w:t xml:space="preserve">do </w:t>
      </w:r>
      <w:r w:rsidR="006862D0">
        <w:rPr>
          <w:b/>
          <w:i/>
        </w:rPr>
        <w:t>projekt</w:t>
      </w:r>
      <w:r>
        <w:rPr>
          <w:b/>
          <w:i/>
        </w:rPr>
        <w:t>u</w:t>
      </w:r>
      <w:r w:rsidR="006862D0">
        <w:rPr>
          <w:b/>
          <w:i/>
        </w:rPr>
        <w:t xml:space="preserve"> ustawy o zmianie ustawy o cudzoziemcach oraz niektórych innych ustaw</w:t>
      </w:r>
      <w:r w:rsidR="008102B9">
        <w:rPr>
          <w:b/>
          <w:i/>
        </w:rPr>
        <w:t xml:space="preserve"> (UC87</w:t>
      </w:r>
      <w:r w:rsidR="00864DE0">
        <w:rPr>
          <w:b/>
          <w:i/>
        </w:rPr>
        <w:t>)</w:t>
      </w:r>
      <w:r w:rsidRPr="00DC3FAA">
        <w:t>, uprzejmie informuję, iż</w:t>
      </w:r>
      <w:r w:rsidR="000D0600">
        <w:t xml:space="preserve"> odnośnie do podtrzymanej </w:t>
      </w:r>
      <w:r w:rsidR="00EB7066">
        <w:t xml:space="preserve">uwagi nr 7, 8 i 11 </w:t>
      </w:r>
      <w:r w:rsidR="000D0600">
        <w:t>przedstawiam następujące wyjaśnienia:</w:t>
      </w:r>
    </w:p>
    <w:p w:rsidR="00EB7066" w:rsidRDefault="00EB7066" w:rsidP="000D0600">
      <w:pPr>
        <w:spacing w:after="0"/>
        <w:ind w:firstLine="708"/>
        <w:jc w:val="both"/>
      </w:pPr>
      <w:r>
        <w:t xml:space="preserve">W zakresie uwagi nr 7 dotyczącej projektowanego art. 319 ust. 1 pkt 4 ustawy z dnia 12 grudnia 2013 r. </w:t>
      </w:r>
      <w:r w:rsidRPr="000D0600">
        <w:rPr>
          <w:i/>
        </w:rPr>
        <w:t>o</w:t>
      </w:r>
      <w:r w:rsidR="000D0600">
        <w:rPr>
          <w:i/>
        </w:rPr>
        <w:t> </w:t>
      </w:r>
      <w:r w:rsidRPr="000D0600">
        <w:rPr>
          <w:i/>
        </w:rPr>
        <w:t>cudzoziemcach</w:t>
      </w:r>
      <w:r w:rsidR="000D0600">
        <w:rPr>
          <w:i/>
        </w:rPr>
        <w:t xml:space="preserve"> </w:t>
      </w:r>
      <w:r w:rsidR="000D0600" w:rsidRPr="000D0600">
        <w:t xml:space="preserve">(Dz. U. z 2020 r. poz. 35, z </w:t>
      </w:r>
      <w:proofErr w:type="spellStart"/>
      <w:r w:rsidR="000D0600" w:rsidRPr="000D0600">
        <w:t>późn</w:t>
      </w:r>
      <w:proofErr w:type="spellEnd"/>
      <w:r w:rsidR="000D0600" w:rsidRPr="000D0600">
        <w:t>. zm.)</w:t>
      </w:r>
      <w:r w:rsidRPr="000D0600">
        <w:t>,</w:t>
      </w:r>
      <w:r>
        <w:t xml:space="preserve"> odnosząc się do podniesionych w uwadze wątpliwości </w:t>
      </w:r>
      <w:r w:rsidRPr="000D0600">
        <w:rPr>
          <w:i/>
        </w:rPr>
        <w:t>„czy katalog przesłanek, które zgodnie z projektowanym art. 319 pkt 4 ustawy o</w:t>
      </w:r>
      <w:r w:rsidR="000D0600">
        <w:rPr>
          <w:i/>
        </w:rPr>
        <w:t> </w:t>
      </w:r>
      <w:r w:rsidRPr="000D0600">
        <w:rPr>
          <w:i/>
        </w:rPr>
        <w:t>cudzoziemcach mają uza</w:t>
      </w:r>
      <w:r w:rsidR="000D0600">
        <w:rPr>
          <w:i/>
        </w:rPr>
        <w:t>sadniać orzeczenie zakazu wjazdu</w:t>
      </w:r>
      <w:r w:rsidRPr="000D0600">
        <w:rPr>
          <w:i/>
        </w:rPr>
        <w:t xml:space="preserve"> na okres powyżej pięciu lat (…) nie jest uregulowaniem o szerszym zakresie niż art. 11 ust. 2 dyrektywy 2008/115/WE z dnia 16 grudnia 2008 r. w</w:t>
      </w:r>
      <w:r w:rsidR="000D0600">
        <w:rPr>
          <w:i/>
        </w:rPr>
        <w:t> </w:t>
      </w:r>
      <w:r w:rsidRPr="000D0600">
        <w:rPr>
          <w:i/>
        </w:rPr>
        <w:t>sprawie wspólnych norm i procedur stosowanych przez państwa członkowskie w odniesieniu do powrotów nielegalnie przebywaj</w:t>
      </w:r>
      <w:r w:rsidR="000D0600" w:rsidRPr="000D0600">
        <w:rPr>
          <w:i/>
        </w:rPr>
        <w:t>ących obywateli państw trzecich</w:t>
      </w:r>
      <w:r w:rsidRPr="000D0600">
        <w:rPr>
          <w:i/>
        </w:rPr>
        <w:t>”</w:t>
      </w:r>
      <w:r>
        <w:t xml:space="preserve"> należy wskazać, iż zgodnie z art. 11 ust.</w:t>
      </w:r>
      <w:r w:rsidR="000D0600">
        <w:t> </w:t>
      </w:r>
      <w:r>
        <w:t>2 dyrektywy 2008/115/WE czas trwania zakazu wjazdu jest określony, z należytym uwzględnieniem wszystkich istotnych dla danego przypadku okoliczności i co do zasady nie przekracza pięciu lat. Może on być jednak dłuższy niż pięć lat, jeżeli obywatel państwa trzeciego stanowi poważne zagrożenie dla porządku publicznego, bezpieczeństwa publicznego lub bezpieczeństwa narodowego. Oznacza to, iż</w:t>
      </w:r>
      <w:r w:rsidR="000D0600">
        <w:t> </w:t>
      </w:r>
      <w:r>
        <w:t xml:space="preserve">przepis art. 11 ust. 2 określa górną granicę okresu zakazu ponownego wjazdu na terytorium Rzeczypospolitej Polskiej i innych państw obszaru </w:t>
      </w:r>
      <w:proofErr w:type="spellStart"/>
      <w:r>
        <w:t>Schengen</w:t>
      </w:r>
      <w:proofErr w:type="spellEnd"/>
      <w:r>
        <w:t xml:space="preserve">, która co do zasady nie przekracza pięciu lat. Zgodnie natomiast z dyspozycją art. 11 ust. 2 </w:t>
      </w:r>
      <w:proofErr w:type="spellStart"/>
      <w:r>
        <w:t>zd</w:t>
      </w:r>
      <w:proofErr w:type="spellEnd"/>
      <w:r>
        <w:t>. drugie, w przypadku poważnego zagrożenia dla porządku publicznego, bezpieczeństwa publicznego lub bezpieczeństwa narodowego</w:t>
      </w:r>
      <w:r w:rsidR="005862A4">
        <w:t>,</w:t>
      </w:r>
      <w:r>
        <w:t xml:space="preserve"> zakaz wjazdu można wydać na okres dłuższy niż pięć lat. Należy podkreślić, iż dyrektywa 2008/115/WE nie zawiera definicji pojęć „zagrożenie dla porządku publicznego”, „zagrożenie dla bezpieczeństwa publicznego” oraz „zagrożenie </w:t>
      </w:r>
      <w:r w:rsidR="000D0600">
        <w:t xml:space="preserve">dla bezpieczeństwa narodowego”, jak również nie określa </w:t>
      </w:r>
      <w:r>
        <w:t>co należy rozumieć przez pojęcie „poważnego zagrożenia”. W zwi</w:t>
      </w:r>
      <w:r w:rsidR="005862A4">
        <w:t>ązku z powyższym</w:t>
      </w:r>
      <w:r>
        <w:t xml:space="preserve"> należy wskazać, iż katalog przesłanek, które mogą uzasadniać orzeczenie zakazu wjazdu na okres powyżej pięciu lat nie został ściśle określony w art. 11 ust. 2 </w:t>
      </w:r>
      <w:proofErr w:type="spellStart"/>
      <w:r>
        <w:t>zd</w:t>
      </w:r>
      <w:proofErr w:type="spellEnd"/>
      <w:r>
        <w:t>. drugie.</w:t>
      </w:r>
    </w:p>
    <w:p w:rsidR="00EB7066" w:rsidRDefault="00EB7066" w:rsidP="00EB7066">
      <w:pPr>
        <w:spacing w:after="0"/>
        <w:jc w:val="both"/>
      </w:pPr>
      <w:r>
        <w:t>Natomiast, zgodnie z zaleceniami Komisji (UE) 2017/2338 z dnia 16 listopada 2017 r. ustanawiającymi wspólny "Podręcznik dotyczący powrot</w:t>
      </w:r>
      <w:r w:rsidR="000D0600">
        <w:t xml:space="preserve">ów" przeznaczony do stosowania </w:t>
      </w:r>
      <w:r>
        <w:t>przez właściwe organy państw członkowskich wykonując</w:t>
      </w:r>
      <w:r w:rsidR="000D0600">
        <w:t>e zadania związane z powrotami</w:t>
      </w:r>
      <w:r w:rsidR="005862A4">
        <w:t>,</w:t>
      </w:r>
      <w:r w:rsidR="000D0600">
        <w:t xml:space="preserve"> </w:t>
      </w:r>
      <w:r>
        <w:t xml:space="preserve">czas trwania zakazu wjazdu określa się zgodnie z prawem krajowym transponującym dyrektywę </w:t>
      </w:r>
      <w:proofErr w:type="spellStart"/>
      <w:r>
        <w:t>powrotową</w:t>
      </w:r>
      <w:proofErr w:type="spellEnd"/>
      <w:r>
        <w:t xml:space="preserve"> z należytym uwzględnieniem wszystkich istotnych dla danego przypadku okoliczności. </w:t>
      </w:r>
    </w:p>
    <w:p w:rsidR="00EB7066" w:rsidRDefault="00EB7066" w:rsidP="00EB7066">
      <w:pPr>
        <w:spacing w:after="0"/>
        <w:jc w:val="both"/>
      </w:pPr>
      <w:r>
        <w:t>Określając czas trwania zakazu wjazdu, należy w szczególności uwzględnić okoliczności obciążające lub łagodzące, o których wiadomo organom wydają</w:t>
      </w:r>
      <w:r w:rsidR="005862A4">
        <w:t xml:space="preserve">cym decyzje, tj. </w:t>
      </w:r>
      <w:r>
        <w:t>czy:</w:t>
      </w:r>
    </w:p>
    <w:p w:rsidR="00EB7066" w:rsidRDefault="00EB7066" w:rsidP="000D0600">
      <w:pPr>
        <w:pStyle w:val="Akapitzlist"/>
        <w:numPr>
          <w:ilvl w:val="0"/>
          <w:numId w:val="21"/>
        </w:numPr>
        <w:spacing w:after="0"/>
        <w:jc w:val="both"/>
      </w:pPr>
      <w:r>
        <w:lastRenderedPageBreak/>
        <w:t>dany obywatel państwa trzeciego podlegał już w przeszłości decyzji nakazującej powrót lub nakazowi wydalenia,</w:t>
      </w:r>
    </w:p>
    <w:p w:rsidR="00EB7066" w:rsidRDefault="00EB7066" w:rsidP="00EB7066">
      <w:pPr>
        <w:pStyle w:val="Akapitzlist"/>
        <w:numPr>
          <w:ilvl w:val="0"/>
          <w:numId w:val="21"/>
        </w:numPr>
        <w:spacing w:after="0"/>
        <w:jc w:val="both"/>
      </w:pPr>
      <w:r>
        <w:t>dany obywatel państwa trzeciego otrzymał już w przeszłości pomoc w dobrowolnym wyjeździe lub w zakresie reintegracji,</w:t>
      </w:r>
    </w:p>
    <w:p w:rsidR="00EB7066" w:rsidRDefault="00EB7066" w:rsidP="00EB7066">
      <w:pPr>
        <w:pStyle w:val="Akapitzlist"/>
        <w:numPr>
          <w:ilvl w:val="0"/>
          <w:numId w:val="21"/>
        </w:numPr>
        <w:spacing w:after="0"/>
        <w:jc w:val="both"/>
      </w:pPr>
      <w:r>
        <w:t>dany obywatel państwa trzeciego wjechał na terytorium państwa członkowskiego bez zezwolenia w trakcie obowiązywania zakazu wjazdu,</w:t>
      </w:r>
    </w:p>
    <w:p w:rsidR="00EB7066" w:rsidRDefault="00EB7066" w:rsidP="00EB7066">
      <w:pPr>
        <w:pStyle w:val="Akapitzlist"/>
        <w:numPr>
          <w:ilvl w:val="0"/>
          <w:numId w:val="21"/>
        </w:numPr>
        <w:spacing w:after="0"/>
        <w:jc w:val="both"/>
      </w:pPr>
      <w:r>
        <w:t>dany obywatel państwa trzeciego nie współpracował ani nie wykazał chęci współpracy w trakcie procedury powrotu,</w:t>
      </w:r>
    </w:p>
    <w:p w:rsidR="00EB7066" w:rsidRDefault="00EB7066" w:rsidP="00EB7066">
      <w:pPr>
        <w:pStyle w:val="Akapitzlist"/>
        <w:numPr>
          <w:ilvl w:val="0"/>
          <w:numId w:val="21"/>
        </w:numPr>
        <w:spacing w:after="0"/>
        <w:jc w:val="both"/>
      </w:pPr>
      <w:r>
        <w:t>dany obywatel państwa trzeciego wykazał wolę dobrowolnego powrotu. (…)</w:t>
      </w:r>
    </w:p>
    <w:p w:rsidR="00EB7066" w:rsidRDefault="00EB7066" w:rsidP="00EB7066">
      <w:pPr>
        <w:spacing w:after="0"/>
        <w:jc w:val="both"/>
      </w:pPr>
      <w:r>
        <w:t>Przy określaniu konkretnego czasu trwania zakazu wjazdu państwa członkowskie są zobowiązane do przeprowadzania indywidualnej oceny wszelkich istotnych okoliczności oraz do poszanowania zasady proporcjonalności.</w:t>
      </w:r>
    </w:p>
    <w:p w:rsidR="00EB7066" w:rsidRDefault="000D0600" w:rsidP="00EB7066">
      <w:pPr>
        <w:spacing w:after="0"/>
        <w:jc w:val="both"/>
      </w:pPr>
      <w:r>
        <w:t xml:space="preserve">Mając zatem </w:t>
      </w:r>
      <w:r w:rsidR="00EB7066">
        <w:t xml:space="preserve">na uwadze treść art. 11 ust. 2 dyrektywy 2008/115/WE, oraz fakt, iż dopuszcza się możliwość wydłużenia okresu zakazu ponownego wjazdu na terytorium Rzeczypospolitej Polskiej i innych państw obszaru </w:t>
      </w:r>
      <w:proofErr w:type="spellStart"/>
      <w:r w:rsidR="00EB7066">
        <w:t>Schengen</w:t>
      </w:r>
      <w:proofErr w:type="spellEnd"/>
      <w:r w:rsidR="00EB7066">
        <w:t xml:space="preserve"> na okres dłuższy niż pięć lat, jeżeli obywatel państwa trzeciego stanowi poważne zagrożenie dla porządku publicznego, bezpieczeństwa publicznego lub bezpieczeństwa narodowego, w</w:t>
      </w:r>
      <w:r>
        <w:t> </w:t>
      </w:r>
      <w:r w:rsidR="00EB7066">
        <w:t xml:space="preserve">opinii projektodawcy określony w projektowanym art. 319 ust. 1 pkt 4 okres, którego dolna granica stanowi od 5 lat, a górna do 10 lat orzeczenia zakazu ponownego wjazdu na terytorium Rzeczypospolitej Polskiej i innych państw obszaru </w:t>
      </w:r>
      <w:proofErr w:type="spellStart"/>
      <w:r w:rsidR="00EB7066">
        <w:t>Schengen</w:t>
      </w:r>
      <w:proofErr w:type="spellEnd"/>
      <w:r w:rsidR="00EB7066">
        <w:t xml:space="preserve"> w zakresie przesłanki, której wysokość jest zależna do stopnia zagrożenia dla porządku publicznego, bezpieczeństwa publicznego lub bezpieczeństwa narodowego jest uregulowaniem mieszczącym się w zakresie art. 11 ust. 2 dyrektywy 2008/115/WE.</w:t>
      </w:r>
      <w:r w:rsidR="00EB7066">
        <w:tab/>
      </w:r>
    </w:p>
    <w:p w:rsidR="005862A4" w:rsidRDefault="005862A4" w:rsidP="00EB7066">
      <w:pPr>
        <w:spacing w:after="0"/>
        <w:jc w:val="both"/>
      </w:pPr>
    </w:p>
    <w:p w:rsidR="00EB7066" w:rsidRDefault="00EB7066" w:rsidP="000D0600">
      <w:pPr>
        <w:spacing w:after="0"/>
        <w:ind w:firstLine="708"/>
        <w:jc w:val="both"/>
      </w:pPr>
      <w:r>
        <w:t>W zakresie uwagi nr 8 dotyczącej projektowanego art. 356 ust. 1a ustawy z dnia 12 grudnia 2013</w:t>
      </w:r>
      <w:r w:rsidR="000D0600">
        <w:t> </w:t>
      </w:r>
      <w:r>
        <w:t xml:space="preserve">r. </w:t>
      </w:r>
      <w:r w:rsidRPr="000D0600">
        <w:rPr>
          <w:i/>
        </w:rPr>
        <w:t>o cudzoziemcach</w:t>
      </w:r>
      <w:r w:rsidR="005862A4">
        <w:rPr>
          <w:i/>
        </w:rPr>
        <w:t>,</w:t>
      </w:r>
      <w:r>
        <w:t xml:space="preserve"> w wyniku ponownej analizy kwestii dotyczących proponowanego rozwiązania o</w:t>
      </w:r>
      <w:r w:rsidR="000D0600">
        <w:t> </w:t>
      </w:r>
      <w:r>
        <w:t>odstąpieniu od obowiązku ustalenia, czy w sprawie zobowiązania cudzoziemca do powrotu nie zachodzą okoliczności uzasadniające udzielenie zgody na pobyt ze względów humanitarnych lub udzielenie zgody na pobyt tolerowany w sytuacji, kiedy cudzoziemiec dobrowolnie zgłosi się do organu Straży Granicznej z</w:t>
      </w:r>
      <w:r w:rsidR="00175804">
        <w:t> </w:t>
      </w:r>
      <w:r>
        <w:t>prośbą o zorganizowanie pow</w:t>
      </w:r>
      <w:r w:rsidR="00175804">
        <w:t xml:space="preserve">rotu, </w:t>
      </w:r>
      <w:r>
        <w:t xml:space="preserve">projektodawca zrezygnował z tego rozwiązania. Proponuje się zatem nowe następujące brzmienie projektowanego ust. 1a w art. 356:  </w:t>
      </w:r>
    </w:p>
    <w:p w:rsidR="00EB7066" w:rsidRDefault="00EB7066" w:rsidP="00EB7066">
      <w:pPr>
        <w:spacing w:after="0"/>
        <w:jc w:val="both"/>
        <w:rPr>
          <w:i/>
        </w:rPr>
      </w:pPr>
      <w:r w:rsidRPr="00175804">
        <w:rPr>
          <w:i/>
        </w:rPr>
        <w:t xml:space="preserve">„1a. Organ prowadzący postępowanie w sprawie zobowiązania cudzoziemca do powrotu nie ustala, czy zachodzą okoliczności, o których mowa w art. 348 i art. 351 pkt 1, w przypadku gdy cudzoziemiec dobrowolnie przekracza granicę opuszczając terytorium państw obszaru </w:t>
      </w:r>
      <w:proofErr w:type="spellStart"/>
      <w:r w:rsidRPr="00175804">
        <w:rPr>
          <w:i/>
        </w:rPr>
        <w:t>Schengen</w:t>
      </w:r>
      <w:proofErr w:type="spellEnd"/>
      <w:r w:rsidRPr="00175804">
        <w:rPr>
          <w:i/>
        </w:rPr>
        <w:t xml:space="preserve">.”. </w:t>
      </w:r>
    </w:p>
    <w:p w:rsidR="005862A4" w:rsidRPr="00175804" w:rsidRDefault="005862A4" w:rsidP="00EB7066">
      <w:pPr>
        <w:spacing w:after="0"/>
        <w:jc w:val="both"/>
        <w:rPr>
          <w:i/>
        </w:rPr>
      </w:pPr>
    </w:p>
    <w:p w:rsidR="00EB7066" w:rsidRPr="00C009AE" w:rsidRDefault="007C0350" w:rsidP="00C009AE">
      <w:pPr>
        <w:spacing w:after="0"/>
        <w:ind w:firstLine="708"/>
        <w:jc w:val="both"/>
        <w:rPr>
          <w:rFonts w:asciiTheme="minorHAnsi" w:hAnsiTheme="minorHAnsi" w:cstheme="minorHAnsi"/>
          <w:i/>
        </w:rPr>
      </w:pPr>
      <w:r>
        <w:t>W nawiązaniu</w:t>
      </w:r>
      <w:r w:rsidR="00EB7066">
        <w:t xml:space="preserve"> do uwagi nr 11 dotyczącej projek</w:t>
      </w:r>
      <w:r w:rsidR="00591819">
        <w:t>towanych art. 461 i art. 461a-</w:t>
      </w:r>
      <w:r w:rsidR="00EB7066">
        <w:t>art. 461e ustawy z</w:t>
      </w:r>
      <w:r w:rsidR="002C29C5">
        <w:t> </w:t>
      </w:r>
      <w:r w:rsidR="00EB7066">
        <w:t xml:space="preserve">dnia 12 grudnia 2013 r. </w:t>
      </w:r>
      <w:r w:rsidR="00EB7066" w:rsidRPr="00591819">
        <w:rPr>
          <w:i/>
        </w:rPr>
        <w:t>o cudzoziemcach</w:t>
      </w:r>
      <w:r w:rsidR="00EB7066">
        <w:t xml:space="preserve"> w zakresie prawidłowej realizacji zaleceń zawartych w </w:t>
      </w:r>
      <w:r w:rsidR="00EB7066" w:rsidRPr="005862A4">
        <w:rPr>
          <w:i/>
        </w:rPr>
        <w:t>decyzji wykonawczej</w:t>
      </w:r>
      <w:r w:rsidR="005862A4" w:rsidRPr="005862A4">
        <w:rPr>
          <w:rFonts w:asciiTheme="minorHAnsi" w:hAnsiTheme="minorHAnsi" w:cstheme="minorHAnsi"/>
          <w:i/>
        </w:rPr>
        <w:t xml:space="preserve"> Rady ustanawiającej zalecenia w sprawie wyeliminowania niedociągnięć stwierdzonych w</w:t>
      </w:r>
      <w:r w:rsidR="005862A4">
        <w:rPr>
          <w:rFonts w:asciiTheme="minorHAnsi" w:hAnsiTheme="minorHAnsi" w:cstheme="minorHAnsi"/>
          <w:i/>
        </w:rPr>
        <w:t> </w:t>
      </w:r>
      <w:r w:rsidR="005862A4" w:rsidRPr="005862A4">
        <w:rPr>
          <w:rFonts w:asciiTheme="minorHAnsi" w:hAnsiTheme="minorHAnsi" w:cstheme="minorHAnsi"/>
          <w:i/>
        </w:rPr>
        <w:t xml:space="preserve">toku przeprowadzonej w 2019 r. oceny stosowania przez Polskę dorobku </w:t>
      </w:r>
      <w:proofErr w:type="spellStart"/>
      <w:r w:rsidR="005862A4" w:rsidRPr="005862A4">
        <w:rPr>
          <w:rFonts w:asciiTheme="minorHAnsi" w:hAnsiTheme="minorHAnsi" w:cstheme="minorHAnsi"/>
          <w:i/>
        </w:rPr>
        <w:t>Schengen</w:t>
      </w:r>
      <w:proofErr w:type="spellEnd"/>
      <w:r w:rsidR="005862A4" w:rsidRPr="005862A4">
        <w:rPr>
          <w:rFonts w:asciiTheme="minorHAnsi" w:hAnsiTheme="minorHAnsi" w:cstheme="minorHAnsi"/>
          <w:i/>
        </w:rPr>
        <w:t xml:space="preserve"> w dziedzinie </w:t>
      </w:r>
      <w:r w:rsidR="005862A4" w:rsidRPr="00C009AE">
        <w:rPr>
          <w:rFonts w:asciiTheme="minorHAnsi" w:hAnsiTheme="minorHAnsi" w:cstheme="minorHAnsi"/>
          <w:i/>
        </w:rPr>
        <w:t xml:space="preserve">powrotów </w:t>
      </w:r>
      <w:r w:rsidR="005862A4" w:rsidRPr="00C009AE">
        <w:rPr>
          <w:rFonts w:asciiTheme="minorHAnsi" w:hAnsiTheme="minorHAnsi" w:cstheme="minorHAnsi"/>
        </w:rPr>
        <w:t xml:space="preserve">odniesienie </w:t>
      </w:r>
      <w:r w:rsidR="00917979" w:rsidRPr="00C009AE">
        <w:rPr>
          <w:rFonts w:asciiTheme="minorHAnsi" w:hAnsiTheme="minorHAnsi" w:cstheme="minorHAnsi"/>
        </w:rPr>
        <w:t xml:space="preserve">się </w:t>
      </w:r>
      <w:r w:rsidR="005862A4" w:rsidRPr="00C009AE">
        <w:rPr>
          <w:rFonts w:asciiTheme="minorHAnsi" w:hAnsiTheme="minorHAnsi" w:cstheme="minorHAnsi"/>
        </w:rPr>
        <w:t xml:space="preserve">do zaproponowanych rozwiązań znalazło </w:t>
      </w:r>
      <w:r w:rsidR="00917979" w:rsidRPr="00C009AE">
        <w:rPr>
          <w:rFonts w:asciiTheme="minorHAnsi" w:hAnsiTheme="minorHAnsi" w:cstheme="minorHAnsi"/>
        </w:rPr>
        <w:t xml:space="preserve">odzwierciedlenie w załączonej </w:t>
      </w:r>
      <w:r w:rsidR="00C009AE">
        <w:rPr>
          <w:rFonts w:asciiTheme="minorHAnsi" w:hAnsiTheme="minorHAnsi" w:cstheme="minorHAnsi"/>
        </w:rPr>
        <w:t>„</w:t>
      </w:r>
      <w:r w:rsidR="00C009AE">
        <w:rPr>
          <w:rFonts w:asciiTheme="minorHAnsi" w:hAnsiTheme="minorHAnsi" w:cstheme="minorHAnsi"/>
          <w:i/>
        </w:rPr>
        <w:t>T</w:t>
      </w:r>
      <w:r w:rsidR="00917979" w:rsidRPr="00C009AE">
        <w:rPr>
          <w:rFonts w:asciiTheme="minorHAnsi" w:hAnsiTheme="minorHAnsi" w:cstheme="minorHAnsi"/>
          <w:i/>
        </w:rPr>
        <w:t xml:space="preserve">abeli zgodności </w:t>
      </w:r>
      <w:r w:rsidR="00C009AE" w:rsidRPr="00C009AE">
        <w:rPr>
          <w:rFonts w:asciiTheme="minorHAnsi" w:hAnsiTheme="minorHAnsi" w:cstheme="minorHAnsi"/>
          <w:i/>
        </w:rPr>
        <w:t xml:space="preserve">do zaleceń określonych w decyzji wykonawczej Rady ustanawiającej zalecenie w sprawie wyeliminowania niedociągnięć stwierdzonych w toku przeprowadzonej w 2019 r. oceny stosowania przez Polskę dorobku </w:t>
      </w:r>
      <w:proofErr w:type="spellStart"/>
      <w:r w:rsidR="00C009AE" w:rsidRPr="00C009AE">
        <w:rPr>
          <w:rFonts w:asciiTheme="minorHAnsi" w:hAnsiTheme="minorHAnsi" w:cstheme="minorHAnsi"/>
          <w:i/>
        </w:rPr>
        <w:t>Schengen</w:t>
      </w:r>
      <w:proofErr w:type="spellEnd"/>
      <w:r w:rsidR="00C009AE" w:rsidRPr="00C009AE">
        <w:rPr>
          <w:rFonts w:asciiTheme="minorHAnsi" w:hAnsiTheme="minorHAnsi" w:cstheme="minorHAnsi"/>
          <w:i/>
        </w:rPr>
        <w:t xml:space="preserve"> w dziedzinie powrotów realizowanych projektem ustawy o zmianie ustawy o</w:t>
      </w:r>
      <w:r w:rsidR="00E30EBA">
        <w:rPr>
          <w:rFonts w:asciiTheme="minorHAnsi" w:hAnsiTheme="minorHAnsi" w:cstheme="minorHAnsi"/>
          <w:i/>
        </w:rPr>
        <w:t> </w:t>
      </w:r>
      <w:r w:rsidR="00C009AE" w:rsidRPr="00C009AE">
        <w:rPr>
          <w:rFonts w:asciiTheme="minorHAnsi" w:hAnsiTheme="minorHAnsi" w:cstheme="minorHAnsi"/>
          <w:i/>
        </w:rPr>
        <w:t>cudzoziemcach oraz niektórych innych ustaw (UC87)</w:t>
      </w:r>
      <w:r w:rsidR="00C009AE">
        <w:rPr>
          <w:rFonts w:asciiTheme="minorHAnsi" w:hAnsiTheme="minorHAnsi" w:cstheme="minorHAnsi"/>
          <w:i/>
        </w:rPr>
        <w:t xml:space="preserve">” </w:t>
      </w:r>
      <w:r w:rsidRPr="007C0350">
        <w:rPr>
          <w:rFonts w:asciiTheme="minorHAnsi" w:hAnsiTheme="minorHAnsi" w:cstheme="minorHAnsi"/>
        </w:rPr>
        <w:t>(pkt 2, 3 i 4).</w:t>
      </w:r>
      <w:r w:rsidR="00C009AE">
        <w:rPr>
          <w:rFonts w:asciiTheme="minorHAnsi" w:hAnsiTheme="minorHAnsi" w:cstheme="minorHAnsi"/>
          <w:i/>
        </w:rPr>
        <w:t xml:space="preserve"> </w:t>
      </w:r>
      <w:r w:rsidR="00EB7066">
        <w:t>W przedmiotowej sprawie słusznym wydaje się również wskazać, iż zgodnie z obowiązującym art. 461 ust.</w:t>
      </w:r>
      <w:r w:rsidR="0005472F">
        <w:t> </w:t>
      </w:r>
      <w:r w:rsidR="00EB7066">
        <w:t xml:space="preserve">3 ustawy z dnia 12 grudnia 2013 r. </w:t>
      </w:r>
      <w:r w:rsidR="00EB7066" w:rsidRPr="008C6597">
        <w:rPr>
          <w:i/>
        </w:rPr>
        <w:t>o</w:t>
      </w:r>
      <w:r w:rsidR="00E30EBA">
        <w:rPr>
          <w:i/>
        </w:rPr>
        <w:t> </w:t>
      </w:r>
      <w:r w:rsidR="00EB7066" w:rsidRPr="008C6597">
        <w:rPr>
          <w:i/>
        </w:rPr>
        <w:t>cudzoziemcach</w:t>
      </w:r>
      <w:r w:rsidR="00EB7066">
        <w:t xml:space="preserve"> od decyzji komendanta placówki Straży Granicznej przysługuje odwołanie do Komendanta Głównego Straży Granicznej.</w:t>
      </w:r>
    </w:p>
    <w:p w:rsidR="00C009AE" w:rsidRDefault="00C009AE" w:rsidP="00EB7066">
      <w:pPr>
        <w:spacing w:after="0"/>
        <w:jc w:val="both"/>
      </w:pPr>
    </w:p>
    <w:p w:rsidR="00EB7066" w:rsidRDefault="00EB7066" w:rsidP="008C6597">
      <w:pPr>
        <w:spacing w:after="0"/>
        <w:ind w:firstLine="708"/>
        <w:jc w:val="both"/>
      </w:pPr>
      <w:r>
        <w:lastRenderedPageBreak/>
        <w:t xml:space="preserve">Ponadto, </w:t>
      </w:r>
      <w:r w:rsidR="008C6597">
        <w:t>zgłoszona została uwaga</w:t>
      </w:r>
      <w:r>
        <w:t xml:space="preserve"> w zakresie dodatkowej propozycji dotyczącej dodania pkt 1a i</w:t>
      </w:r>
      <w:r w:rsidR="008C6597">
        <w:t> </w:t>
      </w:r>
      <w:r w:rsidR="0005472F">
        <w:t>1b w art. 421 ust. 1</w:t>
      </w:r>
      <w:r>
        <w:t xml:space="preserve"> ustawy z dnia 12 grudnia 2013 r</w:t>
      </w:r>
      <w:r w:rsidR="008C6597">
        <w:t xml:space="preserve">. </w:t>
      </w:r>
      <w:r w:rsidR="008C6597" w:rsidRPr="008C6597">
        <w:rPr>
          <w:i/>
        </w:rPr>
        <w:t>o cudzoziemcach</w:t>
      </w:r>
      <w:r w:rsidR="008C6597">
        <w:t xml:space="preserve"> (rozszerzenie</w:t>
      </w:r>
      <w:r>
        <w:t xml:space="preserve"> katalogu kar dyscyplinarnych stosowanych wobec cudzoziemców umieszczonych w strzeżonych ośrodkach o</w:t>
      </w:r>
      <w:r w:rsidR="008C6597">
        <w:t> </w:t>
      </w:r>
      <w:r>
        <w:t>pozbawienie cudzoziemca na okres 7 dni prawa do korzystania z Internetu na stanowiskach komputerowych dostępnych w strzeżonym ośrodku oraz widzeń z osobami bliskimi w specjalnie do tego przeznaczonych pomieszczeniach). W opinii projektodawcy wprowadzenie do porządku prawnego przedmiotowych kar nie stanowi naruszenia przepisów Karty Praw Podstawowych oraz art. 16 ust. 2 dyrektywy 2008/115/WE. Należy podkreślić, iż gwarancje określone w ww. aktach prawnych są</w:t>
      </w:r>
      <w:r w:rsidR="008C6597">
        <w:t> </w:t>
      </w:r>
      <w:r>
        <w:t xml:space="preserve">zachowane, natomiast w przypadku naruszenia przez cudzoziemca nakazów i zakazów obowiązujących w strzeżonym ośrodku przedmiotowe prawa mogą być, zgodnie z projektowanymi przepisami wyłącznie ograniczone na okres 7 dni. Dodatkowo słusznym wydaje się wskazać, iż wprowadzenie do porządku prawnego określonych kar dyscyplinarnych wynika z likwidacji aresztów dla cudzoziemców oraz ma na celu zapobieganie i minimalizowanie </w:t>
      </w:r>
      <w:proofErr w:type="spellStart"/>
      <w:r>
        <w:t>zachowań</w:t>
      </w:r>
      <w:proofErr w:type="spellEnd"/>
      <w:r>
        <w:t xml:space="preserve"> niezgodnych z określonymi zasadami pobytu w strzeżonym ośrodku.</w:t>
      </w:r>
    </w:p>
    <w:p w:rsidR="00EB7066" w:rsidRDefault="00EB7066" w:rsidP="008C6597">
      <w:pPr>
        <w:spacing w:after="0"/>
        <w:ind w:firstLine="708"/>
        <w:jc w:val="both"/>
      </w:pPr>
      <w:r>
        <w:t>Jednocześnie uprzejmie informuję, że w związku z</w:t>
      </w:r>
      <w:r w:rsidR="008C6597">
        <w:t>e zgłoszoną</w:t>
      </w:r>
      <w:r>
        <w:t xml:space="preserve"> sugestią odnośnik przy tytule ustawy został uzupełniony o odniesienie do rozporządzenia (WE) nr 1931/2006 Parlamentu Europejskiego i Rady z dnia 20 grudnia 2006 r. ustanawiającego przepisy dotyczące małego ruchu granicznego na zewnętrznych granicach lądowych państw członkowskich i zmieniającego postanowienia Konwencji z </w:t>
      </w:r>
      <w:proofErr w:type="spellStart"/>
      <w:r>
        <w:t>Schengen</w:t>
      </w:r>
      <w:proofErr w:type="spellEnd"/>
      <w:r>
        <w:t xml:space="preserve"> i</w:t>
      </w:r>
      <w:r w:rsidR="001604C8">
        <w:t> </w:t>
      </w:r>
      <w:r>
        <w:t xml:space="preserve">rozporządzenia (WE) 1987/2006 Parlamentu Europejskiego i Rady z dnia 20 grudnia 2006 r. w sprawie utworzenia funkcjonowania i użytkowania Systemu Informacyjnego </w:t>
      </w:r>
      <w:proofErr w:type="spellStart"/>
      <w:r>
        <w:t>Schengen</w:t>
      </w:r>
      <w:proofErr w:type="spellEnd"/>
      <w:r>
        <w:t xml:space="preserve"> drugiej generacji (SIS II).</w:t>
      </w:r>
    </w:p>
    <w:p w:rsidR="005862A4" w:rsidRDefault="005862A4" w:rsidP="008C6597">
      <w:pPr>
        <w:spacing w:after="0"/>
        <w:ind w:firstLine="708"/>
        <w:jc w:val="both"/>
      </w:pPr>
    </w:p>
    <w:p w:rsidR="00EB7066" w:rsidRDefault="008C6597" w:rsidP="008C6597">
      <w:pPr>
        <w:spacing w:after="0"/>
        <w:ind w:firstLine="708"/>
        <w:jc w:val="both"/>
      </w:pPr>
      <w:r>
        <w:t xml:space="preserve"> </w:t>
      </w:r>
      <w:r w:rsidR="005862A4">
        <w:t>Dodatkowo, w</w:t>
      </w:r>
      <w:r>
        <w:t xml:space="preserve"> załączeniu przekazuję</w:t>
      </w:r>
      <w:r w:rsidR="00EB7066">
        <w:t xml:space="preserve"> tabele zgodności </w:t>
      </w:r>
      <w:r>
        <w:t>do aktów prawa UE oraz odwróconą</w:t>
      </w:r>
      <w:r w:rsidR="00EB7066">
        <w:t xml:space="preserve"> tabel</w:t>
      </w:r>
      <w:r w:rsidR="00381A77">
        <w:t>ę</w:t>
      </w:r>
      <w:r w:rsidR="00EB7066">
        <w:t xml:space="preserve"> zgodności</w:t>
      </w:r>
      <w:r>
        <w:t>.</w:t>
      </w:r>
      <w:r w:rsidR="00EB7066">
        <w:t xml:space="preserve"> </w:t>
      </w:r>
    </w:p>
    <w:p w:rsidR="00B25F5A" w:rsidRPr="00B26B4D" w:rsidRDefault="00B25F5A" w:rsidP="00EB7066">
      <w:pPr>
        <w:spacing w:after="0"/>
        <w:jc w:val="both"/>
      </w:pPr>
    </w:p>
    <w:p w:rsidR="007311AA" w:rsidRPr="00E420AC" w:rsidRDefault="007311AA" w:rsidP="00E420AC">
      <w:pPr>
        <w:spacing w:after="0" w:line="280" w:lineRule="auto"/>
        <w:ind w:firstLine="360"/>
        <w:jc w:val="both"/>
        <w:rPr>
          <w:rFonts w:asciiTheme="minorHAnsi" w:hAnsiTheme="minorHAnsi" w:cstheme="minorHAnsi"/>
          <w:color w:val="000000"/>
        </w:rPr>
      </w:pPr>
    </w:p>
    <w:p w:rsidR="00B56130" w:rsidRDefault="00B56130" w:rsidP="00992B1D">
      <w:pPr>
        <w:spacing w:after="0" w:line="240" w:lineRule="auto"/>
        <w:ind w:left="3969"/>
        <w:jc w:val="center"/>
        <w:rPr>
          <w:i/>
        </w:rPr>
      </w:pPr>
    </w:p>
    <w:p w:rsidR="00992B1D" w:rsidRPr="00E31F75" w:rsidRDefault="00992B1D" w:rsidP="00992B1D">
      <w:pPr>
        <w:spacing w:after="0" w:line="240" w:lineRule="auto"/>
        <w:ind w:left="3969"/>
        <w:jc w:val="center"/>
        <w:rPr>
          <w:i/>
        </w:rPr>
      </w:pPr>
      <w:r w:rsidRPr="00E31F75">
        <w:rPr>
          <w:i/>
        </w:rPr>
        <w:t>Łączę wyrazy szacunku,</w:t>
      </w:r>
    </w:p>
    <w:p w:rsidR="00992B1D" w:rsidRPr="00E31F75" w:rsidRDefault="00992B1D" w:rsidP="00992B1D">
      <w:pPr>
        <w:spacing w:after="0" w:line="240" w:lineRule="auto"/>
        <w:ind w:left="3969"/>
        <w:jc w:val="center"/>
        <w:rPr>
          <w:i/>
          <w:sz w:val="16"/>
          <w:szCs w:val="16"/>
        </w:rPr>
      </w:pPr>
    </w:p>
    <w:p w:rsidR="00992B1D" w:rsidRPr="00E31F75" w:rsidRDefault="00992B1D" w:rsidP="00992B1D">
      <w:pPr>
        <w:spacing w:after="0" w:line="240" w:lineRule="auto"/>
        <w:ind w:left="3969"/>
        <w:jc w:val="center"/>
        <w:rPr>
          <w:b/>
          <w:i/>
          <w:sz w:val="16"/>
          <w:szCs w:val="16"/>
        </w:rPr>
      </w:pPr>
      <w:r w:rsidRPr="00E31F75">
        <w:rPr>
          <w:b/>
          <w:i/>
        </w:rPr>
        <w:t xml:space="preserve">Minister Spraw Wewnętrznych i Administracji </w:t>
      </w:r>
      <w:r w:rsidRPr="00E31F75">
        <w:rPr>
          <w:b/>
          <w:i/>
        </w:rPr>
        <w:br/>
      </w:r>
    </w:p>
    <w:p w:rsidR="00992B1D" w:rsidRPr="00E31F75" w:rsidRDefault="00992B1D" w:rsidP="00992B1D">
      <w:pPr>
        <w:spacing w:after="0" w:line="240" w:lineRule="auto"/>
        <w:ind w:left="3969"/>
        <w:jc w:val="center"/>
        <w:rPr>
          <w:b/>
          <w:i/>
        </w:rPr>
      </w:pPr>
      <w:r w:rsidRPr="00E31F75">
        <w:rPr>
          <w:b/>
          <w:i/>
        </w:rPr>
        <w:t xml:space="preserve">z up. </w:t>
      </w:r>
      <w:r w:rsidR="008102B9">
        <w:rPr>
          <w:b/>
          <w:i/>
        </w:rPr>
        <w:t>Bartosz Grodecki</w:t>
      </w:r>
      <w:r w:rsidR="008102B9">
        <w:rPr>
          <w:b/>
          <w:i/>
        </w:rPr>
        <w:br/>
        <w:t>Pods</w:t>
      </w:r>
      <w:r w:rsidRPr="00E31F75">
        <w:rPr>
          <w:b/>
          <w:i/>
        </w:rPr>
        <w:t>ekretarz Stanu</w:t>
      </w:r>
    </w:p>
    <w:p w:rsidR="00992B1D" w:rsidRPr="006C72C8" w:rsidRDefault="008102B9" w:rsidP="00992B1D">
      <w:pPr>
        <w:spacing w:after="0" w:line="240" w:lineRule="auto"/>
        <w:ind w:left="3969"/>
        <w:jc w:val="center"/>
        <w:rPr>
          <w:i/>
          <w:sz w:val="20"/>
          <w:szCs w:val="20"/>
        </w:rPr>
      </w:pPr>
      <w:r>
        <w:rPr>
          <w:i/>
          <w:sz w:val="20"/>
          <w:szCs w:val="20"/>
        </w:rPr>
        <w:t>/</w:t>
      </w:r>
      <w:r w:rsidR="00992B1D" w:rsidRPr="006C72C8">
        <w:rPr>
          <w:i/>
          <w:sz w:val="20"/>
          <w:szCs w:val="20"/>
        </w:rPr>
        <w:t>podpisano kwalifi</w:t>
      </w:r>
      <w:r>
        <w:rPr>
          <w:i/>
          <w:sz w:val="20"/>
          <w:szCs w:val="20"/>
        </w:rPr>
        <w:t>kowanym podpisem elektronicznym/</w:t>
      </w:r>
    </w:p>
    <w:p w:rsidR="00992B1D" w:rsidRDefault="00992B1D" w:rsidP="00992B1D">
      <w:pPr>
        <w:spacing w:after="0"/>
        <w:jc w:val="both"/>
        <w:rPr>
          <w:sz w:val="16"/>
          <w:szCs w:val="16"/>
        </w:rPr>
      </w:pPr>
    </w:p>
    <w:p w:rsidR="00992B1D" w:rsidRPr="00E31F75" w:rsidRDefault="00992B1D" w:rsidP="00992B1D">
      <w:pPr>
        <w:spacing w:after="0"/>
        <w:jc w:val="both"/>
        <w:rPr>
          <w:sz w:val="16"/>
          <w:szCs w:val="16"/>
          <w:u w:val="single"/>
        </w:rPr>
      </w:pPr>
    </w:p>
    <w:p w:rsidR="005D31A7" w:rsidRPr="00686908" w:rsidRDefault="005D31A7" w:rsidP="00686908">
      <w:pPr>
        <w:spacing w:after="0" w:line="240" w:lineRule="auto"/>
        <w:jc w:val="both"/>
        <w:rPr>
          <w:sz w:val="16"/>
          <w:szCs w:val="16"/>
        </w:rPr>
      </w:pPr>
    </w:p>
    <w:sectPr w:rsidR="005D31A7" w:rsidRPr="00686908" w:rsidSect="005250E7">
      <w:headerReference w:type="default" r:id="rId9"/>
      <w:footerReference w:type="default" r:id="rId10"/>
      <w:pgSz w:w="11906" w:h="16838"/>
      <w:pgMar w:top="992" w:right="1247" w:bottom="1134"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AE5" w:rsidRDefault="007F2AE5">
      <w:pPr>
        <w:spacing w:after="0" w:line="240" w:lineRule="auto"/>
      </w:pPr>
      <w:r>
        <w:separator/>
      </w:r>
    </w:p>
  </w:endnote>
  <w:endnote w:type="continuationSeparator" w:id="0">
    <w:p w:rsidR="007F2AE5" w:rsidRDefault="007F2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EE"/>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AE5" w:rsidRPr="000460D7" w:rsidRDefault="007F2AE5" w:rsidP="003C1035">
    <w:pPr>
      <w:pStyle w:val="Stopka"/>
      <w:tabs>
        <w:tab w:val="clear" w:pos="4536"/>
        <w:tab w:val="clear" w:pos="9072"/>
        <w:tab w:val="left" w:pos="2694"/>
        <w:tab w:val="left" w:pos="2835"/>
      </w:tabs>
      <w:rPr>
        <w:color w:val="000000"/>
        <w:sz w:val="16"/>
        <w:szCs w:val="16"/>
      </w:rPr>
    </w:pPr>
    <w:r w:rsidRPr="000460D7">
      <w:rPr>
        <w:color w:val="878787"/>
        <w:sz w:val="16"/>
        <w:szCs w:val="16"/>
      </w:rPr>
      <w:t>ul. Stefana Batorego 5</w:t>
    </w:r>
    <w:r w:rsidRPr="000460D7">
      <w:rPr>
        <w:color w:val="878787"/>
        <w:sz w:val="16"/>
        <w:szCs w:val="16"/>
      </w:rPr>
      <w:tab/>
    </w:r>
    <w:r>
      <w:rPr>
        <w:color w:val="000000"/>
        <w:sz w:val="16"/>
        <w:szCs w:val="16"/>
      </w:rPr>
      <w:t>tel. +48 22 601 41 67</w:t>
    </w:r>
  </w:p>
  <w:p w:rsidR="007F2AE5" w:rsidRPr="000460D7" w:rsidRDefault="007F2AE5" w:rsidP="003C1035">
    <w:pPr>
      <w:pStyle w:val="Stopka"/>
      <w:tabs>
        <w:tab w:val="clear" w:pos="4536"/>
        <w:tab w:val="clear" w:pos="9072"/>
        <w:tab w:val="left" w:pos="2694"/>
        <w:tab w:val="right" w:pos="3828"/>
      </w:tabs>
      <w:rPr>
        <w:color w:val="878787"/>
        <w:sz w:val="16"/>
        <w:szCs w:val="16"/>
      </w:rPr>
    </w:pPr>
    <w:r w:rsidRPr="000460D7">
      <w:rPr>
        <w:color w:val="878787"/>
        <w:sz w:val="16"/>
        <w:szCs w:val="16"/>
      </w:rPr>
      <w:t>02-591 Warszawa, Polska</w:t>
    </w:r>
    <w:r w:rsidRPr="000460D7">
      <w:rPr>
        <w:color w:val="878787"/>
        <w:sz w:val="16"/>
        <w:szCs w:val="16"/>
      </w:rPr>
      <w:tab/>
    </w:r>
    <w:r>
      <w:rPr>
        <w:color w:val="000000"/>
        <w:sz w:val="16"/>
        <w:szCs w:val="16"/>
      </w:rPr>
      <w:t>fax +48 22 849 31 01</w:t>
    </w:r>
  </w:p>
  <w:p w:rsidR="007F2AE5" w:rsidRPr="005F76C7" w:rsidRDefault="007F2AE5" w:rsidP="003C1035">
    <w:pPr>
      <w:pStyle w:val="Stopka"/>
      <w:tabs>
        <w:tab w:val="clear" w:pos="9072"/>
        <w:tab w:val="right" w:pos="9360"/>
        <w:tab w:val="left" w:pos="9498"/>
      </w:tabs>
      <w:rPr>
        <w:color w:val="E4342C"/>
      </w:rPr>
    </w:pPr>
    <w:r w:rsidRPr="000460D7">
      <w:rPr>
        <w:sz w:val="16"/>
        <w:szCs w:val="16"/>
      </w:rPr>
      <w:t>ms</w:t>
    </w:r>
    <w:r>
      <w:rPr>
        <w:sz w:val="16"/>
        <w:szCs w:val="16"/>
      </w:rPr>
      <w:t>wia</w:t>
    </w:r>
    <w:r w:rsidRPr="000460D7">
      <w:rPr>
        <w:sz w:val="16"/>
        <w:szCs w:val="16"/>
      </w:rPr>
      <w:t>.gov.pl</w:t>
    </w:r>
    <w:r w:rsidRPr="000460D7">
      <w:rPr>
        <w:color w:val="E4342C"/>
        <w:sz w:val="16"/>
        <w:szCs w:val="16"/>
      </w:rPr>
      <w:tab/>
    </w:r>
    <w:r>
      <w:rPr>
        <w:color w:val="E4342C"/>
        <w:sz w:val="14"/>
        <w:szCs w:val="14"/>
      </w:rPr>
      <w:tab/>
    </w:r>
    <w:r>
      <w:t xml:space="preserve">                   </w:t>
    </w:r>
    <w:r w:rsidRPr="00FB20ED">
      <w:rPr>
        <w:sz w:val="16"/>
        <w:szCs w:val="16"/>
      </w:rPr>
      <w:fldChar w:fldCharType="begin"/>
    </w:r>
    <w:r w:rsidRPr="00FB20ED">
      <w:rPr>
        <w:sz w:val="16"/>
        <w:szCs w:val="16"/>
      </w:rPr>
      <w:instrText xml:space="preserve"> PAGE </w:instrText>
    </w:r>
    <w:r w:rsidRPr="00FB20ED">
      <w:rPr>
        <w:sz w:val="16"/>
        <w:szCs w:val="16"/>
      </w:rPr>
      <w:fldChar w:fldCharType="separate"/>
    </w:r>
    <w:r w:rsidR="004B4588">
      <w:rPr>
        <w:noProof/>
        <w:sz w:val="16"/>
        <w:szCs w:val="16"/>
      </w:rPr>
      <w:t>3</w:t>
    </w:r>
    <w:r w:rsidRPr="00FB20ED">
      <w:rPr>
        <w:sz w:val="16"/>
        <w:szCs w:val="16"/>
      </w:rPr>
      <w:fldChar w:fldCharType="end"/>
    </w:r>
    <w:r>
      <w:rPr>
        <w:sz w:val="16"/>
        <w:szCs w:val="16"/>
      </w:rPr>
      <w:t>/</w:t>
    </w:r>
    <w:r w:rsidRPr="00FB20ED">
      <w:rPr>
        <w:sz w:val="16"/>
        <w:szCs w:val="16"/>
      </w:rPr>
      <w:fldChar w:fldCharType="begin"/>
    </w:r>
    <w:r w:rsidRPr="00FB20ED">
      <w:rPr>
        <w:sz w:val="16"/>
        <w:szCs w:val="16"/>
      </w:rPr>
      <w:instrText xml:space="preserve"> NUMPAGES </w:instrText>
    </w:r>
    <w:r w:rsidRPr="00FB20ED">
      <w:rPr>
        <w:sz w:val="16"/>
        <w:szCs w:val="16"/>
      </w:rPr>
      <w:fldChar w:fldCharType="separate"/>
    </w:r>
    <w:r w:rsidR="004B4588">
      <w:rPr>
        <w:noProof/>
        <w:sz w:val="16"/>
        <w:szCs w:val="16"/>
      </w:rPr>
      <w:t>3</w:t>
    </w:r>
    <w:r w:rsidRPr="00FB20ED">
      <w:rPr>
        <w:sz w:val="16"/>
        <w:szCs w:val="16"/>
      </w:rPr>
      <w:fldChar w:fldCharType="end"/>
    </w:r>
  </w:p>
  <w:p w:rsidR="007F2AE5" w:rsidRPr="00BE03FA" w:rsidRDefault="007F2AE5" w:rsidP="003C1035">
    <w:pPr>
      <w:pStyle w:val="Stopka"/>
      <w:ind w:left="-1247"/>
      <w:rPr>
        <w:color w:val="878787"/>
        <w:sz w:val="14"/>
        <w:szCs w:val="14"/>
      </w:rPr>
    </w:pPr>
    <w:r>
      <w:rPr>
        <w:noProof/>
        <w:color w:val="878787"/>
        <w:sz w:val="14"/>
        <w:szCs w:val="14"/>
      </w:rPr>
      <w:t xml:space="preserve"> </w:t>
    </w:r>
    <w:r>
      <w:rPr>
        <w:noProof/>
        <w:color w:val="878787"/>
        <w:sz w:val="14"/>
        <w:szCs w:val="14"/>
        <w:lang w:eastAsia="pl-PL"/>
      </w:rPr>
      <w:drawing>
        <wp:inline distT="0" distB="0" distL="0" distR="0" wp14:anchorId="242FA824" wp14:editId="53523276">
          <wp:extent cx="7569835" cy="23876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23876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AE5" w:rsidRDefault="007F2AE5">
      <w:pPr>
        <w:spacing w:after="0" w:line="240" w:lineRule="auto"/>
      </w:pPr>
      <w:r>
        <w:separator/>
      </w:r>
    </w:p>
  </w:footnote>
  <w:footnote w:type="continuationSeparator" w:id="0">
    <w:p w:rsidR="007F2AE5" w:rsidRDefault="007F2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AE5" w:rsidRDefault="007F2AE5" w:rsidP="003C1035">
    <w:pPr>
      <w:pStyle w:val="Nagwek"/>
      <w:ind w:left="-124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5150"/>
    <w:multiLevelType w:val="hybridMultilevel"/>
    <w:tmpl w:val="65B0AF54"/>
    <w:lvl w:ilvl="0" w:tplc="561CCADC">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8773A"/>
    <w:multiLevelType w:val="hybridMultilevel"/>
    <w:tmpl w:val="4E1AB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323D27"/>
    <w:multiLevelType w:val="hybridMultilevel"/>
    <w:tmpl w:val="8EF0F62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11EE074A"/>
    <w:multiLevelType w:val="hybridMultilevel"/>
    <w:tmpl w:val="AC605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BE01B9A"/>
    <w:multiLevelType w:val="hybridMultilevel"/>
    <w:tmpl w:val="ACA0001A"/>
    <w:lvl w:ilvl="0" w:tplc="33EC5A88">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C150C1C"/>
    <w:multiLevelType w:val="hybridMultilevel"/>
    <w:tmpl w:val="7700D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604CA1"/>
    <w:multiLevelType w:val="hybridMultilevel"/>
    <w:tmpl w:val="6CB4CC12"/>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55D2F"/>
    <w:multiLevelType w:val="hybridMultilevel"/>
    <w:tmpl w:val="27A44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C6551A"/>
    <w:multiLevelType w:val="hybridMultilevel"/>
    <w:tmpl w:val="1700AC0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382B1B6F"/>
    <w:multiLevelType w:val="hybridMultilevel"/>
    <w:tmpl w:val="6CE04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862A0A"/>
    <w:multiLevelType w:val="hybridMultilevel"/>
    <w:tmpl w:val="88243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066A57"/>
    <w:multiLevelType w:val="hybridMultilevel"/>
    <w:tmpl w:val="A89005B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B0100F"/>
    <w:multiLevelType w:val="hybridMultilevel"/>
    <w:tmpl w:val="75B4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9804B6"/>
    <w:multiLevelType w:val="hybridMultilevel"/>
    <w:tmpl w:val="871E336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54225F66"/>
    <w:multiLevelType w:val="hybridMultilevel"/>
    <w:tmpl w:val="2E3AC284"/>
    <w:lvl w:ilvl="0" w:tplc="E2E6162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583951A6"/>
    <w:multiLevelType w:val="hybridMultilevel"/>
    <w:tmpl w:val="AF2CB236"/>
    <w:lvl w:ilvl="0" w:tplc="1D58031A">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6236E3"/>
    <w:multiLevelType w:val="hybridMultilevel"/>
    <w:tmpl w:val="AD006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2D64E4"/>
    <w:multiLevelType w:val="hybridMultilevel"/>
    <w:tmpl w:val="1604F470"/>
    <w:lvl w:ilvl="0" w:tplc="61B255BE">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68C63AB0"/>
    <w:multiLevelType w:val="hybridMultilevel"/>
    <w:tmpl w:val="729E83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76624E63"/>
    <w:multiLevelType w:val="hybridMultilevel"/>
    <w:tmpl w:val="7EF87FB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77FA7EDA"/>
    <w:multiLevelType w:val="hybridMultilevel"/>
    <w:tmpl w:val="58DA2ED8"/>
    <w:lvl w:ilvl="0" w:tplc="AF04A8CE">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8"/>
  </w:num>
  <w:num w:numId="2">
    <w:abstractNumId w:val="19"/>
  </w:num>
  <w:num w:numId="3">
    <w:abstractNumId w:val="6"/>
  </w:num>
  <w:num w:numId="4">
    <w:abstractNumId w:val="11"/>
  </w:num>
  <w:num w:numId="5">
    <w:abstractNumId w:val="14"/>
  </w:num>
  <w:num w:numId="6">
    <w:abstractNumId w:val="15"/>
  </w:num>
  <w:num w:numId="7">
    <w:abstractNumId w:val="1"/>
  </w:num>
  <w:num w:numId="8">
    <w:abstractNumId w:val="5"/>
  </w:num>
  <w:num w:numId="9">
    <w:abstractNumId w:val="7"/>
  </w:num>
  <w:num w:numId="10">
    <w:abstractNumId w:val="2"/>
  </w:num>
  <w:num w:numId="11">
    <w:abstractNumId w:val="17"/>
  </w:num>
  <w:num w:numId="12">
    <w:abstractNumId w:val="13"/>
  </w:num>
  <w:num w:numId="13">
    <w:abstractNumId w:val="9"/>
  </w:num>
  <w:num w:numId="14">
    <w:abstractNumId w:val="0"/>
  </w:num>
  <w:num w:numId="15">
    <w:abstractNumId w:val="20"/>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13"/>
    <w:rsid w:val="00012BF3"/>
    <w:rsid w:val="000264E8"/>
    <w:rsid w:val="00043864"/>
    <w:rsid w:val="00043CCD"/>
    <w:rsid w:val="00044B4C"/>
    <w:rsid w:val="000460FA"/>
    <w:rsid w:val="00051256"/>
    <w:rsid w:val="000526F8"/>
    <w:rsid w:val="0005472F"/>
    <w:rsid w:val="000553C7"/>
    <w:rsid w:val="00056A38"/>
    <w:rsid w:val="00057CBA"/>
    <w:rsid w:val="00062CDA"/>
    <w:rsid w:val="00071132"/>
    <w:rsid w:val="000748FF"/>
    <w:rsid w:val="00075547"/>
    <w:rsid w:val="00081F29"/>
    <w:rsid w:val="00083A2F"/>
    <w:rsid w:val="00083E93"/>
    <w:rsid w:val="00087FD4"/>
    <w:rsid w:val="00096231"/>
    <w:rsid w:val="000A018E"/>
    <w:rsid w:val="000B0247"/>
    <w:rsid w:val="000B6C86"/>
    <w:rsid w:val="000C5340"/>
    <w:rsid w:val="000C7301"/>
    <w:rsid w:val="000C7943"/>
    <w:rsid w:val="000D0600"/>
    <w:rsid w:val="000D2404"/>
    <w:rsid w:val="000E03CE"/>
    <w:rsid w:val="000F1F19"/>
    <w:rsid w:val="000F39E0"/>
    <w:rsid w:val="000F53C6"/>
    <w:rsid w:val="000F79AD"/>
    <w:rsid w:val="00102971"/>
    <w:rsid w:val="00126407"/>
    <w:rsid w:val="0013317E"/>
    <w:rsid w:val="0013424F"/>
    <w:rsid w:val="00141BFC"/>
    <w:rsid w:val="00142258"/>
    <w:rsid w:val="00155B51"/>
    <w:rsid w:val="001570D3"/>
    <w:rsid w:val="001604C8"/>
    <w:rsid w:val="00161D3D"/>
    <w:rsid w:val="0017157E"/>
    <w:rsid w:val="00175804"/>
    <w:rsid w:val="00184B2A"/>
    <w:rsid w:val="001A16AA"/>
    <w:rsid w:val="001A38BA"/>
    <w:rsid w:val="001A4F15"/>
    <w:rsid w:val="001A697C"/>
    <w:rsid w:val="001B0167"/>
    <w:rsid w:val="001B7F0D"/>
    <w:rsid w:val="001C0417"/>
    <w:rsid w:val="001C147A"/>
    <w:rsid w:val="001C325F"/>
    <w:rsid w:val="001C39E5"/>
    <w:rsid w:val="001C70A5"/>
    <w:rsid w:val="001D2365"/>
    <w:rsid w:val="001D505D"/>
    <w:rsid w:val="001D5ADD"/>
    <w:rsid w:val="001D7F97"/>
    <w:rsid w:val="002003D6"/>
    <w:rsid w:val="0020184F"/>
    <w:rsid w:val="00203195"/>
    <w:rsid w:val="00211B15"/>
    <w:rsid w:val="00214B64"/>
    <w:rsid w:val="00222095"/>
    <w:rsid w:val="00223807"/>
    <w:rsid w:val="00225908"/>
    <w:rsid w:val="00235917"/>
    <w:rsid w:val="00242795"/>
    <w:rsid w:val="0024531A"/>
    <w:rsid w:val="00246F98"/>
    <w:rsid w:val="0025012B"/>
    <w:rsid w:val="002511EA"/>
    <w:rsid w:val="002521EA"/>
    <w:rsid w:val="0026100C"/>
    <w:rsid w:val="002636F1"/>
    <w:rsid w:val="00265775"/>
    <w:rsid w:val="0027705B"/>
    <w:rsid w:val="002821E1"/>
    <w:rsid w:val="00295CD9"/>
    <w:rsid w:val="002A59F6"/>
    <w:rsid w:val="002B145D"/>
    <w:rsid w:val="002B163D"/>
    <w:rsid w:val="002C29C5"/>
    <w:rsid w:val="002C56AD"/>
    <w:rsid w:val="002C690A"/>
    <w:rsid w:val="002D1560"/>
    <w:rsid w:val="002D1DD4"/>
    <w:rsid w:val="002E0BEC"/>
    <w:rsid w:val="002E1A3E"/>
    <w:rsid w:val="002E6989"/>
    <w:rsid w:val="002F337A"/>
    <w:rsid w:val="002F406A"/>
    <w:rsid w:val="002F69AF"/>
    <w:rsid w:val="002F6DFB"/>
    <w:rsid w:val="00304EC4"/>
    <w:rsid w:val="00305B67"/>
    <w:rsid w:val="00321744"/>
    <w:rsid w:val="00322911"/>
    <w:rsid w:val="003337F3"/>
    <w:rsid w:val="003469D4"/>
    <w:rsid w:val="00346ABB"/>
    <w:rsid w:val="0035539C"/>
    <w:rsid w:val="003655C6"/>
    <w:rsid w:val="00365678"/>
    <w:rsid w:val="0036691E"/>
    <w:rsid w:val="003669EC"/>
    <w:rsid w:val="003678DC"/>
    <w:rsid w:val="00367BB1"/>
    <w:rsid w:val="00367FEC"/>
    <w:rsid w:val="00372819"/>
    <w:rsid w:val="00381A77"/>
    <w:rsid w:val="00385E90"/>
    <w:rsid w:val="003B5037"/>
    <w:rsid w:val="003C1035"/>
    <w:rsid w:val="003C446E"/>
    <w:rsid w:val="003C4E3D"/>
    <w:rsid w:val="003E1BB0"/>
    <w:rsid w:val="003E490F"/>
    <w:rsid w:val="003E58A3"/>
    <w:rsid w:val="00406FF9"/>
    <w:rsid w:val="00407895"/>
    <w:rsid w:val="00420934"/>
    <w:rsid w:val="00421D8B"/>
    <w:rsid w:val="00427FFC"/>
    <w:rsid w:val="00432BBC"/>
    <w:rsid w:val="00433BD6"/>
    <w:rsid w:val="004610FC"/>
    <w:rsid w:val="0046205B"/>
    <w:rsid w:val="00462C41"/>
    <w:rsid w:val="00464F35"/>
    <w:rsid w:val="00471EBC"/>
    <w:rsid w:val="004748CC"/>
    <w:rsid w:val="00480221"/>
    <w:rsid w:val="00487AD8"/>
    <w:rsid w:val="004A1096"/>
    <w:rsid w:val="004B0454"/>
    <w:rsid w:val="004B063B"/>
    <w:rsid w:val="004B09A5"/>
    <w:rsid w:val="004B3DDE"/>
    <w:rsid w:val="004B443B"/>
    <w:rsid w:val="004B4588"/>
    <w:rsid w:val="004C0343"/>
    <w:rsid w:val="004C042B"/>
    <w:rsid w:val="004D3BA9"/>
    <w:rsid w:val="004F49C2"/>
    <w:rsid w:val="004F6E47"/>
    <w:rsid w:val="00503B4F"/>
    <w:rsid w:val="00505C6D"/>
    <w:rsid w:val="005064BB"/>
    <w:rsid w:val="0050681F"/>
    <w:rsid w:val="00507119"/>
    <w:rsid w:val="00521CC4"/>
    <w:rsid w:val="00523735"/>
    <w:rsid w:val="005250E7"/>
    <w:rsid w:val="005317F6"/>
    <w:rsid w:val="005463C8"/>
    <w:rsid w:val="00546451"/>
    <w:rsid w:val="00553080"/>
    <w:rsid w:val="005615A8"/>
    <w:rsid w:val="0056330D"/>
    <w:rsid w:val="00567DAA"/>
    <w:rsid w:val="0057143C"/>
    <w:rsid w:val="00574CC1"/>
    <w:rsid w:val="005862A4"/>
    <w:rsid w:val="00591819"/>
    <w:rsid w:val="0059319B"/>
    <w:rsid w:val="005969EC"/>
    <w:rsid w:val="005971E6"/>
    <w:rsid w:val="005A05F7"/>
    <w:rsid w:val="005A296D"/>
    <w:rsid w:val="005B34B5"/>
    <w:rsid w:val="005B69A5"/>
    <w:rsid w:val="005C3E8D"/>
    <w:rsid w:val="005D31A7"/>
    <w:rsid w:val="005E19D5"/>
    <w:rsid w:val="005E2931"/>
    <w:rsid w:val="005E2FAC"/>
    <w:rsid w:val="005E6107"/>
    <w:rsid w:val="005E7BFE"/>
    <w:rsid w:val="00602A75"/>
    <w:rsid w:val="00602D0E"/>
    <w:rsid w:val="00603718"/>
    <w:rsid w:val="00604F60"/>
    <w:rsid w:val="006059E0"/>
    <w:rsid w:val="00605A7D"/>
    <w:rsid w:val="00605DE3"/>
    <w:rsid w:val="0061789C"/>
    <w:rsid w:val="00620193"/>
    <w:rsid w:val="006235C3"/>
    <w:rsid w:val="00626E07"/>
    <w:rsid w:val="00633136"/>
    <w:rsid w:val="006371CC"/>
    <w:rsid w:val="006404CB"/>
    <w:rsid w:val="006654B5"/>
    <w:rsid w:val="00667C94"/>
    <w:rsid w:val="0067087A"/>
    <w:rsid w:val="00674E8A"/>
    <w:rsid w:val="006862D0"/>
    <w:rsid w:val="00686908"/>
    <w:rsid w:val="00696F2B"/>
    <w:rsid w:val="00697ED4"/>
    <w:rsid w:val="006A0AE8"/>
    <w:rsid w:val="006C7A09"/>
    <w:rsid w:val="006D1397"/>
    <w:rsid w:val="006D21C5"/>
    <w:rsid w:val="006D4BB1"/>
    <w:rsid w:val="006F0989"/>
    <w:rsid w:val="006F525B"/>
    <w:rsid w:val="0070143F"/>
    <w:rsid w:val="007134AF"/>
    <w:rsid w:val="007139E8"/>
    <w:rsid w:val="007311AA"/>
    <w:rsid w:val="007402A7"/>
    <w:rsid w:val="0074393B"/>
    <w:rsid w:val="00753C00"/>
    <w:rsid w:val="007662B1"/>
    <w:rsid w:val="0077265E"/>
    <w:rsid w:val="00775995"/>
    <w:rsid w:val="00775ACA"/>
    <w:rsid w:val="00790948"/>
    <w:rsid w:val="00790C49"/>
    <w:rsid w:val="0079139A"/>
    <w:rsid w:val="0079159E"/>
    <w:rsid w:val="00791D31"/>
    <w:rsid w:val="007975C3"/>
    <w:rsid w:val="007A33EB"/>
    <w:rsid w:val="007B1DAA"/>
    <w:rsid w:val="007B21C9"/>
    <w:rsid w:val="007B420C"/>
    <w:rsid w:val="007C0001"/>
    <w:rsid w:val="007C0350"/>
    <w:rsid w:val="007C0B19"/>
    <w:rsid w:val="007C7BE5"/>
    <w:rsid w:val="007D6F88"/>
    <w:rsid w:val="007E32C0"/>
    <w:rsid w:val="007E42F1"/>
    <w:rsid w:val="007F1BC5"/>
    <w:rsid w:val="007F2AE5"/>
    <w:rsid w:val="00802DBA"/>
    <w:rsid w:val="008102B9"/>
    <w:rsid w:val="00815388"/>
    <w:rsid w:val="008154B6"/>
    <w:rsid w:val="008217EE"/>
    <w:rsid w:val="00826FD4"/>
    <w:rsid w:val="008428AB"/>
    <w:rsid w:val="00842DAB"/>
    <w:rsid w:val="00843740"/>
    <w:rsid w:val="00845600"/>
    <w:rsid w:val="008458F2"/>
    <w:rsid w:val="00851551"/>
    <w:rsid w:val="008520AE"/>
    <w:rsid w:val="0085560F"/>
    <w:rsid w:val="00857698"/>
    <w:rsid w:val="008576CE"/>
    <w:rsid w:val="0086051A"/>
    <w:rsid w:val="00862B29"/>
    <w:rsid w:val="00864DE0"/>
    <w:rsid w:val="00873F54"/>
    <w:rsid w:val="00874791"/>
    <w:rsid w:val="00880988"/>
    <w:rsid w:val="00882B6B"/>
    <w:rsid w:val="00887A35"/>
    <w:rsid w:val="0089586A"/>
    <w:rsid w:val="008A0C40"/>
    <w:rsid w:val="008B6614"/>
    <w:rsid w:val="008B6890"/>
    <w:rsid w:val="008C6597"/>
    <w:rsid w:val="008C704E"/>
    <w:rsid w:val="008C77F9"/>
    <w:rsid w:val="008D254F"/>
    <w:rsid w:val="008D52AA"/>
    <w:rsid w:val="008D7AD9"/>
    <w:rsid w:val="008E0977"/>
    <w:rsid w:val="008F01A2"/>
    <w:rsid w:val="008F0EC5"/>
    <w:rsid w:val="008F3996"/>
    <w:rsid w:val="008F6113"/>
    <w:rsid w:val="00917979"/>
    <w:rsid w:val="00921080"/>
    <w:rsid w:val="00927A3F"/>
    <w:rsid w:val="00931BF9"/>
    <w:rsid w:val="00953F2B"/>
    <w:rsid w:val="00957359"/>
    <w:rsid w:val="00964224"/>
    <w:rsid w:val="00965CCA"/>
    <w:rsid w:val="0097304F"/>
    <w:rsid w:val="0097534A"/>
    <w:rsid w:val="00975893"/>
    <w:rsid w:val="00977002"/>
    <w:rsid w:val="009818A5"/>
    <w:rsid w:val="009900F0"/>
    <w:rsid w:val="00992B1D"/>
    <w:rsid w:val="009A7A53"/>
    <w:rsid w:val="009B15B5"/>
    <w:rsid w:val="009B77F2"/>
    <w:rsid w:val="009B7DD2"/>
    <w:rsid w:val="009C084E"/>
    <w:rsid w:val="009C20F2"/>
    <w:rsid w:val="009C2D1A"/>
    <w:rsid w:val="009C54DD"/>
    <w:rsid w:val="009E053F"/>
    <w:rsid w:val="009F3DE6"/>
    <w:rsid w:val="00A01A2F"/>
    <w:rsid w:val="00A05C4D"/>
    <w:rsid w:val="00A07918"/>
    <w:rsid w:val="00A147FF"/>
    <w:rsid w:val="00A1504A"/>
    <w:rsid w:val="00A23533"/>
    <w:rsid w:val="00A32E5C"/>
    <w:rsid w:val="00A339FA"/>
    <w:rsid w:val="00A35E72"/>
    <w:rsid w:val="00A5449E"/>
    <w:rsid w:val="00A61A9F"/>
    <w:rsid w:val="00A64B73"/>
    <w:rsid w:val="00A64CDB"/>
    <w:rsid w:val="00A72646"/>
    <w:rsid w:val="00A729DC"/>
    <w:rsid w:val="00A8353B"/>
    <w:rsid w:val="00A84CF0"/>
    <w:rsid w:val="00A87006"/>
    <w:rsid w:val="00AA099B"/>
    <w:rsid w:val="00AA3586"/>
    <w:rsid w:val="00AB4677"/>
    <w:rsid w:val="00AB7309"/>
    <w:rsid w:val="00AC0B42"/>
    <w:rsid w:val="00AC123A"/>
    <w:rsid w:val="00AC41EC"/>
    <w:rsid w:val="00AC50E7"/>
    <w:rsid w:val="00AC55B0"/>
    <w:rsid w:val="00AD3CBA"/>
    <w:rsid w:val="00AD3F83"/>
    <w:rsid w:val="00AD6399"/>
    <w:rsid w:val="00AD740A"/>
    <w:rsid w:val="00AE4549"/>
    <w:rsid w:val="00AE4B8D"/>
    <w:rsid w:val="00AE567A"/>
    <w:rsid w:val="00AF32BE"/>
    <w:rsid w:val="00B03DD4"/>
    <w:rsid w:val="00B046DF"/>
    <w:rsid w:val="00B10578"/>
    <w:rsid w:val="00B11421"/>
    <w:rsid w:val="00B11C4E"/>
    <w:rsid w:val="00B14972"/>
    <w:rsid w:val="00B14FB6"/>
    <w:rsid w:val="00B15C95"/>
    <w:rsid w:val="00B16ED0"/>
    <w:rsid w:val="00B20577"/>
    <w:rsid w:val="00B2165B"/>
    <w:rsid w:val="00B229A2"/>
    <w:rsid w:val="00B22FF8"/>
    <w:rsid w:val="00B25F5A"/>
    <w:rsid w:val="00B262B7"/>
    <w:rsid w:val="00B30FB8"/>
    <w:rsid w:val="00B333B0"/>
    <w:rsid w:val="00B34AED"/>
    <w:rsid w:val="00B54375"/>
    <w:rsid w:val="00B56130"/>
    <w:rsid w:val="00B65CF0"/>
    <w:rsid w:val="00B819E2"/>
    <w:rsid w:val="00B84001"/>
    <w:rsid w:val="00B84B3F"/>
    <w:rsid w:val="00B85534"/>
    <w:rsid w:val="00B9306C"/>
    <w:rsid w:val="00B96C37"/>
    <w:rsid w:val="00BA279B"/>
    <w:rsid w:val="00BA5DD6"/>
    <w:rsid w:val="00BA6E97"/>
    <w:rsid w:val="00BB24BE"/>
    <w:rsid w:val="00BB70F7"/>
    <w:rsid w:val="00BB758B"/>
    <w:rsid w:val="00BC0E88"/>
    <w:rsid w:val="00BC2D7F"/>
    <w:rsid w:val="00BC3225"/>
    <w:rsid w:val="00BC54F4"/>
    <w:rsid w:val="00BC6753"/>
    <w:rsid w:val="00BC736B"/>
    <w:rsid w:val="00BC7DC1"/>
    <w:rsid w:val="00BE027F"/>
    <w:rsid w:val="00BE101F"/>
    <w:rsid w:val="00BF4C56"/>
    <w:rsid w:val="00C009AE"/>
    <w:rsid w:val="00C01CFD"/>
    <w:rsid w:val="00C06266"/>
    <w:rsid w:val="00C13F1B"/>
    <w:rsid w:val="00C169C2"/>
    <w:rsid w:val="00C235B4"/>
    <w:rsid w:val="00C30D85"/>
    <w:rsid w:val="00C502E5"/>
    <w:rsid w:val="00C53CAF"/>
    <w:rsid w:val="00C624A8"/>
    <w:rsid w:val="00C642E6"/>
    <w:rsid w:val="00C70D1F"/>
    <w:rsid w:val="00C72E69"/>
    <w:rsid w:val="00C815EC"/>
    <w:rsid w:val="00C81E9D"/>
    <w:rsid w:val="00C81FF1"/>
    <w:rsid w:val="00CA0E0A"/>
    <w:rsid w:val="00CA39C4"/>
    <w:rsid w:val="00CA442E"/>
    <w:rsid w:val="00CA546C"/>
    <w:rsid w:val="00CB02CA"/>
    <w:rsid w:val="00CC22AC"/>
    <w:rsid w:val="00CC4E50"/>
    <w:rsid w:val="00CD1BC8"/>
    <w:rsid w:val="00CD68E1"/>
    <w:rsid w:val="00CE24A4"/>
    <w:rsid w:val="00CE5FCD"/>
    <w:rsid w:val="00CF0F39"/>
    <w:rsid w:val="00CF1FC4"/>
    <w:rsid w:val="00D00A53"/>
    <w:rsid w:val="00D02F38"/>
    <w:rsid w:val="00D03619"/>
    <w:rsid w:val="00D061A5"/>
    <w:rsid w:val="00D23B65"/>
    <w:rsid w:val="00D26F0C"/>
    <w:rsid w:val="00D34819"/>
    <w:rsid w:val="00D41BC5"/>
    <w:rsid w:val="00D50F2A"/>
    <w:rsid w:val="00D60FBD"/>
    <w:rsid w:val="00D62861"/>
    <w:rsid w:val="00D64F2D"/>
    <w:rsid w:val="00D67F6D"/>
    <w:rsid w:val="00D72542"/>
    <w:rsid w:val="00D72DE6"/>
    <w:rsid w:val="00D74EC4"/>
    <w:rsid w:val="00D81E56"/>
    <w:rsid w:val="00D862F3"/>
    <w:rsid w:val="00D8738D"/>
    <w:rsid w:val="00D911D2"/>
    <w:rsid w:val="00D94717"/>
    <w:rsid w:val="00DA5F09"/>
    <w:rsid w:val="00DA773B"/>
    <w:rsid w:val="00DB06DE"/>
    <w:rsid w:val="00DB42E7"/>
    <w:rsid w:val="00DC3FAA"/>
    <w:rsid w:val="00DC694B"/>
    <w:rsid w:val="00DC6F64"/>
    <w:rsid w:val="00DD292F"/>
    <w:rsid w:val="00DD36FA"/>
    <w:rsid w:val="00DD6C0B"/>
    <w:rsid w:val="00DD734F"/>
    <w:rsid w:val="00DE1C99"/>
    <w:rsid w:val="00DE3027"/>
    <w:rsid w:val="00DE5AA0"/>
    <w:rsid w:val="00DE5FA7"/>
    <w:rsid w:val="00DF6894"/>
    <w:rsid w:val="00E042EF"/>
    <w:rsid w:val="00E23BB2"/>
    <w:rsid w:val="00E27E4D"/>
    <w:rsid w:val="00E30EBA"/>
    <w:rsid w:val="00E3275B"/>
    <w:rsid w:val="00E402F7"/>
    <w:rsid w:val="00E420AC"/>
    <w:rsid w:val="00E51CD8"/>
    <w:rsid w:val="00E527EF"/>
    <w:rsid w:val="00E5386D"/>
    <w:rsid w:val="00E538BA"/>
    <w:rsid w:val="00E60374"/>
    <w:rsid w:val="00E61C5A"/>
    <w:rsid w:val="00E644C1"/>
    <w:rsid w:val="00E651B6"/>
    <w:rsid w:val="00E65315"/>
    <w:rsid w:val="00E822C6"/>
    <w:rsid w:val="00E8328B"/>
    <w:rsid w:val="00E84002"/>
    <w:rsid w:val="00E84EBB"/>
    <w:rsid w:val="00E8601A"/>
    <w:rsid w:val="00E92580"/>
    <w:rsid w:val="00E94486"/>
    <w:rsid w:val="00E97695"/>
    <w:rsid w:val="00EB14F3"/>
    <w:rsid w:val="00EB7066"/>
    <w:rsid w:val="00EC2AAC"/>
    <w:rsid w:val="00EC54FC"/>
    <w:rsid w:val="00ED2032"/>
    <w:rsid w:val="00EE660C"/>
    <w:rsid w:val="00EF1C00"/>
    <w:rsid w:val="00EF239E"/>
    <w:rsid w:val="00EF49FF"/>
    <w:rsid w:val="00EF6AA3"/>
    <w:rsid w:val="00F01AA9"/>
    <w:rsid w:val="00F01D3F"/>
    <w:rsid w:val="00F06586"/>
    <w:rsid w:val="00F34A4D"/>
    <w:rsid w:val="00F4151A"/>
    <w:rsid w:val="00F46381"/>
    <w:rsid w:val="00F4749D"/>
    <w:rsid w:val="00F513E9"/>
    <w:rsid w:val="00F5150A"/>
    <w:rsid w:val="00F52345"/>
    <w:rsid w:val="00F556AB"/>
    <w:rsid w:val="00F57849"/>
    <w:rsid w:val="00F6152B"/>
    <w:rsid w:val="00F61BB3"/>
    <w:rsid w:val="00F621BA"/>
    <w:rsid w:val="00F65188"/>
    <w:rsid w:val="00F765A9"/>
    <w:rsid w:val="00F80744"/>
    <w:rsid w:val="00F85C75"/>
    <w:rsid w:val="00FB6542"/>
    <w:rsid w:val="00FC261A"/>
    <w:rsid w:val="00FD47B6"/>
    <w:rsid w:val="00FD4CBC"/>
    <w:rsid w:val="00FE1828"/>
    <w:rsid w:val="00FF64C9"/>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839F1409-1B70-4EA1-8D21-866B56944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61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61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113"/>
  </w:style>
  <w:style w:type="paragraph" w:styleId="Stopka">
    <w:name w:val="footer"/>
    <w:basedOn w:val="Normalny"/>
    <w:link w:val="StopkaZnak"/>
    <w:uiPriority w:val="99"/>
    <w:unhideWhenUsed/>
    <w:rsid w:val="008F61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113"/>
  </w:style>
  <w:style w:type="paragraph" w:styleId="Tekstdymka">
    <w:name w:val="Balloon Text"/>
    <w:basedOn w:val="Normalny"/>
    <w:link w:val="TekstdymkaZnak"/>
    <w:uiPriority w:val="99"/>
    <w:semiHidden/>
    <w:unhideWhenUsed/>
    <w:rsid w:val="008F61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8F6113"/>
    <w:rPr>
      <w:rFonts w:ascii="Tahoma" w:hAnsi="Tahoma" w:cs="Tahoma"/>
      <w:sz w:val="16"/>
      <w:szCs w:val="16"/>
    </w:rPr>
  </w:style>
  <w:style w:type="paragraph" w:styleId="Akapitzlist">
    <w:name w:val="List Paragraph"/>
    <w:basedOn w:val="Normalny"/>
    <w:uiPriority w:val="34"/>
    <w:qFormat/>
    <w:rsid w:val="005250E7"/>
    <w:pPr>
      <w:ind w:left="720"/>
      <w:contextualSpacing/>
    </w:pPr>
  </w:style>
  <w:style w:type="paragraph" w:customStyle="1" w:styleId="TYTUAKTUprzedmiotregulacjiustawylubrozporzdzenia">
    <w:name w:val="TYTUŁ_AKTU – przedmiot regulacji ustawy lub rozporządzenia"/>
    <w:next w:val="Normalny"/>
    <w:uiPriority w:val="6"/>
    <w:qFormat/>
    <w:rsid w:val="002F337A"/>
    <w:pPr>
      <w:keepNext/>
      <w:suppressAutoHyphens/>
      <w:spacing w:before="120" w:after="360" w:line="360" w:lineRule="auto"/>
      <w:jc w:val="center"/>
    </w:pPr>
    <w:rPr>
      <w:rFonts w:ascii="Times" w:eastAsiaTheme="minorEastAsia" w:hAnsi="Times" w:cs="Arial"/>
      <w:b/>
      <w:bCs/>
      <w:sz w:val="24"/>
      <w:szCs w:val="24"/>
    </w:rPr>
  </w:style>
  <w:style w:type="paragraph" w:styleId="NormalnyWeb">
    <w:name w:val="Normal (Web)"/>
    <w:basedOn w:val="Normalny"/>
    <w:unhideWhenUsed/>
    <w:rsid w:val="00DA5F0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F6152B"/>
    <w:pPr>
      <w:autoSpaceDE w:val="0"/>
      <w:autoSpaceDN w:val="0"/>
      <w:adjustRightInd w:val="0"/>
    </w:pPr>
    <w:rPr>
      <w:rFonts w:ascii="Times New Roman" w:eastAsia="Times New Roman" w:hAnsi="Times New Roman"/>
      <w:color w:val="000000"/>
      <w:sz w:val="24"/>
      <w:szCs w:val="24"/>
    </w:rPr>
  </w:style>
  <w:style w:type="character" w:customStyle="1" w:styleId="articletitle">
    <w:name w:val="articletitle"/>
    <w:basedOn w:val="Domylnaczcionkaakapitu"/>
    <w:rsid w:val="00F6152B"/>
  </w:style>
  <w:style w:type="character" w:styleId="Hipercze">
    <w:name w:val="Hyperlink"/>
    <w:basedOn w:val="Domylnaczcionkaakapitu"/>
    <w:uiPriority w:val="99"/>
    <w:unhideWhenUsed/>
    <w:rsid w:val="00235917"/>
    <w:rPr>
      <w:color w:val="0000FF"/>
      <w:u w:val="single"/>
    </w:rPr>
  </w:style>
  <w:style w:type="paragraph" w:styleId="Tekstprzypisudolnego">
    <w:name w:val="footnote text"/>
    <w:basedOn w:val="Normalny"/>
    <w:link w:val="TekstprzypisudolnegoZnak"/>
    <w:uiPriority w:val="99"/>
    <w:semiHidden/>
    <w:unhideWhenUsed/>
    <w:rsid w:val="00B5437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375"/>
    <w:rPr>
      <w:lang w:eastAsia="en-US"/>
    </w:rPr>
  </w:style>
  <w:style w:type="character" w:styleId="Odwoanieprzypisudolnego">
    <w:name w:val="footnote reference"/>
    <w:basedOn w:val="Domylnaczcionkaakapitu"/>
    <w:uiPriority w:val="99"/>
    <w:semiHidden/>
    <w:unhideWhenUsed/>
    <w:rsid w:val="00B54375"/>
    <w:rPr>
      <w:vertAlign w:val="superscript"/>
    </w:rPr>
  </w:style>
  <w:style w:type="paragraph" w:customStyle="1" w:styleId="LITlitera">
    <w:name w:val="LIT – litera"/>
    <w:basedOn w:val="Normalny"/>
    <w:uiPriority w:val="99"/>
    <w:qFormat/>
    <w:rsid w:val="00E402F7"/>
    <w:pPr>
      <w:spacing w:after="0" w:line="360" w:lineRule="auto"/>
      <w:ind w:left="986" w:hanging="476"/>
      <w:jc w:val="both"/>
    </w:pPr>
    <w:rPr>
      <w:rFonts w:ascii="Times" w:eastAsia="Times New Roman" w:hAnsi="Times" w:cs="Arial"/>
      <w:bCs/>
      <w:sz w:val="24"/>
      <w:szCs w:val="20"/>
      <w:lang w:eastAsia="pl-PL"/>
    </w:rPr>
  </w:style>
  <w:style w:type="paragraph" w:customStyle="1" w:styleId="USTustnpkodeksu">
    <w:name w:val="UST(§) – ust. (§ np. kodeksu)"/>
    <w:basedOn w:val="Normalny"/>
    <w:uiPriority w:val="99"/>
    <w:qFormat/>
    <w:rsid w:val="000460F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99"/>
    <w:qFormat/>
    <w:rsid w:val="000460FA"/>
    <w:rPr>
      <w:b/>
    </w:rPr>
  </w:style>
  <w:style w:type="paragraph" w:customStyle="1" w:styleId="UdSC-tekst10">
    <w:name w:val="UdSC-tekst_10"/>
    <w:link w:val="UdSC-tekst10Char"/>
    <w:qFormat/>
    <w:rsid w:val="007311AA"/>
    <w:pPr>
      <w:spacing w:after="160" w:line="259" w:lineRule="auto"/>
    </w:pPr>
    <w:rPr>
      <w:rFonts w:ascii="Roboto" w:eastAsiaTheme="minorHAnsi" w:hAnsi="Roboto" w:cs="Arial"/>
      <w:color w:val="262626" w:themeColor="text1" w:themeTint="D9"/>
      <w:lang w:eastAsia="en-US"/>
    </w:rPr>
  </w:style>
  <w:style w:type="character" w:customStyle="1" w:styleId="UdSC-tekst10Char">
    <w:name w:val="UdSC-tekst_10 Char"/>
    <w:basedOn w:val="NagwekZnak"/>
    <w:link w:val="UdSC-tekst10"/>
    <w:rsid w:val="007311AA"/>
    <w:rPr>
      <w:rFonts w:ascii="Roboto" w:eastAsiaTheme="minorHAnsi" w:hAnsi="Roboto" w:cs="Arial"/>
      <w:color w:val="262626" w:themeColor="text1" w:themeTint="D9"/>
      <w:lang w:eastAsia="en-US"/>
    </w:rPr>
  </w:style>
  <w:style w:type="character" w:customStyle="1" w:styleId="Teksttreci">
    <w:name w:val="Tekst treści_"/>
    <w:basedOn w:val="Domylnaczcionkaakapitu"/>
    <w:link w:val="Teksttreci0"/>
    <w:rsid w:val="00EF239E"/>
    <w:rPr>
      <w:rFonts w:ascii="Arial" w:eastAsia="Arial" w:hAnsi="Arial" w:cs="Arial"/>
      <w:sz w:val="18"/>
      <w:szCs w:val="18"/>
      <w:shd w:val="clear" w:color="auto" w:fill="FFFFFF"/>
    </w:rPr>
  </w:style>
  <w:style w:type="paragraph" w:customStyle="1" w:styleId="Teksttreci0">
    <w:name w:val="Tekst treści"/>
    <w:basedOn w:val="Normalny"/>
    <w:link w:val="Teksttreci"/>
    <w:rsid w:val="00EF239E"/>
    <w:pPr>
      <w:widowControl w:val="0"/>
      <w:shd w:val="clear" w:color="auto" w:fill="FFFFFF"/>
      <w:spacing w:before="120" w:after="0" w:line="480" w:lineRule="exact"/>
      <w:ind w:hanging="420"/>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7845">
      <w:bodyDiv w:val="1"/>
      <w:marLeft w:val="0"/>
      <w:marRight w:val="0"/>
      <w:marTop w:val="0"/>
      <w:marBottom w:val="0"/>
      <w:divBdr>
        <w:top w:val="none" w:sz="0" w:space="0" w:color="auto"/>
        <w:left w:val="none" w:sz="0" w:space="0" w:color="auto"/>
        <w:bottom w:val="none" w:sz="0" w:space="0" w:color="auto"/>
        <w:right w:val="none" w:sz="0" w:space="0" w:color="auto"/>
      </w:divBdr>
    </w:div>
    <w:div w:id="172765158">
      <w:bodyDiv w:val="1"/>
      <w:marLeft w:val="0"/>
      <w:marRight w:val="0"/>
      <w:marTop w:val="0"/>
      <w:marBottom w:val="0"/>
      <w:divBdr>
        <w:top w:val="none" w:sz="0" w:space="0" w:color="auto"/>
        <w:left w:val="none" w:sz="0" w:space="0" w:color="auto"/>
        <w:bottom w:val="none" w:sz="0" w:space="0" w:color="auto"/>
        <w:right w:val="none" w:sz="0" w:space="0" w:color="auto"/>
      </w:divBdr>
    </w:div>
    <w:div w:id="262492994">
      <w:bodyDiv w:val="1"/>
      <w:marLeft w:val="0"/>
      <w:marRight w:val="0"/>
      <w:marTop w:val="0"/>
      <w:marBottom w:val="0"/>
      <w:divBdr>
        <w:top w:val="none" w:sz="0" w:space="0" w:color="auto"/>
        <w:left w:val="none" w:sz="0" w:space="0" w:color="auto"/>
        <w:bottom w:val="none" w:sz="0" w:space="0" w:color="auto"/>
        <w:right w:val="none" w:sz="0" w:space="0" w:color="auto"/>
      </w:divBdr>
    </w:div>
    <w:div w:id="374280144">
      <w:bodyDiv w:val="1"/>
      <w:marLeft w:val="0"/>
      <w:marRight w:val="0"/>
      <w:marTop w:val="0"/>
      <w:marBottom w:val="0"/>
      <w:divBdr>
        <w:top w:val="none" w:sz="0" w:space="0" w:color="auto"/>
        <w:left w:val="none" w:sz="0" w:space="0" w:color="auto"/>
        <w:bottom w:val="none" w:sz="0" w:space="0" w:color="auto"/>
        <w:right w:val="none" w:sz="0" w:space="0" w:color="auto"/>
      </w:divBdr>
    </w:div>
    <w:div w:id="744567177">
      <w:bodyDiv w:val="1"/>
      <w:marLeft w:val="0"/>
      <w:marRight w:val="0"/>
      <w:marTop w:val="0"/>
      <w:marBottom w:val="0"/>
      <w:divBdr>
        <w:top w:val="none" w:sz="0" w:space="0" w:color="auto"/>
        <w:left w:val="none" w:sz="0" w:space="0" w:color="auto"/>
        <w:bottom w:val="none" w:sz="0" w:space="0" w:color="auto"/>
        <w:right w:val="none" w:sz="0" w:space="0" w:color="auto"/>
      </w:divBdr>
    </w:div>
    <w:div w:id="766384125">
      <w:bodyDiv w:val="1"/>
      <w:marLeft w:val="0"/>
      <w:marRight w:val="0"/>
      <w:marTop w:val="0"/>
      <w:marBottom w:val="0"/>
      <w:divBdr>
        <w:top w:val="none" w:sz="0" w:space="0" w:color="auto"/>
        <w:left w:val="none" w:sz="0" w:space="0" w:color="auto"/>
        <w:bottom w:val="none" w:sz="0" w:space="0" w:color="auto"/>
        <w:right w:val="none" w:sz="0" w:space="0" w:color="auto"/>
      </w:divBdr>
    </w:div>
    <w:div w:id="818809005">
      <w:bodyDiv w:val="1"/>
      <w:marLeft w:val="0"/>
      <w:marRight w:val="0"/>
      <w:marTop w:val="0"/>
      <w:marBottom w:val="0"/>
      <w:divBdr>
        <w:top w:val="none" w:sz="0" w:space="0" w:color="auto"/>
        <w:left w:val="none" w:sz="0" w:space="0" w:color="auto"/>
        <w:bottom w:val="none" w:sz="0" w:space="0" w:color="auto"/>
        <w:right w:val="none" w:sz="0" w:space="0" w:color="auto"/>
      </w:divBdr>
    </w:div>
    <w:div w:id="885291905">
      <w:bodyDiv w:val="1"/>
      <w:marLeft w:val="0"/>
      <w:marRight w:val="0"/>
      <w:marTop w:val="0"/>
      <w:marBottom w:val="0"/>
      <w:divBdr>
        <w:top w:val="none" w:sz="0" w:space="0" w:color="auto"/>
        <w:left w:val="none" w:sz="0" w:space="0" w:color="auto"/>
        <w:bottom w:val="none" w:sz="0" w:space="0" w:color="auto"/>
        <w:right w:val="none" w:sz="0" w:space="0" w:color="auto"/>
      </w:divBdr>
    </w:div>
    <w:div w:id="990013927">
      <w:bodyDiv w:val="1"/>
      <w:marLeft w:val="0"/>
      <w:marRight w:val="0"/>
      <w:marTop w:val="0"/>
      <w:marBottom w:val="0"/>
      <w:divBdr>
        <w:top w:val="none" w:sz="0" w:space="0" w:color="auto"/>
        <w:left w:val="none" w:sz="0" w:space="0" w:color="auto"/>
        <w:bottom w:val="none" w:sz="0" w:space="0" w:color="auto"/>
        <w:right w:val="none" w:sz="0" w:space="0" w:color="auto"/>
      </w:divBdr>
    </w:div>
    <w:div w:id="994142086">
      <w:bodyDiv w:val="1"/>
      <w:marLeft w:val="0"/>
      <w:marRight w:val="0"/>
      <w:marTop w:val="0"/>
      <w:marBottom w:val="0"/>
      <w:divBdr>
        <w:top w:val="none" w:sz="0" w:space="0" w:color="auto"/>
        <w:left w:val="none" w:sz="0" w:space="0" w:color="auto"/>
        <w:bottom w:val="none" w:sz="0" w:space="0" w:color="auto"/>
        <w:right w:val="none" w:sz="0" w:space="0" w:color="auto"/>
      </w:divBdr>
    </w:div>
    <w:div w:id="1075319436">
      <w:bodyDiv w:val="1"/>
      <w:marLeft w:val="0"/>
      <w:marRight w:val="0"/>
      <w:marTop w:val="0"/>
      <w:marBottom w:val="0"/>
      <w:divBdr>
        <w:top w:val="none" w:sz="0" w:space="0" w:color="auto"/>
        <w:left w:val="none" w:sz="0" w:space="0" w:color="auto"/>
        <w:bottom w:val="none" w:sz="0" w:space="0" w:color="auto"/>
        <w:right w:val="none" w:sz="0" w:space="0" w:color="auto"/>
      </w:divBdr>
    </w:div>
    <w:div w:id="1318803922">
      <w:bodyDiv w:val="1"/>
      <w:marLeft w:val="0"/>
      <w:marRight w:val="0"/>
      <w:marTop w:val="0"/>
      <w:marBottom w:val="0"/>
      <w:divBdr>
        <w:top w:val="none" w:sz="0" w:space="0" w:color="auto"/>
        <w:left w:val="none" w:sz="0" w:space="0" w:color="auto"/>
        <w:bottom w:val="none" w:sz="0" w:space="0" w:color="auto"/>
        <w:right w:val="none" w:sz="0" w:space="0" w:color="auto"/>
      </w:divBdr>
    </w:div>
    <w:div w:id="1617132690">
      <w:bodyDiv w:val="1"/>
      <w:marLeft w:val="0"/>
      <w:marRight w:val="0"/>
      <w:marTop w:val="0"/>
      <w:marBottom w:val="0"/>
      <w:divBdr>
        <w:top w:val="none" w:sz="0" w:space="0" w:color="auto"/>
        <w:left w:val="none" w:sz="0" w:space="0" w:color="auto"/>
        <w:bottom w:val="none" w:sz="0" w:space="0" w:color="auto"/>
        <w:right w:val="none" w:sz="0" w:space="0" w:color="auto"/>
      </w:divBdr>
    </w:div>
    <w:div w:id="1686057009">
      <w:bodyDiv w:val="1"/>
      <w:marLeft w:val="0"/>
      <w:marRight w:val="0"/>
      <w:marTop w:val="0"/>
      <w:marBottom w:val="0"/>
      <w:divBdr>
        <w:top w:val="none" w:sz="0" w:space="0" w:color="auto"/>
        <w:left w:val="none" w:sz="0" w:space="0" w:color="auto"/>
        <w:bottom w:val="none" w:sz="0" w:space="0" w:color="auto"/>
        <w:right w:val="none" w:sz="0" w:space="0" w:color="auto"/>
      </w:divBdr>
    </w:div>
    <w:div w:id="1712612431">
      <w:bodyDiv w:val="1"/>
      <w:marLeft w:val="0"/>
      <w:marRight w:val="0"/>
      <w:marTop w:val="0"/>
      <w:marBottom w:val="0"/>
      <w:divBdr>
        <w:top w:val="none" w:sz="0" w:space="0" w:color="auto"/>
        <w:left w:val="none" w:sz="0" w:space="0" w:color="auto"/>
        <w:bottom w:val="none" w:sz="0" w:space="0" w:color="auto"/>
        <w:right w:val="none" w:sz="0" w:space="0" w:color="auto"/>
      </w:divBdr>
    </w:div>
    <w:div w:id="1767648780">
      <w:bodyDiv w:val="1"/>
      <w:marLeft w:val="0"/>
      <w:marRight w:val="0"/>
      <w:marTop w:val="0"/>
      <w:marBottom w:val="0"/>
      <w:divBdr>
        <w:top w:val="none" w:sz="0" w:space="0" w:color="auto"/>
        <w:left w:val="none" w:sz="0" w:space="0" w:color="auto"/>
        <w:bottom w:val="none" w:sz="0" w:space="0" w:color="auto"/>
        <w:right w:val="none" w:sz="0" w:space="0" w:color="auto"/>
      </w:divBdr>
    </w:div>
    <w:div w:id="1770814595">
      <w:bodyDiv w:val="1"/>
      <w:marLeft w:val="0"/>
      <w:marRight w:val="0"/>
      <w:marTop w:val="0"/>
      <w:marBottom w:val="0"/>
      <w:divBdr>
        <w:top w:val="none" w:sz="0" w:space="0" w:color="auto"/>
        <w:left w:val="none" w:sz="0" w:space="0" w:color="auto"/>
        <w:bottom w:val="none" w:sz="0" w:space="0" w:color="auto"/>
        <w:right w:val="none" w:sz="0" w:space="0" w:color="auto"/>
      </w:divBdr>
    </w:div>
    <w:div w:id="1787580625">
      <w:bodyDiv w:val="1"/>
      <w:marLeft w:val="0"/>
      <w:marRight w:val="0"/>
      <w:marTop w:val="0"/>
      <w:marBottom w:val="0"/>
      <w:divBdr>
        <w:top w:val="none" w:sz="0" w:space="0" w:color="auto"/>
        <w:left w:val="none" w:sz="0" w:space="0" w:color="auto"/>
        <w:bottom w:val="none" w:sz="0" w:space="0" w:color="auto"/>
        <w:right w:val="none" w:sz="0" w:space="0" w:color="auto"/>
      </w:divBdr>
    </w:div>
    <w:div w:id="2076858471">
      <w:bodyDiv w:val="1"/>
      <w:marLeft w:val="0"/>
      <w:marRight w:val="0"/>
      <w:marTop w:val="0"/>
      <w:marBottom w:val="0"/>
      <w:divBdr>
        <w:top w:val="none" w:sz="0" w:space="0" w:color="auto"/>
        <w:left w:val="none" w:sz="0" w:space="0" w:color="auto"/>
        <w:bottom w:val="none" w:sz="0" w:space="0" w:color="auto"/>
        <w:right w:val="none" w:sz="0" w:space="0" w:color="auto"/>
      </w:divBdr>
    </w:div>
    <w:div w:id="212110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F88C5-5730-44DB-A372-E506AE9A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7535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Klimaszek Anna</dc:creator>
  <cp:lastModifiedBy>Mazurek Monika</cp:lastModifiedBy>
  <cp:revision>2</cp:revision>
  <cp:lastPrinted>2021-10-04T14:11:00Z</cp:lastPrinted>
  <dcterms:created xsi:type="dcterms:W3CDTF">2021-10-05T11:09:00Z</dcterms:created>
  <dcterms:modified xsi:type="dcterms:W3CDTF">2021-10-05T11:09:00Z</dcterms:modified>
</cp:coreProperties>
</file>