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1040" w:after="340"/>
        <w:ind w:left="0" w:right="0" w:firstLine="0"/>
        <w:jc w:val="left"/>
      </w:pPr>
      <w:r>
        <w:rPr>
          <w:rStyle w:val="CharStyle3"/>
        </w:rPr>
        <w:t>Olsztyn, dnia 15 lipca 2026 r. Znak sprawy:</w:t>
      </w:r>
    </w:p>
    <w:p>
      <w:pPr>
        <w:pStyle w:val="Style2"/>
        <w:keepNext w:val="0"/>
        <w:keepLines w:val="0"/>
        <w:widowControl w:val="0"/>
        <w:shd w:val="clear" w:color="auto" w:fill="auto"/>
        <w:bidi w:val="0"/>
        <w:spacing w:before="0" w:after="0"/>
        <w:ind w:left="0" w:right="0" w:firstLine="0"/>
        <w:jc w:val="left"/>
      </w:pPr>
      <w:r>
        <w:rPr>
          <w:rStyle w:val="CharStyle3"/>
          <w:b/>
          <w:bCs/>
        </w:rPr>
        <w:t>Szanowny Pan</w:t>
      </w:r>
    </w:p>
    <w:p>
      <w:pPr>
        <w:pStyle w:val="Style2"/>
        <w:keepNext w:val="0"/>
        <w:keepLines w:val="0"/>
        <w:widowControl w:val="0"/>
        <w:shd w:val="clear" w:color="auto" w:fill="auto"/>
        <w:bidi w:val="0"/>
        <w:spacing w:before="0" w:after="0"/>
        <w:ind w:left="0" w:right="0" w:firstLine="0"/>
        <w:jc w:val="left"/>
      </w:pPr>
      <w:r>
        <w:rPr>
          <w:rStyle w:val="CharStyle3"/>
          <w:b/>
          <w:bCs/>
        </w:rPr>
        <w:t>Mikołaj Dorożała</w:t>
      </w:r>
    </w:p>
    <w:p>
      <w:pPr>
        <w:pStyle w:val="Style2"/>
        <w:keepNext w:val="0"/>
        <w:keepLines w:val="0"/>
        <w:widowControl w:val="0"/>
        <w:shd w:val="clear" w:color="auto" w:fill="auto"/>
        <w:bidi w:val="0"/>
        <w:spacing w:before="0" w:after="0"/>
        <w:ind w:left="0" w:right="0" w:firstLine="0"/>
        <w:jc w:val="left"/>
      </w:pPr>
      <w:r>
        <w:rPr>
          <w:rStyle w:val="CharStyle3"/>
        </w:rPr>
        <w:t>Podsekretarz Stanu</w:t>
      </w:r>
    </w:p>
    <w:p>
      <w:pPr>
        <w:pStyle w:val="Style2"/>
        <w:keepNext w:val="0"/>
        <w:keepLines w:val="0"/>
        <w:widowControl w:val="0"/>
        <w:shd w:val="clear" w:color="auto" w:fill="auto"/>
        <w:bidi w:val="0"/>
        <w:spacing w:before="0" w:after="340"/>
        <w:ind w:left="0" w:right="0" w:firstLine="0"/>
        <w:jc w:val="left"/>
      </w:pPr>
      <w:r>
        <w:rPr>
          <w:rStyle w:val="CharStyle3"/>
        </w:rPr>
        <w:t>Ministerstwo Klimatu i Środowiska ul. Wawelska 52/54, 00-922 Warszawa</w:t>
      </w:r>
    </w:p>
    <w:p>
      <w:pPr>
        <w:pStyle w:val="Style2"/>
        <w:keepNext w:val="0"/>
        <w:keepLines w:val="0"/>
        <w:widowControl w:val="0"/>
        <w:shd w:val="clear" w:color="auto" w:fill="auto"/>
        <w:bidi w:val="0"/>
        <w:spacing w:before="0" w:after="340"/>
        <w:ind w:left="0" w:right="0" w:firstLine="0"/>
        <w:jc w:val="left"/>
      </w:pPr>
      <w:r>
        <w:rPr>
          <w:rStyle w:val="CharStyle3"/>
          <w:b/>
          <w:bCs/>
          <w:i/>
          <w:iCs/>
        </w:rPr>
        <w:t xml:space="preserve">Dotyczy: </w:t>
      </w:r>
      <w:r>
        <w:rPr>
          <w:rStyle w:val="CharStyle3"/>
          <w:i/>
          <w:iCs/>
        </w:rPr>
        <w:t>Prośba o podjęcie działań zmierzających do regulacji przepisów eliminujące niepożądane praktyki niektórych rolników.</w:t>
      </w:r>
    </w:p>
    <w:p>
      <w:pPr>
        <w:pStyle w:val="Style2"/>
        <w:keepNext w:val="0"/>
        <w:keepLines w:val="0"/>
        <w:widowControl w:val="0"/>
        <w:shd w:val="clear" w:color="auto" w:fill="auto"/>
        <w:bidi w:val="0"/>
        <w:spacing w:before="0" w:after="0"/>
        <w:ind w:left="0" w:right="0" w:firstLine="740"/>
        <w:jc w:val="left"/>
      </w:pPr>
      <w:r>
        <w:rPr>
          <w:rStyle w:val="CharStyle3"/>
        </w:rPr>
        <w:t>Mając na uwadze dobro Skarbu Państwa, w tym racjonalne wydatkowanie pieniędzy publicznych na odszkodowania z tytułu szkód łowieckich zwracam się do Pana o podjęcie działań zmierzających do wprowadzenia regulacji prawnych, które wyeliminują pojedyncze przypadki niewłaściwych praktyk rolników, którzy balansując na granicy przepisów prawa, wykorzystując ich nieprecyzyjność, narażają finanse publiczne na straty. W ostatnich latach ujawnił się na terenie województwa warmińsko-mazurskiego niebezpieczny proceder z punktu widzenia ochrony interesów Skarbu Państwa.</w:t>
      </w:r>
    </w:p>
    <w:p>
      <w:pPr>
        <w:pStyle w:val="Style2"/>
        <w:keepNext w:val="0"/>
        <w:keepLines w:val="0"/>
        <w:widowControl w:val="0"/>
        <w:shd w:val="clear" w:color="auto" w:fill="auto"/>
        <w:bidi w:val="0"/>
        <w:spacing w:before="0" w:after="340"/>
        <w:ind w:left="0" w:right="0" w:firstLine="740"/>
        <w:jc w:val="left"/>
      </w:pPr>
      <w:r>
        <w:rPr>
          <w:rStyle w:val="CharStyle3"/>
        </w:rPr>
        <w:t xml:space="preserve">Co do zasady tworzenie materiału siewnego zbóż, rzepaków, czy kukurydzy podlega pod rygorystyczne przepisy ustawy z dnia 9 listopada 2012 r. </w:t>
      </w:r>
      <w:r>
        <w:rPr>
          <w:rStyle w:val="CharStyle3"/>
          <w:i/>
          <w:iCs/>
        </w:rPr>
        <w:t>o nasiennictwie</w:t>
      </w:r>
      <w:r>
        <w:rPr>
          <w:rStyle w:val="CharStyle3"/>
        </w:rPr>
        <w:t xml:space="preserve"> (Dz. U. z 2021 r. poz. 129, z 2025 r. poz. 1709). Jednakże w oparciu o przepisy unijne można złagodzić rygor uprawiania tego materiału wprowadzając materiał siewny heterogeniczny. Zgodnie z treścią Rozporządzenia Parlamentu Europejskiego i Rady (UE) 2018/848 z 30 maja 2018 r. w sprawie produkcji ekologicznej i znakowania produktów ekologicznych i uchylające rozporządzenie Rady (WE) nr 834/2007, wprowadzono możliwość obrotu na terenie Unii Europejskiej ekologicznym materiałem heterogenicznym. Sprawy te reguluje art. 13, zgodnie z którym w ust. 1 materiał przeznaczony do reprodukcji roślin ekologicznego materiału heterogenicznego może być wprowadzany do obrotu bez konieczności przestrzegania wymogów dotyczących rejestracji i bez konieczności przestrzegania certyfikacji kategorii materiału przedbazowego, bazowego i kwalifikowanego lub wymogów dla innych kategorii, które to wymogi zostały zawarte w dyrektywach 66/401/EWG, 66/402/EWG, 68/193/EWG, 98/56/WE, 2002/53/WE, 2002/54/WE, 2002/55/WE, 2002/56/WE, 2002/57/WE, 2008/72/WE oraz 2008/90/WE lub w aktach przyjętych na podstawie tych dyrektyw. W ust. 2 Materiał</w:t>
      </w:r>
    </w:p>
    <w:p>
      <w:pPr>
        <w:pStyle w:val="Style2"/>
        <w:keepNext w:val="0"/>
        <w:keepLines w:val="0"/>
        <w:widowControl w:val="0"/>
        <w:shd w:val="clear" w:color="auto" w:fill="auto"/>
        <w:bidi w:val="0"/>
        <w:spacing w:before="0" w:after="0"/>
        <w:ind w:left="0" w:right="0" w:firstLine="0"/>
        <w:jc w:val="left"/>
      </w:pPr>
      <w:r>
        <w:rPr>
          <w:rStyle w:val="CharStyle3"/>
        </w:rPr>
        <w:t>przeznaczony do reprodukcji roślin ekologicznego materiału heterogenicznego, o którym mowa w ust. 1, może być wprowadzany do obrotu po powiadomieniu przez dostawcę o danym ekologicznym materiale heterogenicznym odpowiedzialnych organów urzędowych, o których mowa w dyrektywach 66/401/EWG, 66/402/EWG, 68/193/EWG, 98/56/WE, 2002/53/WE, 2002/54/WE, 2002/55/WE, 2002/56/WE, 2002/57/WE, 2008/72/WE oraz 2008/90/WE, dokonanym za pomocą dossier zawierającego (…).</w:t>
      </w:r>
    </w:p>
    <w:p>
      <w:pPr>
        <w:pStyle w:val="Style2"/>
        <w:keepNext w:val="0"/>
        <w:keepLines w:val="0"/>
        <w:widowControl w:val="0"/>
        <w:shd w:val="clear" w:color="auto" w:fill="auto"/>
        <w:bidi w:val="0"/>
        <w:spacing w:before="0" w:after="0"/>
        <w:ind w:left="0" w:right="0" w:firstLine="740"/>
        <w:jc w:val="left"/>
      </w:pPr>
      <w:r>
        <w:rPr>
          <w:rStyle w:val="CharStyle3"/>
        </w:rPr>
        <w:t>Przy odpowiedniej interpretacji przepisów, wykorzystaniu wszelkich luk prawnych doszło do sytuacji, iż jeden z rolników działających na terenie województwa warmińsko- mazurskiego wniósł osobiście lub poprzez podmioty powiązane ze sobą osobowo kilka pozwów o zapłatę przeciwko Skarbowi Państwa na łączną kwotę wartości przedmiotu sporu wynoszącą na dzień sporządzania pisma 473 237,53 zł plus odsetki. Wskazana kwota stanowi wartość odszkodowania z tytułu szkód łowieckich wyrządzonych w uprawach rolnych (kukurydzy i rzepaku) przez łosie w latach 2023, 2024 i 2025.</w:t>
      </w:r>
    </w:p>
    <w:p>
      <w:pPr>
        <w:pStyle w:val="Style2"/>
        <w:keepNext w:val="0"/>
        <w:keepLines w:val="0"/>
        <w:widowControl w:val="0"/>
        <w:shd w:val="clear" w:color="auto" w:fill="auto"/>
        <w:bidi w:val="0"/>
        <w:spacing w:before="0" w:after="0"/>
        <w:ind w:left="0" w:right="0" w:firstLine="740"/>
        <w:jc w:val="left"/>
      </w:pPr>
      <w:r>
        <w:rPr>
          <w:rStyle w:val="CharStyle3"/>
        </w:rPr>
        <w:t>Zespoły szacujące wartość odszkodowania za szkody opierając się m.in. na rozporządzeniu Ministra Środowiska z dnia 16 kwietnia 2019 r. w sprawie szczegółowych warunków szacowania szkód w uprawach i płodach rolnych (Dz. U. z 219 r. poz. 776) wyliczyły na kwotę 73 306,13 zł.</w:t>
      </w:r>
    </w:p>
    <w:p>
      <w:pPr>
        <w:pStyle w:val="Style2"/>
        <w:keepNext w:val="0"/>
        <w:keepLines w:val="0"/>
        <w:widowControl w:val="0"/>
        <w:shd w:val="clear" w:color="auto" w:fill="auto"/>
        <w:bidi w:val="0"/>
        <w:spacing w:before="0" w:after="0"/>
        <w:ind w:left="0" w:right="0" w:firstLine="480"/>
        <w:jc w:val="left"/>
      </w:pPr>
      <w:r>
        <w:rPr>
          <w:rStyle w:val="CharStyle3"/>
        </w:rPr>
        <w:t xml:space="preserve">Tak ogromna różnica w wysokości odszkodowania wyliczonego przez rolnika, a Zespół szacujący szkody wynika ze stosowania przez przedstawicieli Zarządu Województwa zapisu par. 3 ust. 14 wyżej przywołanego rozporządzenia, który stanowi, iż </w:t>
      </w:r>
      <w:r>
        <w:rPr>
          <w:rStyle w:val="CharStyle3"/>
          <w:i/>
          <w:iCs/>
        </w:rPr>
        <w:t xml:space="preserve">wysokość odszkodowania za szkody w uprawach ustala się, mnożąc obszar uprawy, która została uszkodzona, przez procent jej zniszczenia (powierzchnia zredukowana). Ustaloną powierzchnię zredukowaną mnoży się przez plon z 1 ha (rozmiar szkody). </w:t>
      </w:r>
      <w:r>
        <w:rPr>
          <w:rStyle w:val="CharStyle3"/>
          <w:b/>
          <w:bCs/>
          <w:i/>
          <w:iCs/>
        </w:rPr>
        <w:t>Tak ustalony rozmiar szkody mnoży się przez wartość danego płodu rolnego wyrażoną przez jego cenę skupu w regionie powstania szkody, a jeżeli skup nie jest prowadzony - przez wartość wyrażoną przez jego cenę rynkową z dnia szacowania ostatecznego szkody w regionie jej powstania.</w:t>
      </w:r>
    </w:p>
    <w:p>
      <w:pPr>
        <w:pStyle w:val="Style2"/>
        <w:keepNext w:val="0"/>
        <w:keepLines w:val="0"/>
        <w:widowControl w:val="0"/>
        <w:shd w:val="clear" w:color="auto" w:fill="auto"/>
        <w:bidi w:val="0"/>
        <w:spacing w:before="0" w:after="0"/>
        <w:ind w:left="0" w:right="0" w:firstLine="740"/>
        <w:jc w:val="left"/>
      </w:pPr>
      <w:r>
        <w:rPr>
          <w:rStyle w:val="CharStyle3"/>
        </w:rPr>
        <w:t>Wyżej wskazany przepis wyraźnie wskazuje, że rozmiar szkody mnoży się przez wartość danego płodu na podstawie ceny skupu w regionie, a jeżeli nie ma takiego skupu to cenę rynkową. Nie ma tu w ogóle wzmianki o cenie z kontraktu, gdyż opieranie wartości danego płodu na cenie kontraktowej (umownej) doprowadzić mogłaby do sytuacji, gdzie realna wartość danego płodu byłaby zawyżana, aby uzyskać wyższe odszkodowanie.</w:t>
      </w:r>
    </w:p>
    <w:p>
      <w:pPr>
        <w:pStyle w:val="Style2"/>
        <w:keepNext w:val="0"/>
        <w:keepLines w:val="0"/>
        <w:widowControl w:val="0"/>
        <w:shd w:val="clear" w:color="auto" w:fill="auto"/>
        <w:bidi w:val="0"/>
        <w:spacing w:before="0" w:after="0"/>
        <w:ind w:left="0" w:right="0" w:firstLine="740"/>
        <w:jc w:val="left"/>
      </w:pPr>
      <w:r>
        <w:rPr>
          <w:rStyle w:val="CharStyle3"/>
        </w:rPr>
        <w:t>Natomiast ów rolnik stworzył, w jego ocenie jedyny w swoim rodzaju materiał siewny kukurydzy i rzepaku, który nie występuje u innych producentów. Przez powiązania osobowe i rodzinne z podmiotami prawa handlowego stworzył grupę, która jest zarazem producentem surowca na materiał siewny, producentem materiału siewnego, jak i jego dystrybutorem, dodatkowo posiada własne laboratoria, w których m.in dokonuje prób kiełkowania nasion. Innymi słowy dzięki temu stał się monopolistą w zakresie stworzonych przez siebie upraw.</w:t>
      </w:r>
    </w:p>
    <w:p>
      <w:pPr>
        <w:pStyle w:val="Style2"/>
        <w:keepNext w:val="0"/>
        <w:keepLines w:val="0"/>
        <w:widowControl w:val="0"/>
        <w:shd w:val="clear" w:color="auto" w:fill="auto"/>
        <w:bidi w:val="0"/>
        <w:spacing w:before="0" w:after="0"/>
        <w:ind w:left="0" w:right="0" w:firstLine="0"/>
        <w:jc w:val="left"/>
      </w:pPr>
      <w:r>
        <w:rPr>
          <w:rStyle w:val="CharStyle3"/>
        </w:rPr>
        <w:t>Stąd też cena za 1 tonę ziarna kukurydzy ekologicznej wynosi u niego 5000 zł, a nie jak w skupie ok 1300 zł.</w:t>
      </w:r>
    </w:p>
    <w:p>
      <w:pPr>
        <w:pStyle w:val="Style2"/>
        <w:keepNext w:val="0"/>
        <w:keepLines w:val="0"/>
        <w:widowControl w:val="0"/>
        <w:shd w:val="clear" w:color="auto" w:fill="auto"/>
        <w:bidi w:val="0"/>
        <w:spacing w:before="0" w:after="0"/>
        <w:ind w:left="0" w:right="0" w:firstLine="740"/>
        <w:jc w:val="left"/>
      </w:pPr>
      <w:r>
        <w:rPr>
          <w:rStyle w:val="CharStyle3"/>
        </w:rPr>
        <w:t>Biorąc pod uwagę jakość plantacji tego rolnika, ustalona przez niego cena, jest ewidentnie zawyżona. Poczynione nakłady stanowią małą część tej kwoty. Uprawy wyglądem nie różnią się od zwykłych upraw konwencjonalnych na ziarno (gdzie przy uprawach na materiał siewny poszczególnych odmian są czynione konkretne zabiegi agrotechniczne, typu kastrowanie roślin itp. oraz wysoka dbałość o jednolitość genetyczną roślin).</w:t>
      </w:r>
    </w:p>
    <w:p>
      <w:pPr>
        <w:pStyle w:val="Style2"/>
        <w:keepNext w:val="0"/>
        <w:keepLines w:val="0"/>
        <w:widowControl w:val="0"/>
        <w:shd w:val="clear" w:color="auto" w:fill="auto"/>
        <w:bidi w:val="0"/>
        <w:spacing w:before="0" w:after="0"/>
        <w:ind w:left="0" w:right="0" w:firstLine="740"/>
        <w:jc w:val="left"/>
      </w:pPr>
      <w:r>
        <w:rPr>
          <w:rStyle w:val="CharStyle3"/>
        </w:rPr>
        <w:t>Nie sposób się zgodzić z taką interpretacją przepisów przywołanego wyżej rozporządzenia. Nie można wynagrodzenia z kontraktu traktować jako ceny skupu czy ceny rynkowej. Nie wynika to z obowiązujących przepisów.</w:t>
      </w:r>
    </w:p>
    <w:p>
      <w:pPr>
        <w:pStyle w:val="Style2"/>
        <w:keepNext w:val="0"/>
        <w:keepLines w:val="0"/>
        <w:widowControl w:val="0"/>
        <w:shd w:val="clear" w:color="auto" w:fill="auto"/>
        <w:bidi w:val="0"/>
        <w:spacing w:before="0" w:after="0"/>
        <w:ind w:left="0" w:right="0" w:firstLine="740"/>
        <w:jc w:val="left"/>
      </w:pPr>
      <w:r>
        <w:rPr>
          <w:rStyle w:val="CharStyle3"/>
        </w:rPr>
        <w:t>W związku z powyższym, aby nie narażać Skarbu Państwa na straty zwracam się z prośbą o zmianę obowiązujących przepisów rozporządzenia poprzez jednoznaczne wskazanie:</w:t>
      </w:r>
    </w:p>
    <w:p>
      <w:pPr>
        <w:pStyle w:val="Style2"/>
        <w:keepNext w:val="0"/>
        <w:keepLines w:val="0"/>
        <w:widowControl w:val="0"/>
        <w:numPr>
          <w:ilvl w:val="0"/>
          <w:numId w:val="1"/>
        </w:numPr>
        <w:shd w:val="clear" w:color="auto" w:fill="auto"/>
        <w:tabs>
          <w:tab w:pos="1081" w:val="left"/>
        </w:tabs>
        <w:bidi w:val="0"/>
        <w:spacing w:before="0" w:after="0"/>
        <w:ind w:left="1100" w:right="0" w:hanging="360"/>
        <w:jc w:val="left"/>
      </w:pPr>
      <w:r>
        <w:rPr>
          <w:rStyle w:val="CharStyle3"/>
        </w:rPr>
        <w:t>że do wyliczenia kwoty odszkodowania nie bierze się pod uwagę kwoty z kontraktu (umowy),</w:t>
      </w:r>
    </w:p>
    <w:p>
      <w:pPr>
        <w:pStyle w:val="Style2"/>
        <w:keepNext w:val="0"/>
        <w:keepLines w:val="0"/>
        <w:widowControl w:val="0"/>
        <w:numPr>
          <w:ilvl w:val="0"/>
          <w:numId w:val="1"/>
        </w:numPr>
        <w:shd w:val="clear" w:color="auto" w:fill="auto"/>
        <w:tabs>
          <w:tab w:pos="1081" w:val="left"/>
        </w:tabs>
        <w:bidi w:val="0"/>
        <w:spacing w:before="0" w:after="0"/>
        <w:ind w:left="0" w:right="0" w:firstLine="740"/>
        <w:jc w:val="left"/>
      </w:pPr>
      <w:r>
        <w:rPr>
          <w:rStyle w:val="CharStyle3"/>
        </w:rPr>
        <w:t>definicji skupu w regionie, poprzez określenie wielkości regionu,</w:t>
      </w:r>
    </w:p>
    <w:p>
      <w:pPr>
        <w:pStyle w:val="Style2"/>
        <w:keepNext w:val="0"/>
        <w:keepLines w:val="0"/>
        <w:widowControl w:val="0"/>
        <w:numPr>
          <w:ilvl w:val="0"/>
          <w:numId w:val="1"/>
        </w:numPr>
        <w:shd w:val="clear" w:color="auto" w:fill="auto"/>
        <w:tabs>
          <w:tab w:pos="1081" w:val="left"/>
        </w:tabs>
        <w:bidi w:val="0"/>
        <w:spacing w:before="0" w:after="0"/>
        <w:ind w:left="0" w:right="0" w:firstLine="740"/>
        <w:jc w:val="left"/>
      </w:pPr>
      <w:r>
        <w:rPr>
          <w:rStyle w:val="CharStyle3"/>
        </w:rPr>
        <w:t>definicji ceny rynkowej,</w:t>
      </w:r>
    </w:p>
    <w:p>
      <w:pPr>
        <w:pStyle w:val="Style2"/>
        <w:keepNext w:val="0"/>
        <w:keepLines w:val="0"/>
        <w:widowControl w:val="0"/>
        <w:numPr>
          <w:ilvl w:val="0"/>
          <w:numId w:val="1"/>
        </w:numPr>
        <w:shd w:val="clear" w:color="auto" w:fill="auto"/>
        <w:tabs>
          <w:tab w:pos="1082" w:val="left"/>
        </w:tabs>
        <w:bidi w:val="0"/>
        <w:spacing w:before="0" w:after="340"/>
        <w:ind w:left="1100" w:right="0" w:hanging="360"/>
        <w:jc w:val="left"/>
      </w:pPr>
      <w:r>
        <w:rPr>
          <w:rStyle w:val="CharStyle3"/>
        </w:rPr>
        <w:t>kwalifikowania wszelkich ekologicznych upraw na materiał siewny/upraw konwencjonalnych na materiał siewny jako upraw ekologicznych/upraw konwencjonalnych, ewentualnie wskazanie, że cenę za plon materiału heterogenicznego ustala się w oparciu o wskaźnik wynikający z załącznika nr 1 do rozporządzeniu Ministra Środowiska z dnia 16 kwietnia 2019 r. w sprawie szczegółowych warunków szacowania szkód w uprawach i płodach rolnych (Dz. U. z 219 r. poz. 776).</w:t>
      </w:r>
    </w:p>
    <w:p>
      <w:pPr>
        <w:pStyle w:val="Style2"/>
        <w:keepNext w:val="0"/>
        <w:keepLines w:val="0"/>
        <w:widowControl w:val="0"/>
        <w:shd w:val="clear" w:color="auto" w:fill="auto"/>
        <w:bidi w:val="0"/>
        <w:spacing w:before="0" w:after="0"/>
        <w:ind w:left="0" w:right="0" w:firstLine="740"/>
        <w:jc w:val="left"/>
      </w:pPr>
      <w:r>
        <w:rPr>
          <w:rStyle w:val="CharStyle3"/>
        </w:rPr>
        <w:t>Jednocześnie przedstawiciele Zarządu Województwa szacujący szkody łowieckie pozostają do Pana dyspozycji w celu wsparcia i udostępnienia żądanych przez Pana dokumentów, niezbędnych do dalszej analizy prawnej zmiany przepisów.</w:t>
      </w:r>
    </w:p>
    <w:sectPr>
      <w:footnotePr>
        <w:pos w:val="pageBottom"/>
        <w:numFmt w:val="decimal"/>
        <w:numRestart w:val="continuous"/>
      </w:footnotePr>
      <w:pgSz w:w="11900" w:h="16840"/>
      <w:pgMar w:top="996" w:right="922" w:bottom="2511" w:left="1048" w:header="568" w:footer="2083"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_"/>
    <w:basedOn w:val="DefaultParagraphFont"/>
    <w:link w:val="Style2"/>
    <w:rPr>
      <w:rFonts w:ascii="Arial" w:eastAsia="Arial" w:hAnsi="Arial" w:cs="Arial"/>
      <w:b w:val="0"/>
      <w:bCs w:val="0"/>
      <w:i w:val="0"/>
      <w:iCs w:val="0"/>
      <w:smallCaps w:val="0"/>
      <w:strike w:val="0"/>
      <w:u w:val="none"/>
    </w:rPr>
  </w:style>
  <w:style w:type="paragraph" w:styleId="Style2">
    <w:name w:val="Body text"/>
    <w:basedOn w:val="Normal"/>
    <w:link w:val="CharStyle3"/>
    <w:qFormat/>
    <w:pPr>
      <w:widowControl w:val="0"/>
      <w:shd w:val="clear" w:color="auto" w:fill="auto"/>
      <w:spacing w:line="300" w:lineRule="auto"/>
      <w:ind w:firstLine="400"/>
    </w:pPr>
    <w:rPr>
      <w:rFonts w:ascii="Arial" w:eastAsia="Arial" w:hAnsi="Arial" w:cs="Arial"/>
      <w:b w:val="0"/>
      <w:bCs w:val="0"/>
      <w:i w:val="0"/>
      <w:iCs w:val="0"/>
      <w:smallCaps w:val="0"/>
      <w:strike w:val="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
  <dc:subject/>
  <dc:creator>RP</dc:creator>
  <cp:keywords/>
</cp:coreProperties>
</file>