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2171" w14:textId="195F1ECC" w:rsidR="00995D1C" w:rsidRPr="001D700D" w:rsidRDefault="001D700D" w:rsidP="00DE43DE">
      <w:pPr>
        <w:rPr>
          <w:sz w:val="22"/>
          <w:szCs w:val="22"/>
        </w:rPr>
      </w:pPr>
      <w:r w:rsidRPr="001D700D">
        <w:rPr>
          <w:sz w:val="22"/>
          <w:szCs w:val="22"/>
        </w:rPr>
        <w:t>Z</w:t>
      </w:r>
      <w:r>
        <w:rPr>
          <w:sz w:val="22"/>
          <w:szCs w:val="22"/>
        </w:rPr>
        <w:t>ałącznik</w:t>
      </w:r>
      <w:r w:rsidR="003C4635">
        <w:rPr>
          <w:sz w:val="22"/>
          <w:szCs w:val="22"/>
        </w:rPr>
        <w:t xml:space="preserve"> </w:t>
      </w:r>
      <w:r>
        <w:rPr>
          <w:sz w:val="22"/>
          <w:szCs w:val="22"/>
        </w:rPr>
        <w:t>B.93</w:t>
      </w:r>
      <w:r w:rsidRPr="001D700D">
        <w:rPr>
          <w:sz w:val="22"/>
          <w:szCs w:val="22"/>
        </w:rPr>
        <w:t>.</w:t>
      </w:r>
    </w:p>
    <w:p w14:paraId="51BBA598" w14:textId="77777777" w:rsidR="001D700D" w:rsidRPr="00037337" w:rsidRDefault="001D700D" w:rsidP="00DE43DE">
      <w:pPr>
        <w:jc w:val="both"/>
        <w:rPr>
          <w:sz w:val="22"/>
          <w:szCs w:val="22"/>
        </w:rPr>
      </w:pPr>
    </w:p>
    <w:p w14:paraId="26CCA53E" w14:textId="28F31EA6" w:rsidR="00FA0019" w:rsidRPr="00D86B37" w:rsidRDefault="00457B75" w:rsidP="00DE43DE">
      <w:pPr>
        <w:autoSpaceDE w:val="0"/>
        <w:autoSpaceDN w:val="0"/>
        <w:adjustRightInd w:val="0"/>
        <w:spacing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LECZENIE</w:t>
      </w:r>
      <w:r w:rsidR="003C4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CHORYCH</w:t>
      </w:r>
      <w:r w:rsidR="003C4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NA</w:t>
      </w:r>
      <w:r w:rsidR="003C4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CHŁONIAKI</w:t>
      </w:r>
      <w:r w:rsidR="003C4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ROZLANE</w:t>
      </w:r>
      <w:r w:rsidR="003C4635">
        <w:rPr>
          <w:b/>
          <w:sz w:val="28"/>
          <w:szCs w:val="28"/>
        </w:rPr>
        <w:t xml:space="preserve"> </w:t>
      </w:r>
      <w:r w:rsidR="00AD37DB">
        <w:rPr>
          <w:b/>
          <w:sz w:val="28"/>
          <w:szCs w:val="28"/>
        </w:rPr>
        <w:t>Z</w:t>
      </w:r>
      <w:r w:rsidR="003C4635">
        <w:rPr>
          <w:b/>
          <w:sz w:val="28"/>
          <w:szCs w:val="28"/>
        </w:rPr>
        <w:t xml:space="preserve"> </w:t>
      </w:r>
      <w:r w:rsidR="00A655C0">
        <w:rPr>
          <w:b/>
          <w:sz w:val="28"/>
          <w:szCs w:val="28"/>
        </w:rPr>
        <w:t>DUŻYCH</w:t>
      </w:r>
      <w:r w:rsidR="003C4635">
        <w:rPr>
          <w:b/>
          <w:sz w:val="28"/>
          <w:szCs w:val="28"/>
        </w:rPr>
        <w:t xml:space="preserve"> </w:t>
      </w:r>
      <w:r w:rsidR="00A655C0">
        <w:rPr>
          <w:b/>
          <w:sz w:val="28"/>
          <w:szCs w:val="28"/>
        </w:rPr>
        <w:t>KOMÓREK</w:t>
      </w:r>
      <w:r w:rsidR="003C4635">
        <w:rPr>
          <w:b/>
          <w:sz w:val="28"/>
          <w:szCs w:val="28"/>
        </w:rPr>
        <w:t xml:space="preserve"> </w:t>
      </w:r>
      <w:r w:rsidR="00A655C0">
        <w:rPr>
          <w:b/>
          <w:sz w:val="28"/>
          <w:szCs w:val="28"/>
        </w:rPr>
        <w:t>B</w:t>
      </w:r>
      <w:r w:rsidR="003C4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ORAZ</w:t>
      </w:r>
      <w:r w:rsidR="003C4635">
        <w:t xml:space="preserve"> </w:t>
      </w:r>
      <w:r w:rsidRPr="00457B75">
        <w:rPr>
          <w:b/>
          <w:sz w:val="28"/>
          <w:szCs w:val="28"/>
        </w:rPr>
        <w:t>INNE</w:t>
      </w:r>
      <w:r w:rsidR="003C4635">
        <w:rPr>
          <w:b/>
          <w:sz w:val="28"/>
          <w:szCs w:val="28"/>
        </w:rPr>
        <w:t xml:space="preserve"> </w:t>
      </w:r>
      <w:r w:rsidR="00AD37DB">
        <w:rPr>
          <w:b/>
          <w:sz w:val="28"/>
          <w:szCs w:val="28"/>
        </w:rPr>
        <w:t>CHŁONIAKI</w:t>
      </w:r>
      <w:r w:rsidR="003C4635">
        <w:rPr>
          <w:b/>
          <w:sz w:val="28"/>
          <w:szCs w:val="28"/>
        </w:rPr>
        <w:t xml:space="preserve"> </w:t>
      </w:r>
      <w:r w:rsidR="00F06412">
        <w:rPr>
          <w:b/>
          <w:sz w:val="28"/>
          <w:szCs w:val="28"/>
        </w:rPr>
        <w:br/>
      </w:r>
      <w:r w:rsidR="00AD37DB">
        <w:rPr>
          <w:b/>
          <w:sz w:val="28"/>
          <w:szCs w:val="28"/>
        </w:rPr>
        <w:t>B-KOMÓRKOWE</w:t>
      </w:r>
      <w:r w:rsidR="003C4635">
        <w:rPr>
          <w:b/>
          <w:sz w:val="28"/>
          <w:szCs w:val="28"/>
        </w:rPr>
        <w:t xml:space="preserve"> </w:t>
      </w:r>
      <w:r w:rsidR="006F4502" w:rsidRPr="006F4502">
        <w:rPr>
          <w:b/>
          <w:sz w:val="28"/>
          <w:szCs w:val="28"/>
        </w:rPr>
        <w:t>(ICD-10</w:t>
      </w:r>
      <w:r>
        <w:rPr>
          <w:b/>
          <w:sz w:val="28"/>
          <w:szCs w:val="28"/>
        </w:rPr>
        <w:t>:</w:t>
      </w:r>
      <w:r w:rsidR="003C4635">
        <w:rPr>
          <w:b/>
          <w:sz w:val="28"/>
          <w:szCs w:val="28"/>
        </w:rPr>
        <w:t xml:space="preserve"> </w:t>
      </w:r>
      <w:r w:rsidR="006F4502" w:rsidRPr="006F4502">
        <w:rPr>
          <w:b/>
          <w:sz w:val="28"/>
          <w:szCs w:val="28"/>
        </w:rPr>
        <w:t>C83,</w:t>
      </w:r>
      <w:r w:rsidR="003C4635">
        <w:rPr>
          <w:b/>
          <w:sz w:val="28"/>
          <w:szCs w:val="28"/>
        </w:rPr>
        <w:t xml:space="preserve"> </w:t>
      </w:r>
      <w:r w:rsidR="006F4502" w:rsidRPr="006F4502">
        <w:rPr>
          <w:b/>
          <w:sz w:val="28"/>
          <w:szCs w:val="28"/>
        </w:rPr>
        <w:t>C85)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5128"/>
        <w:gridCol w:w="5125"/>
      </w:tblGrid>
      <w:tr w:rsidR="006F4502" w:rsidRPr="007E3BCE" w14:paraId="66533B9F" w14:textId="77777777" w:rsidTr="00DE43DE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7D13F" w14:textId="6FDC5C8A" w:rsidR="006F4502" w:rsidRPr="007E3BCE" w:rsidRDefault="006F4502" w:rsidP="00722A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BCE">
              <w:rPr>
                <w:b/>
                <w:bCs/>
                <w:sz w:val="20"/>
                <w:szCs w:val="20"/>
              </w:rPr>
              <w:t>ZAKRES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ŚWIADCZENIA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6F4502" w:rsidRPr="007E3BCE" w14:paraId="429C62BD" w14:textId="77777777" w:rsidTr="00DE43DE">
        <w:trPr>
          <w:trHeight w:val="567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2585" w14:textId="77777777" w:rsidR="006F4502" w:rsidRPr="007E3BCE" w:rsidRDefault="006F4502" w:rsidP="00722A50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  <w:r w:rsidRPr="007E3BCE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223A" w14:textId="4A413830" w:rsidR="006F4502" w:rsidRPr="007E3BCE" w:rsidRDefault="006F4502" w:rsidP="00722A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BCE">
              <w:rPr>
                <w:b/>
                <w:bCs/>
                <w:sz w:val="20"/>
                <w:szCs w:val="20"/>
              </w:rPr>
              <w:t>SCHEMAT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DAWKOWANIA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LEKÓW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4ECC7" w14:textId="3A5F4146" w:rsidR="006F4502" w:rsidRPr="007E3BCE" w:rsidRDefault="006F4502" w:rsidP="00722A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3BCE">
              <w:rPr>
                <w:b/>
                <w:bCs/>
                <w:sz w:val="20"/>
                <w:szCs w:val="20"/>
              </w:rPr>
              <w:t>BADANIA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DIAGNOSTYCZNE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WYKONYWANE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B0142A">
              <w:rPr>
                <w:b/>
                <w:bCs/>
                <w:sz w:val="20"/>
                <w:szCs w:val="20"/>
              </w:rPr>
              <w:br/>
            </w:r>
            <w:r w:rsidRPr="007E3BCE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RAMACH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7E3BCE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6F4502" w:rsidRPr="007E3BCE" w14:paraId="359070B6" w14:textId="77777777" w:rsidTr="00DE43DE">
        <w:trPr>
          <w:trHeight w:val="20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B88C" w14:textId="5A2D531B" w:rsidR="00477B4C" w:rsidRPr="00AC7C23" w:rsidRDefault="00477B4C" w:rsidP="00AC7C23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złośliwe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(ICD-10: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C83,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C85)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piksantronem</w:t>
            </w:r>
          </w:p>
          <w:p w14:paraId="0484BB57" w14:textId="279C1A82" w:rsidR="006F4502" w:rsidRPr="00AC7C23" w:rsidRDefault="006F4502" w:rsidP="00AC7C23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7313A170" w14:textId="0A411105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potwierdzony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histologicznie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agresywny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chłoniak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nieziarniczy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limfocytów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(ICD-10</w:t>
            </w:r>
            <w:r w:rsidR="00477B4C" w:rsidRPr="00AC7C23">
              <w:rPr>
                <w:sz w:val="20"/>
                <w:szCs w:val="20"/>
              </w:rPr>
              <w:t>: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C83,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C85);</w:t>
            </w:r>
          </w:p>
          <w:p w14:paraId="532545AA" w14:textId="2C225C7C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życia;</w:t>
            </w:r>
          </w:p>
          <w:p w14:paraId="57EE6DE3" w14:textId="3BB6A760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stan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sprawności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według</w:t>
            </w:r>
            <w:r w:rsidR="003C4635">
              <w:rPr>
                <w:sz w:val="20"/>
                <w:szCs w:val="20"/>
              </w:rPr>
              <w:t xml:space="preserve"> </w:t>
            </w:r>
            <w:r w:rsidR="00755D68" w:rsidRPr="00AC7C23">
              <w:rPr>
                <w:sz w:val="20"/>
                <w:szCs w:val="20"/>
              </w:rPr>
              <w:t>ECOG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0-2;</w:t>
            </w:r>
          </w:p>
          <w:p w14:paraId="70FA8337" w14:textId="12F846D4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udokumentowane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niepowodzenie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2-giej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3-ciej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linii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chemioterapii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(lek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może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tylko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4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linii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leczenia);</w:t>
            </w:r>
          </w:p>
          <w:p w14:paraId="7B7E93CE" w14:textId="10F0DDB5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LVEF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45%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-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metodą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ECHO;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niewystępowanie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niewyrównanej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niewydolności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serca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niestabilnego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zespołu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wieńcowego.</w:t>
            </w:r>
          </w:p>
          <w:p w14:paraId="0FBC44F1" w14:textId="13F6A5AF" w:rsidR="006F4502" w:rsidRPr="00AC7C23" w:rsidRDefault="006F450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Kryteria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muszą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spełnione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łącznie.</w:t>
            </w:r>
          </w:p>
          <w:p w14:paraId="05CB1000" w14:textId="77777777" w:rsidR="006F4502" w:rsidRPr="00AC7C23" w:rsidRDefault="006F450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4AD8E8B" w14:textId="1FBB8DA2" w:rsidR="006F4502" w:rsidRPr="00AC7C23" w:rsidRDefault="006F4502" w:rsidP="00AC7C23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Określenie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czasu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programie</w:t>
            </w:r>
          </w:p>
          <w:p w14:paraId="2BA93168" w14:textId="25BDB166" w:rsidR="00477B4C" w:rsidRPr="00AC7C23" w:rsidRDefault="006F450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AC7C23">
              <w:rPr>
                <w:bCs/>
                <w:sz w:val="20"/>
                <w:szCs w:val="20"/>
              </w:rPr>
              <w:t>Leczenie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piksantronem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kontynuuje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się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do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maksymalnie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6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cykli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z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zastrzeżeniem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pkt.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="00477B4C" w:rsidRPr="00AC7C23">
              <w:rPr>
                <w:bCs/>
                <w:sz w:val="20"/>
                <w:szCs w:val="20"/>
              </w:rPr>
              <w:t>1.</w:t>
            </w:r>
            <w:r w:rsidRPr="00AC7C23">
              <w:rPr>
                <w:bCs/>
                <w:sz w:val="20"/>
                <w:szCs w:val="20"/>
              </w:rPr>
              <w:t>4</w:t>
            </w:r>
            <w:r w:rsidR="00477B4C" w:rsidRPr="00AC7C23">
              <w:rPr>
                <w:bCs/>
                <w:sz w:val="20"/>
                <w:szCs w:val="20"/>
              </w:rPr>
              <w:t>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(poniżej).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</w:p>
          <w:p w14:paraId="6BD7FE5D" w14:textId="77777777" w:rsidR="00477B4C" w:rsidRPr="00AC7C23" w:rsidRDefault="00477B4C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56FB27B" w14:textId="0604B08D" w:rsidR="006F4502" w:rsidRPr="00AC7C23" w:rsidRDefault="006F4502" w:rsidP="00AC7C23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stanowiące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przeciw</w:t>
            </w:r>
            <w:r w:rsidR="00472439" w:rsidRPr="00AC7C23">
              <w:rPr>
                <w:b/>
                <w:bCs/>
                <w:sz w:val="20"/>
                <w:szCs w:val="20"/>
              </w:rPr>
              <w:t>w</w:t>
            </w:r>
            <w:r w:rsidR="002E64FA" w:rsidRPr="00AC7C23">
              <w:rPr>
                <w:b/>
                <w:bCs/>
                <w:sz w:val="20"/>
                <w:szCs w:val="20"/>
              </w:rPr>
              <w:t>skazania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włączenia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51E6CB27" w14:textId="5118D590" w:rsidR="002E64FA" w:rsidRPr="00AC7C23" w:rsidRDefault="002E64FA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Obecne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jedno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poniższych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kryteriów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podczas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programu:</w:t>
            </w:r>
          </w:p>
          <w:p w14:paraId="591F167D" w14:textId="0795CC07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nadwrażliwość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piksantron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którąkolwiek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pomocniczą;</w:t>
            </w:r>
          </w:p>
          <w:p w14:paraId="18AE925A" w14:textId="23B1EAFF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bezwzględna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liczba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neutrofilów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&lt;1,0x10</w:t>
            </w:r>
            <w:r w:rsidRPr="00AC7C23">
              <w:rPr>
                <w:sz w:val="20"/>
                <w:szCs w:val="20"/>
                <w:vertAlign w:val="superscript"/>
              </w:rPr>
              <w:t>9</w:t>
            </w:r>
            <w:r w:rsidRPr="00AC7C23">
              <w:rPr>
                <w:sz w:val="20"/>
                <w:szCs w:val="20"/>
              </w:rPr>
              <w:t>/l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liczba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płytek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&lt;75x10</w:t>
            </w:r>
            <w:r w:rsidRPr="00AC7C23">
              <w:rPr>
                <w:sz w:val="20"/>
                <w:szCs w:val="20"/>
                <w:vertAlign w:val="superscript"/>
              </w:rPr>
              <w:t>9</w:t>
            </w:r>
            <w:r w:rsidRPr="00AC7C23">
              <w:rPr>
                <w:sz w:val="20"/>
                <w:szCs w:val="20"/>
              </w:rPr>
              <w:t>/l;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ile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wynika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nacieczenia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szpiku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przebiegu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chłoniaka;</w:t>
            </w:r>
          </w:p>
          <w:p w14:paraId="7C315178" w14:textId="33C3253B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ciąża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karmienie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piersią;</w:t>
            </w:r>
          </w:p>
          <w:p w14:paraId="3932BBDA" w14:textId="0EE03664" w:rsidR="003363A8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całkowity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poziom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≥1,5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x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GGN,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≥1,5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x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GGN,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AspAT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ALAT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x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GGN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(w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zajęcia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≥5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x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GGN).</w:t>
            </w:r>
          </w:p>
          <w:p w14:paraId="43094CD4" w14:textId="77777777" w:rsidR="003363A8" w:rsidRPr="00AC7C23" w:rsidRDefault="003363A8" w:rsidP="00AC7C23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6ACC597D" w14:textId="4BBD735A" w:rsidR="006F4502" w:rsidRPr="00AC7C23" w:rsidRDefault="006F4502" w:rsidP="00AC7C23">
            <w:pPr>
              <w:pStyle w:val="Akapitzlist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wyłączenia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2E64FA"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3C920D64" w14:textId="7F3F60E3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progresja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choroby;</w:t>
            </w:r>
          </w:p>
          <w:p w14:paraId="4A188E45" w14:textId="01FDEC66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wystąpienie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objawów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nadwrażliwości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piksantron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którąkolwiek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pomocniczą;</w:t>
            </w:r>
          </w:p>
          <w:p w14:paraId="2B16B7D9" w14:textId="0D1F19DF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stan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sprawności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według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WHO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3-4;</w:t>
            </w:r>
          </w:p>
          <w:p w14:paraId="2197BDF3" w14:textId="3B98B071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kardiotoksyczność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4.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stopnia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NYHA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utrzymujący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spadek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LVEF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15%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stosunku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stanu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wyjściowego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ustępujące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pomimo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odroczenia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dni;</w:t>
            </w:r>
          </w:p>
          <w:p w14:paraId="555EDD01" w14:textId="7E56107D" w:rsidR="006F4502" w:rsidRPr="00AC7C23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utrzymująca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powyżej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toksyczność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spowodowana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lekiem,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4.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stopnia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(inna</w:t>
            </w:r>
            <w:r w:rsidR="003C4635">
              <w:rPr>
                <w:sz w:val="20"/>
                <w:szCs w:val="20"/>
              </w:rPr>
              <w:t xml:space="preserve"> </w:t>
            </w:r>
            <w:r w:rsidR="00DC6E9A" w:rsidRPr="00AC7C23">
              <w:rPr>
                <w:sz w:val="20"/>
                <w:szCs w:val="20"/>
              </w:rPr>
              <w:t>niż</w:t>
            </w:r>
            <w:r w:rsidR="00DC6E9A">
              <w:rPr>
                <w:sz w:val="20"/>
                <w:szCs w:val="20"/>
              </w:rPr>
              <w:t>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nudności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wymioty)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ustępująca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pomimo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odroczenia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dni;</w:t>
            </w:r>
          </w:p>
          <w:p w14:paraId="2246055B" w14:textId="77777777" w:rsidR="00B0142A" w:rsidRDefault="006F4502" w:rsidP="00AC7C23">
            <w:pPr>
              <w:numPr>
                <w:ilvl w:val="3"/>
                <w:numId w:val="20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ciąża</w:t>
            </w:r>
            <w:r w:rsidR="00F06412" w:rsidRPr="00AC7C23">
              <w:rPr>
                <w:sz w:val="20"/>
                <w:szCs w:val="20"/>
              </w:rPr>
              <w:t>.</w:t>
            </w:r>
          </w:p>
          <w:p w14:paraId="33516560" w14:textId="2D94030E" w:rsidR="003C4635" w:rsidRPr="00AC7C23" w:rsidRDefault="003C4635" w:rsidP="003C4635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310D" w14:textId="5423365A" w:rsidR="00BF0462" w:rsidRPr="00AC7C23" w:rsidRDefault="00BF0462" w:rsidP="00AF3019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złośliwe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(ICD-10: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C83,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C85)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piksantronem</w:t>
            </w:r>
          </w:p>
          <w:p w14:paraId="15BBAC3E" w14:textId="4C5F398C" w:rsidR="00BF0462" w:rsidRPr="00AC7C23" w:rsidRDefault="00BF0462" w:rsidP="00AF3019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Dawkowanie</w:t>
            </w:r>
          </w:p>
          <w:p w14:paraId="3CE9F198" w14:textId="31C599AE" w:rsidR="006F4502" w:rsidRPr="00AF3019" w:rsidRDefault="006F4502" w:rsidP="00AF301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AF3019">
              <w:rPr>
                <w:bCs/>
                <w:sz w:val="20"/>
                <w:szCs w:val="20"/>
              </w:rPr>
              <w:t>Zalecana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dawka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piksantronu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wynosi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50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mg/m</w:t>
            </w:r>
            <w:r w:rsidRPr="00AF3019">
              <w:rPr>
                <w:bCs/>
                <w:sz w:val="20"/>
                <w:szCs w:val="20"/>
                <w:vertAlign w:val="superscript"/>
              </w:rPr>
              <w:t>2</w:t>
            </w:r>
            <w:r w:rsidR="003C4635">
              <w:rPr>
                <w:bCs/>
                <w:sz w:val="20"/>
                <w:szCs w:val="20"/>
                <w:vertAlign w:val="superscript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pow.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ciała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postaci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infuzji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dożylnej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podawanej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1.,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8.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oraz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15.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dniu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każdego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28-dniowego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cyklu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–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przez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więcej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niż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6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cykli.</w:t>
            </w:r>
          </w:p>
          <w:p w14:paraId="75E615DA" w14:textId="05FDDB18" w:rsidR="006F4502" w:rsidRPr="00AF3019" w:rsidRDefault="006F4502" w:rsidP="00AF3019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F3019">
              <w:rPr>
                <w:sz w:val="20"/>
                <w:szCs w:val="20"/>
              </w:rPr>
              <w:t>Piksantron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jest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przeznaczony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podawania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powolnym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wlewie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dożylnym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(trwającym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60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minut)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za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pomocą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zestawu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infuzji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wyposażonego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filtr,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wyłącznie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uprzednim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rozpuszczeniu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5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ml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0,9%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roztworu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chlorku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sodu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(9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mg/ml)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wstrzykiwań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dalszym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rozcieńczeniu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0,9%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roztworze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chlorku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sodu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wstrzykiwań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ostatecznej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objętości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250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ml.</w:t>
            </w:r>
          </w:p>
          <w:p w14:paraId="16E150E5" w14:textId="77777777" w:rsidR="006F4502" w:rsidRPr="00AC7C23" w:rsidRDefault="006F450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5CE92F0A" w14:textId="5DEEEE5B" w:rsidR="006F4502" w:rsidRPr="00AC7C23" w:rsidRDefault="006F4502" w:rsidP="00AF3019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Modyfikacja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dawk</w:t>
            </w:r>
            <w:r w:rsidR="00507469" w:rsidRPr="00AC7C23">
              <w:rPr>
                <w:b/>
                <w:bCs/>
                <w:sz w:val="20"/>
                <w:szCs w:val="20"/>
              </w:rPr>
              <w:t>i</w:t>
            </w:r>
          </w:p>
          <w:p w14:paraId="78BE8844" w14:textId="79C43D6E" w:rsidR="006F4502" w:rsidRPr="00AF3019" w:rsidRDefault="006F4502" w:rsidP="00AF301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F3019">
              <w:rPr>
                <w:bCs/>
                <w:sz w:val="20"/>
                <w:szCs w:val="20"/>
              </w:rPr>
              <w:t>Dawkowanie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piksantronu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kontynuuje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się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lub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modyfikuje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(dawkę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leku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lub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rytm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podawania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cyklu)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na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podstawie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obserwacji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klinicznych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wyników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badań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laboratoryjnych,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zgodnie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z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zaleceniami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zawartymi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Charakterystyce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Produktu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F3019">
              <w:rPr>
                <w:bCs/>
                <w:sz w:val="20"/>
                <w:szCs w:val="20"/>
              </w:rPr>
              <w:t>Leczniczego.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A18E" w14:textId="5626E290" w:rsidR="00BF0462" w:rsidRPr="00AC7C23" w:rsidRDefault="00BF0462" w:rsidP="00AF301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złośliwe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(ICD-10: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C83,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C85)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piksantronem</w:t>
            </w:r>
          </w:p>
          <w:p w14:paraId="3F37B6A7" w14:textId="4F47468E" w:rsidR="00BF0462" w:rsidRPr="00AC7C23" w:rsidRDefault="00BF0462" w:rsidP="00AF301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Badania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54BF8263" w14:textId="58241779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rozmazem;</w:t>
            </w:r>
          </w:p>
          <w:p w14:paraId="51F9FD0F" w14:textId="2A302109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całkowitej</w:t>
            </w:r>
            <w:r w:rsidR="00B5059B" w:rsidRPr="00AC7C23">
              <w:rPr>
                <w:sz w:val="20"/>
                <w:szCs w:val="20"/>
              </w:rPr>
              <w:t>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AspAT,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ALAT</w:t>
            </w:r>
            <w:r w:rsidR="00B5059B" w:rsidRPr="00AC7C23">
              <w:rPr>
                <w:sz w:val="20"/>
                <w:szCs w:val="20"/>
              </w:rPr>
              <w:t>;</w:t>
            </w:r>
          </w:p>
          <w:p w14:paraId="7E6E1444" w14:textId="4EDED747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kreatyniny;</w:t>
            </w:r>
          </w:p>
          <w:p w14:paraId="600C8384" w14:textId="41E4ED86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USG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RTG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inne)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udokumentowanie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podpunktu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4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kryteriów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kwalifikacji;</w:t>
            </w:r>
          </w:p>
          <w:p w14:paraId="5B1E40E2" w14:textId="77777777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EKG;</w:t>
            </w:r>
          </w:p>
          <w:p w14:paraId="32AC0774" w14:textId="5C046C06" w:rsidR="006F4502" w:rsidRPr="00AC7C23" w:rsidRDefault="006F4502" w:rsidP="00AF3019">
            <w:pPr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LVEF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wykonana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metodą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ECHO.</w:t>
            </w:r>
          </w:p>
          <w:p w14:paraId="4ABB21AB" w14:textId="77777777" w:rsidR="00B0142A" w:rsidRPr="00AC7C23" w:rsidRDefault="00B0142A" w:rsidP="00AC7C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0CA6AF75" w14:textId="159AE59F" w:rsidR="006F4502" w:rsidRPr="00AC7C23" w:rsidRDefault="006F4502" w:rsidP="00AF3019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</w:p>
          <w:p w14:paraId="71A5C576" w14:textId="136C674C" w:rsidR="006F4502" w:rsidRPr="00AF3019" w:rsidRDefault="006F4502" w:rsidP="00AF3019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F3019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F3019">
              <w:rPr>
                <w:sz w:val="20"/>
                <w:szCs w:val="20"/>
              </w:rPr>
              <w:t>wykonywane:</w:t>
            </w:r>
          </w:p>
          <w:p w14:paraId="7F953547" w14:textId="020C6893" w:rsidR="006F4502" w:rsidRPr="00AC7C23" w:rsidRDefault="006F4502" w:rsidP="00AF3019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przed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leku:</w:t>
            </w:r>
          </w:p>
          <w:p w14:paraId="1A29D6E9" w14:textId="610B6B04" w:rsidR="006F4502" w:rsidRPr="00AC7C23" w:rsidRDefault="006F4502" w:rsidP="00AF3019">
            <w:pPr>
              <w:pStyle w:val="Akapitzlist"/>
              <w:numPr>
                <w:ilvl w:val="5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rozmazem,</w:t>
            </w:r>
          </w:p>
          <w:p w14:paraId="522674B2" w14:textId="65DA1832" w:rsidR="006F4502" w:rsidRPr="00AC7C23" w:rsidRDefault="006F4502" w:rsidP="00AF3019">
            <w:pPr>
              <w:pStyle w:val="Akapitzlist"/>
              <w:numPr>
                <w:ilvl w:val="5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kreatyniny,</w:t>
            </w:r>
          </w:p>
          <w:p w14:paraId="2857B884" w14:textId="5F1EB25D" w:rsidR="006F4502" w:rsidRPr="00AC7C23" w:rsidRDefault="006F4502" w:rsidP="00AF3019">
            <w:pPr>
              <w:pStyle w:val="Akapitzlist"/>
              <w:numPr>
                <w:ilvl w:val="5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bilirubiny;</w:t>
            </w:r>
          </w:p>
          <w:p w14:paraId="484E705A" w14:textId="6482224C" w:rsidR="006F4502" w:rsidRPr="00AC7C23" w:rsidRDefault="006F4502" w:rsidP="00AF3019">
            <w:pPr>
              <w:pStyle w:val="Akapitzlist"/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drugi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leczenia:</w:t>
            </w:r>
          </w:p>
          <w:p w14:paraId="043902B8" w14:textId="55127785" w:rsidR="006F4502" w:rsidRPr="00AC7C23" w:rsidRDefault="006F4502" w:rsidP="00AF3019">
            <w:pPr>
              <w:pStyle w:val="Akapitzlist"/>
              <w:numPr>
                <w:ilvl w:val="5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ECHO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serca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EF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EKG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(przed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pierwszym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28-dniowego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cyklu);</w:t>
            </w:r>
          </w:p>
          <w:p w14:paraId="1A29EE0A" w14:textId="7C4F85FC" w:rsidR="006F4502" w:rsidRPr="00AC7C23" w:rsidRDefault="006F4502" w:rsidP="00AF3019">
            <w:pPr>
              <w:pStyle w:val="Akapitzlist"/>
              <w:numPr>
                <w:ilvl w:val="3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razie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podejrzenia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progresji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choroby:</w:t>
            </w:r>
          </w:p>
          <w:p w14:paraId="559DBB04" w14:textId="5C3EB57D" w:rsidR="006F4502" w:rsidRPr="00AC7C23" w:rsidRDefault="006F4502" w:rsidP="00AF3019">
            <w:pPr>
              <w:pStyle w:val="Akapitzlist"/>
              <w:numPr>
                <w:ilvl w:val="5"/>
                <w:numId w:val="24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odpowiednie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USG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RTG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inne).</w:t>
            </w:r>
          </w:p>
          <w:p w14:paraId="0D028AB8" w14:textId="62B115B6" w:rsidR="00F06412" w:rsidRPr="00AC7C23" w:rsidRDefault="00F06412" w:rsidP="00AC7C23">
            <w:pPr>
              <w:tabs>
                <w:tab w:val="left" w:pos="-1339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BF0462" w:rsidRPr="007E3BCE" w14:paraId="538C5FDC" w14:textId="77777777" w:rsidTr="00DE43DE">
        <w:trPr>
          <w:trHeight w:val="20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089C" w14:textId="7E5F913E" w:rsidR="00AC7C23" w:rsidRPr="00AC7C23" w:rsidRDefault="007E6DE4" w:rsidP="00AF301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rozlanego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7D191B" w:rsidRPr="00AC7C23">
              <w:rPr>
                <w:b/>
                <w:bCs/>
                <w:sz w:val="20"/>
                <w:szCs w:val="20"/>
              </w:rPr>
              <w:t>(DLBCL)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polatuzumabem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wedotyny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472439" w:rsidRPr="00AC7C23">
              <w:rPr>
                <w:b/>
                <w:bCs/>
                <w:sz w:val="20"/>
                <w:szCs w:val="20"/>
              </w:rPr>
              <w:br/>
            </w:r>
            <w:r w:rsidRPr="00AC7C23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skojarzeniu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bendamustyną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rytuksymabem</w:t>
            </w:r>
          </w:p>
          <w:p w14:paraId="2EB5CD6E" w14:textId="36E9112E" w:rsidR="007E6DE4" w:rsidRPr="00AC7C23" w:rsidRDefault="007E6DE4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0F96D360" w14:textId="0231830F" w:rsidR="007E6DE4" w:rsidRPr="00AC7C23" w:rsidRDefault="007D191B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oporny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nawrotowy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potwierdzony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histologicznie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chłoniak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DLBCL;</w:t>
            </w:r>
          </w:p>
          <w:p w14:paraId="2837B842" w14:textId="23F8F3E4" w:rsidR="007E6DE4" w:rsidRPr="00AC7C23" w:rsidRDefault="007E6DE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życia;</w:t>
            </w:r>
          </w:p>
          <w:p w14:paraId="7CA48028" w14:textId="7A98A76D" w:rsidR="007E6DE4" w:rsidRPr="00AC7C23" w:rsidRDefault="007E6DE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stan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sprawności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według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ECOG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0-2;</w:t>
            </w:r>
          </w:p>
          <w:p w14:paraId="4DD589F9" w14:textId="34441F5B" w:rsidR="007E6DE4" w:rsidRPr="00AC7C23" w:rsidRDefault="004D474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przeciw</w:t>
            </w:r>
            <w:r w:rsidR="00755D68" w:rsidRPr="00AC7C23">
              <w:rPr>
                <w:sz w:val="20"/>
                <w:szCs w:val="20"/>
              </w:rPr>
              <w:t>w</w:t>
            </w:r>
            <w:r w:rsidRPr="00AC7C23">
              <w:rPr>
                <w:sz w:val="20"/>
                <w:szCs w:val="20"/>
              </w:rPr>
              <w:t>skazania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przeszczepienia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krwiotwórczych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komórek</w:t>
            </w:r>
            <w:r w:rsidR="003C4635">
              <w:rPr>
                <w:sz w:val="20"/>
                <w:szCs w:val="20"/>
              </w:rPr>
              <w:t xml:space="preserve"> </w:t>
            </w:r>
            <w:r w:rsidR="00E844D1" w:rsidRPr="00AC7C23">
              <w:rPr>
                <w:sz w:val="20"/>
                <w:szCs w:val="20"/>
              </w:rPr>
              <w:t>macierzystych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momencie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</w:t>
            </w:r>
            <w:r w:rsidR="003C4635">
              <w:rPr>
                <w:sz w:val="20"/>
                <w:szCs w:val="20"/>
              </w:rPr>
              <w:t xml:space="preserve"> </w:t>
            </w:r>
            <w:r w:rsidR="00F659EC" w:rsidRPr="00AC7C23">
              <w:rPr>
                <w:sz w:val="20"/>
                <w:szCs w:val="20"/>
              </w:rPr>
              <w:t>lekowego</w:t>
            </w:r>
            <w:r w:rsidR="00E844D1" w:rsidRPr="00AC7C23">
              <w:rPr>
                <w:sz w:val="20"/>
                <w:szCs w:val="20"/>
              </w:rPr>
              <w:t>;</w:t>
            </w:r>
          </w:p>
          <w:p w14:paraId="141AF0A6" w14:textId="41FA8D71" w:rsidR="007E6DE4" w:rsidRPr="00AC7C23" w:rsidRDefault="00E844D1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stosowano</w:t>
            </w:r>
            <w:r w:rsidR="003C4635">
              <w:rPr>
                <w:sz w:val="20"/>
                <w:szCs w:val="20"/>
              </w:rPr>
              <w:t xml:space="preserve"> </w:t>
            </w:r>
            <w:r w:rsidR="00F659EC"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="00F659EC"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</w:t>
            </w:r>
            <w:r w:rsidR="003C4635">
              <w:rPr>
                <w:sz w:val="20"/>
                <w:szCs w:val="20"/>
              </w:rPr>
              <w:t xml:space="preserve"> </w:t>
            </w:r>
            <w:r w:rsidR="00F659EC" w:rsidRPr="00AC7C23">
              <w:rPr>
                <w:sz w:val="20"/>
                <w:szCs w:val="20"/>
              </w:rPr>
              <w:t>linię</w:t>
            </w:r>
            <w:r w:rsidR="003C4635">
              <w:rPr>
                <w:sz w:val="20"/>
                <w:szCs w:val="20"/>
              </w:rPr>
              <w:t xml:space="preserve"> </w:t>
            </w:r>
            <w:r w:rsidR="00F659EC" w:rsidRPr="00AC7C23">
              <w:rPr>
                <w:sz w:val="20"/>
                <w:szCs w:val="20"/>
              </w:rPr>
              <w:t>leczenia</w:t>
            </w:r>
            <w:r w:rsidRPr="00AC7C23">
              <w:rPr>
                <w:sz w:val="20"/>
                <w:szCs w:val="20"/>
              </w:rPr>
              <w:t>.</w:t>
            </w:r>
          </w:p>
          <w:p w14:paraId="688EC5F4" w14:textId="09F29338" w:rsidR="007E6DE4" w:rsidRPr="00AC7C23" w:rsidRDefault="007E6DE4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Kryteria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muszą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spełnione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łącznie.</w:t>
            </w:r>
          </w:p>
          <w:p w14:paraId="1F7F209D" w14:textId="2E446122" w:rsidR="00BF0462" w:rsidRPr="00AC7C23" w:rsidRDefault="007E6DE4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Ponadto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kwalifikowani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również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pacjenci,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byli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ramach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sposobu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finansowania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terapii,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warunkiem,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że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chwili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rozpoczęcia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spełniali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kryteria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lekowego.</w:t>
            </w:r>
          </w:p>
          <w:p w14:paraId="23A93103" w14:textId="77777777" w:rsidR="007E6DE4" w:rsidRPr="00AC7C23" w:rsidRDefault="007E6DE4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6B76999" w14:textId="61741857" w:rsidR="007E6DE4" w:rsidRPr="00AC7C23" w:rsidRDefault="007E6DE4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Określenie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czasu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programie</w:t>
            </w:r>
          </w:p>
          <w:p w14:paraId="55BDA702" w14:textId="44D58EF2" w:rsidR="007E6DE4" w:rsidRPr="00AC7C23" w:rsidRDefault="00F70A24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AC7C23">
              <w:rPr>
                <w:bCs/>
                <w:sz w:val="20"/>
                <w:szCs w:val="20"/>
              </w:rPr>
              <w:t>Maksymalny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czas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leczenia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wynosi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6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cykli</w:t>
            </w:r>
            <w:r w:rsidR="00F06412" w:rsidRPr="00AC7C23">
              <w:rPr>
                <w:bCs/>
                <w:sz w:val="20"/>
                <w:szCs w:val="20"/>
              </w:rPr>
              <w:t>.</w:t>
            </w:r>
          </w:p>
          <w:p w14:paraId="0F09E814" w14:textId="77777777" w:rsidR="00F70A24" w:rsidRPr="00AC7C23" w:rsidRDefault="00F70A24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67BCE652" w14:textId="18A06209" w:rsidR="007E6DE4" w:rsidRPr="00AC7C23" w:rsidRDefault="007E6DE4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stanowiące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przeciw</w:t>
            </w:r>
            <w:r w:rsidR="00472439" w:rsidRPr="00AC7C23">
              <w:rPr>
                <w:b/>
                <w:bCs/>
                <w:sz w:val="20"/>
                <w:szCs w:val="20"/>
              </w:rPr>
              <w:t>w</w:t>
            </w:r>
            <w:r w:rsidRPr="00AC7C23">
              <w:rPr>
                <w:b/>
                <w:bCs/>
                <w:sz w:val="20"/>
                <w:szCs w:val="20"/>
              </w:rPr>
              <w:t>skazania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54DCB586" w14:textId="5FA0E56B" w:rsidR="007E6DE4" w:rsidRPr="00AC7C23" w:rsidRDefault="007E6DE4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Obecne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jedno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poniższych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kryteriów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podczas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programu:</w:t>
            </w:r>
          </w:p>
          <w:p w14:paraId="322CB870" w14:textId="30AEAC2A" w:rsidR="007E6DE4" w:rsidRPr="00AC7C23" w:rsidRDefault="00F70A2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nadwrażliwość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bendamustynę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t>rytuksymab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białka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mysie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którekolwiek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pomocnicze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preparatów;</w:t>
            </w:r>
          </w:p>
          <w:p w14:paraId="0875C64B" w14:textId="775B8F7B" w:rsidR="007E6DE4" w:rsidRPr="00AC7C23" w:rsidRDefault="007E6DE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ciąża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karmienie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piersią;</w:t>
            </w:r>
          </w:p>
          <w:p w14:paraId="10CC98E2" w14:textId="29494EC9" w:rsidR="00F70A24" w:rsidRPr="00AC7C23" w:rsidRDefault="00F70A2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aktywna,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ciężka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infekcja;</w:t>
            </w:r>
          </w:p>
          <w:p w14:paraId="4318870E" w14:textId="08B9D8A3" w:rsidR="00F70A24" w:rsidRPr="00AC7C23" w:rsidRDefault="00F70A2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przekraczające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1,5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wartość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górnej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granicy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normy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dla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laboratorium;</w:t>
            </w:r>
          </w:p>
          <w:p w14:paraId="6ACCA5A5" w14:textId="1F6BEC2A" w:rsidR="00791DD0" w:rsidRPr="00AC7C23" w:rsidRDefault="00F70A2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neuropatia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stopnia</w:t>
            </w:r>
            <w:r w:rsidR="00791DD0" w:rsidRPr="00AC7C23">
              <w:rPr>
                <w:sz w:val="20"/>
                <w:szCs w:val="20"/>
              </w:rPr>
              <w:t>;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50F67462" w14:textId="28444968" w:rsidR="00791DD0" w:rsidRPr="00AC7C23" w:rsidRDefault="00791DD0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obecność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przeciwwskazań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rytuksymabu,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wynikają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Charakterystyk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Produktów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Leczniczych.</w:t>
            </w:r>
          </w:p>
          <w:p w14:paraId="51523A31" w14:textId="77777777" w:rsidR="007E6DE4" w:rsidRPr="00AC7C23" w:rsidRDefault="007E6DE4" w:rsidP="00AC7C23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5A8F3900" w14:textId="039E2233" w:rsidR="007E6DE4" w:rsidRPr="00AC7C23" w:rsidRDefault="007E6DE4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wyłączenia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438A8E9D" w14:textId="2676CE95" w:rsidR="007E6DE4" w:rsidRPr="00AC7C23" w:rsidRDefault="007E6DE4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progresja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t>trakcie</w:t>
            </w:r>
            <w:r w:rsidR="003C4635">
              <w:rPr>
                <w:sz w:val="20"/>
                <w:szCs w:val="20"/>
              </w:rPr>
              <w:t xml:space="preserve"> </w:t>
            </w:r>
            <w:r w:rsidR="00472439" w:rsidRPr="00AC7C23">
              <w:rPr>
                <w:sz w:val="20"/>
                <w:szCs w:val="20"/>
              </w:rPr>
              <w:t>leczenia;</w:t>
            </w:r>
          </w:p>
          <w:p w14:paraId="6931AB2A" w14:textId="1AD07648" w:rsidR="00472439" w:rsidRPr="00AC7C23" w:rsidRDefault="00472439" w:rsidP="00AC7C23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wystąpienie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objawów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nadwrażliwości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białka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mysie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którekolwiek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pomocnicze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preparatów;</w:t>
            </w:r>
          </w:p>
          <w:p w14:paraId="4B8444FD" w14:textId="4FCE1D6B" w:rsidR="00472439" w:rsidRPr="00AC7C23" w:rsidRDefault="00472439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ciąża;</w:t>
            </w:r>
          </w:p>
          <w:p w14:paraId="0FA8C59C" w14:textId="72F8068F" w:rsidR="00472439" w:rsidRPr="00AC7C23" w:rsidRDefault="00472439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wystąpienie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ciężkiego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zakażenia;</w:t>
            </w:r>
          </w:p>
          <w:p w14:paraId="0B30C229" w14:textId="11EB87A0" w:rsidR="00472439" w:rsidRPr="00AC7C23" w:rsidRDefault="00472439" w:rsidP="00AC7C23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rozpoznanie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postępującej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wieloogniskowej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leukoencefalopatii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(PML);</w:t>
            </w:r>
          </w:p>
          <w:p w14:paraId="5CCD8663" w14:textId="066937AD" w:rsidR="00472439" w:rsidRPr="00AC7C23" w:rsidRDefault="00472439" w:rsidP="00AC7C23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stwierdzenie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nieakceptowalnej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toksyczności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pomimo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zaleceń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dotyczących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modyfikacji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ChPL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rytuksymabu.</w:t>
            </w:r>
          </w:p>
          <w:p w14:paraId="6CDCCDCF" w14:textId="4BC99E9C" w:rsidR="00F06412" w:rsidRPr="00AC7C23" w:rsidRDefault="00F0641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6D5" w14:textId="708ADCFF" w:rsidR="00507469" w:rsidRPr="00AC7C23" w:rsidRDefault="00507469" w:rsidP="00AF301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rozlanego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(DLBCL)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polatuzumabem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wedotyny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br/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skojarzeniu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bendamustyną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rytuksymabem</w:t>
            </w:r>
          </w:p>
          <w:p w14:paraId="7BE37312" w14:textId="3E5FF2A1" w:rsidR="00507469" w:rsidRPr="00AC7C23" w:rsidRDefault="00507469" w:rsidP="00AC7C23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Dawkowanie</w:t>
            </w:r>
          </w:p>
          <w:p w14:paraId="06F5CE21" w14:textId="7772ACD8" w:rsidR="00507469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Polatuzumab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1,8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mg/kg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mc.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podawany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jest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infuzji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dożylnej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21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skojarzeniu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6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cykli.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1EF16EF4" w14:textId="49CEB975" w:rsidR="00507469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Polatuzumab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mogą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podawane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dowolnej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kolejności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cyklu.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2F3A4B80" w14:textId="1B6C8C2D" w:rsidR="00507469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skojarzonym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zalecana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wynosi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90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mg/m</w:t>
            </w:r>
            <w:r w:rsidRPr="00AC7C23">
              <w:rPr>
                <w:sz w:val="20"/>
                <w:szCs w:val="20"/>
                <w:vertAlign w:val="superscript"/>
              </w:rPr>
              <w:t>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pc./dobę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cyklu,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zalecana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wynosi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375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mg/m</w:t>
            </w:r>
            <w:r w:rsidRPr="00AC7C23">
              <w:rPr>
                <w:sz w:val="20"/>
                <w:szCs w:val="20"/>
                <w:vertAlign w:val="superscript"/>
              </w:rPr>
              <w:t>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pc.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cyklu.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6A6F4490" w14:textId="4DB3DC01" w:rsidR="00507469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Zaleca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się,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przekraczać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powyżej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240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mg/cykl.</w:t>
            </w:r>
          </w:p>
          <w:p w14:paraId="70922737" w14:textId="31F74D76" w:rsidR="00507469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76371AB" w14:textId="4DBEC98F" w:rsidR="00507469" w:rsidRPr="00AC7C23" w:rsidRDefault="00507469" w:rsidP="00AC7C23">
            <w:pPr>
              <w:pStyle w:val="Akapitzlist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Modyfikacja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dawki</w:t>
            </w:r>
          </w:p>
          <w:p w14:paraId="6DD0819F" w14:textId="70411CA5" w:rsidR="00AE39F6" w:rsidRPr="00AC7C23" w:rsidRDefault="00507469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Modyfikacja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dawkowania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zapisami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Charakterystyk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Produkt</w:t>
            </w:r>
            <w:r w:rsidR="00054506" w:rsidRPr="00AC7C23">
              <w:rPr>
                <w:sz w:val="20"/>
                <w:szCs w:val="20"/>
              </w:rPr>
              <w:t>ów</w:t>
            </w:r>
            <w:r w:rsidR="003C4635">
              <w:rPr>
                <w:sz w:val="20"/>
                <w:szCs w:val="20"/>
              </w:rPr>
              <w:t xml:space="preserve"> </w:t>
            </w:r>
            <w:r w:rsidR="00256B69" w:rsidRPr="00AC7C23">
              <w:rPr>
                <w:sz w:val="20"/>
                <w:szCs w:val="20"/>
              </w:rPr>
              <w:t>Lecznicz</w:t>
            </w:r>
            <w:r w:rsidR="00054506" w:rsidRPr="00AC7C23">
              <w:rPr>
                <w:sz w:val="20"/>
                <w:szCs w:val="20"/>
              </w:rPr>
              <w:t>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polatuzumabu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wedotyny,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bendamustyny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rytuksymabu.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C139" w14:textId="25B432FC" w:rsidR="004F67EB" w:rsidRPr="00AC7C23" w:rsidRDefault="004F67EB" w:rsidP="003C463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rozlanego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(DLBCL)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polatuzumabem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wedotyny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br/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skojarzeniu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bendamustyną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rytuksymabem</w:t>
            </w:r>
          </w:p>
          <w:p w14:paraId="48ED0EFB" w14:textId="2B17AEEF" w:rsidR="004F67EB" w:rsidRPr="00AC7C23" w:rsidRDefault="004F67EB" w:rsidP="00AC7C23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Badania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742918BF" w14:textId="7C5B7588" w:rsidR="004F67EB" w:rsidRPr="00AC7C23" w:rsidRDefault="004F67EB" w:rsidP="00AC7C23">
            <w:pPr>
              <w:numPr>
                <w:ilvl w:val="2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wzorem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odsetkowym;</w:t>
            </w:r>
          </w:p>
          <w:p w14:paraId="1BC46C2E" w14:textId="3B00AC11" w:rsidR="004F67EB" w:rsidRPr="00AC7C23" w:rsidRDefault="004F67EB" w:rsidP="00AC7C23">
            <w:pPr>
              <w:pStyle w:val="Akapitzlist"/>
              <w:numPr>
                <w:ilvl w:val="2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wydolności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eGFR,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kwasu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moczowego,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AST,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całkowitej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surowicy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krwi);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07D81E59" w14:textId="4DB2C15D" w:rsidR="004F67EB" w:rsidRPr="00AC7C23" w:rsidRDefault="004F67EB" w:rsidP="00AC7C23">
            <w:pPr>
              <w:numPr>
                <w:ilvl w:val="2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pozwalające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stopnia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zaawansowania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PET-TK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NMR);</w:t>
            </w:r>
          </w:p>
          <w:p w14:paraId="150CC345" w14:textId="2395A068" w:rsidR="004F67EB" w:rsidRPr="00AC7C23" w:rsidRDefault="004F67EB" w:rsidP="00AC7C23">
            <w:pPr>
              <w:numPr>
                <w:ilvl w:val="2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przesiewowe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kierunku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typu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zawierające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testy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kierunku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HbsAg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HbcAb,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dodatniego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wyniku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HbsAg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HBcAb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HBV-DNA;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25ABDF99" w14:textId="5E1332D9" w:rsidR="004F67EB" w:rsidRPr="00AC7C23" w:rsidRDefault="004F67EB" w:rsidP="00AC7C23">
            <w:pPr>
              <w:numPr>
                <w:ilvl w:val="2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przesiewowe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kierunku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typu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zawierające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oznaczenie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przeciwciał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anty-HCV,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dodatniego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wyniku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obecność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przeciwciał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anty-HCV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HCV-RNA;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6E8E160A" w14:textId="217024AD" w:rsidR="004F67EB" w:rsidRPr="00AC7C23" w:rsidRDefault="004F67EB" w:rsidP="00AC7C23">
            <w:pPr>
              <w:numPr>
                <w:ilvl w:val="2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test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ciążowy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kobiet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wieku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rozrodczym</w:t>
            </w:r>
            <w:r w:rsidR="00F06412" w:rsidRPr="00AC7C23">
              <w:rPr>
                <w:sz w:val="20"/>
                <w:szCs w:val="20"/>
              </w:rPr>
              <w:t>.</w:t>
            </w:r>
          </w:p>
          <w:p w14:paraId="58A5AC50" w14:textId="18B0074C" w:rsidR="004F67EB" w:rsidRPr="00AC7C23" w:rsidRDefault="0081686E" w:rsidP="00AC7C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lokalizacji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pozawęzłowej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chłoniaka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wykonanie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innych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badań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oceniających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zaawansowanie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chłoniaka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oprócz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badań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w/w</w:t>
            </w:r>
            <w:r w:rsidR="003C4635">
              <w:rPr>
                <w:sz w:val="20"/>
                <w:szCs w:val="20"/>
              </w:rPr>
              <w:t xml:space="preserve"> </w:t>
            </w:r>
            <w:r w:rsidR="00FE2193" w:rsidRPr="00AC7C23">
              <w:rPr>
                <w:sz w:val="20"/>
                <w:szCs w:val="20"/>
              </w:rPr>
              <w:t>-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decyzji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lekarza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prowadzącego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(badania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endoskopowe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="00D929CC" w:rsidRPr="00AC7C23">
              <w:rPr>
                <w:sz w:val="20"/>
                <w:szCs w:val="20"/>
              </w:rPr>
              <w:t>inne)</w:t>
            </w:r>
            <w:r w:rsidR="00F06412" w:rsidRPr="00AC7C23">
              <w:rPr>
                <w:sz w:val="20"/>
                <w:szCs w:val="20"/>
              </w:rPr>
              <w:t>.</w:t>
            </w:r>
          </w:p>
          <w:p w14:paraId="1A5BA71A" w14:textId="77777777" w:rsidR="00F06412" w:rsidRPr="00AC7C23" w:rsidRDefault="00F06412" w:rsidP="00AC7C23">
            <w:p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6D060D6" w14:textId="16C615BA" w:rsidR="004F67EB" w:rsidRPr="00AC7C23" w:rsidRDefault="004F67EB" w:rsidP="00AC7C23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</w:p>
          <w:p w14:paraId="631FE189" w14:textId="4AD04912" w:rsidR="004F67EB" w:rsidRPr="00AC7C23" w:rsidRDefault="004F67EB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przeprowadzane:</w:t>
            </w:r>
          </w:p>
          <w:p w14:paraId="591C1EE8" w14:textId="63C4647E" w:rsidR="004F67EB" w:rsidRPr="00AC7C23" w:rsidRDefault="004F67EB" w:rsidP="00AC7C23">
            <w:pPr>
              <w:pStyle w:val="Akapitzlist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przed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leku:</w:t>
            </w:r>
          </w:p>
          <w:p w14:paraId="7AD8BA9E" w14:textId="7E6CA2FE" w:rsidR="00F06412" w:rsidRPr="00AC7C23" w:rsidRDefault="000038D2" w:rsidP="00AC7C23">
            <w:pPr>
              <w:pStyle w:val="Akapitzlist"/>
              <w:numPr>
                <w:ilvl w:val="4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wzorem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odsetkowym</w:t>
            </w:r>
            <w:r w:rsidR="00F06412" w:rsidRPr="00AC7C23">
              <w:rPr>
                <w:sz w:val="20"/>
                <w:szCs w:val="20"/>
              </w:rPr>
              <w:t>;</w:t>
            </w:r>
          </w:p>
          <w:p w14:paraId="44B492ED" w14:textId="15EB9E98" w:rsidR="00755D68" w:rsidRPr="00AC7C23" w:rsidRDefault="00755D68" w:rsidP="00AC7C23">
            <w:pPr>
              <w:pStyle w:val="Akapitzlist"/>
              <w:numPr>
                <w:ilvl w:val="4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wydolności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kwasu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moczowego,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AST,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całkowitej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surowicy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krwi);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085236E0" w14:textId="62F10A03" w:rsidR="006E6740" w:rsidRPr="00AC7C23" w:rsidRDefault="006E6740" w:rsidP="00AC7C23">
            <w:pPr>
              <w:pStyle w:val="Akapitzlist"/>
              <w:numPr>
                <w:ilvl w:val="4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elektrolity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sodu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potasu).</w:t>
            </w:r>
          </w:p>
          <w:p w14:paraId="72BD8131" w14:textId="2F2350E0" w:rsidR="00BF0462" w:rsidRPr="00AC7C23" w:rsidRDefault="000038D2" w:rsidP="00AC7C23">
            <w:pPr>
              <w:pStyle w:val="Akapitzlist"/>
              <w:numPr>
                <w:ilvl w:val="2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cyklach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zakończeniu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dowolnym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momencie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podejrzenia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progresji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choroby:</w:t>
            </w:r>
          </w:p>
          <w:p w14:paraId="7309A1AD" w14:textId="468E6A9C" w:rsidR="000038D2" w:rsidRPr="00AC7C23" w:rsidRDefault="000038D2" w:rsidP="00AC7C23">
            <w:pPr>
              <w:pStyle w:val="Akapitzlist"/>
              <w:numPr>
                <w:ilvl w:val="4"/>
                <w:numId w:val="5"/>
              </w:numPr>
              <w:tabs>
                <w:tab w:val="left" w:pos="355"/>
              </w:tabs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odpowiednie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PET-TK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NMR).</w:t>
            </w:r>
          </w:p>
        </w:tc>
      </w:tr>
      <w:tr w:rsidR="00E83F1B" w:rsidRPr="007E3BCE" w14:paraId="69F522B6" w14:textId="77777777" w:rsidTr="00DE43DE">
        <w:trPr>
          <w:trHeight w:val="20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D2CB" w14:textId="4858C3B3" w:rsidR="006075F6" w:rsidRPr="00AC7C23" w:rsidRDefault="006075F6" w:rsidP="00AF3019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aksykabtagenem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cyloleucelu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755D68" w:rsidRPr="00AC7C23">
              <w:rPr>
                <w:b/>
                <w:bCs/>
                <w:sz w:val="20"/>
                <w:szCs w:val="20"/>
              </w:rPr>
              <w:t>albo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tisagenlecleucelem</w:t>
            </w:r>
          </w:p>
          <w:p w14:paraId="094CB643" w14:textId="2DADF9FF" w:rsidR="006075F6" w:rsidRPr="00AC7C23" w:rsidRDefault="006075F6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319ACDCD" w14:textId="3D6711B4" w:rsidR="00067372" w:rsidRPr="00AC7C23" w:rsidRDefault="0006737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świadczeniobiorców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terapii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dokonuje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Zespół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Koordynacyjny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ds.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CAR-T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powoływany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Prezesa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Narodowego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Funduszu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Zdrowia.</w:t>
            </w:r>
          </w:p>
          <w:p w14:paraId="1AD60B50" w14:textId="7B66C524" w:rsidR="00067372" w:rsidRPr="00AC7C23" w:rsidRDefault="0006737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Kwalifikacja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</w:t>
            </w:r>
            <w:r w:rsidR="003C4635">
              <w:rPr>
                <w:sz w:val="20"/>
                <w:szCs w:val="20"/>
              </w:rPr>
              <w:t xml:space="preserve"> </w:t>
            </w:r>
            <w:r w:rsidR="00C45571"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="00C45571" w:rsidRPr="00AC7C23">
              <w:rPr>
                <w:sz w:val="20"/>
                <w:szCs w:val="20"/>
              </w:rPr>
              <w:t>weryfikacja</w:t>
            </w:r>
            <w:r w:rsidR="003C4635">
              <w:rPr>
                <w:sz w:val="20"/>
                <w:szCs w:val="20"/>
              </w:rPr>
              <w:t xml:space="preserve"> </w:t>
            </w:r>
            <w:r w:rsidR="00C45571" w:rsidRPr="00AC7C23">
              <w:rPr>
                <w:sz w:val="20"/>
                <w:szCs w:val="20"/>
              </w:rPr>
              <w:t>skuteczności</w:t>
            </w:r>
            <w:r w:rsidR="003C4635">
              <w:rPr>
                <w:sz w:val="20"/>
                <w:szCs w:val="20"/>
              </w:rPr>
              <w:t xml:space="preserve"> </w:t>
            </w:r>
            <w:r w:rsidR="00C45571"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odbywa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oparciu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stanu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klinicznego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pacjenta.</w:t>
            </w:r>
          </w:p>
          <w:p w14:paraId="511E5E42" w14:textId="664B437D" w:rsidR="0006737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potwierdzony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histologicznie:</w:t>
            </w:r>
          </w:p>
          <w:p w14:paraId="6C123607" w14:textId="7E11EAE2" w:rsidR="00955D9E" w:rsidRPr="00AC7C23" w:rsidRDefault="00067372" w:rsidP="00AC7C23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chłoniak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rozlany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dużych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komórek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(DLBCL)</w:t>
            </w:r>
            <w:r w:rsidR="003C4635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albo</w:t>
            </w:r>
            <w:r w:rsidR="00334BFA">
              <w:rPr>
                <w:sz w:val="20"/>
                <w:szCs w:val="20"/>
              </w:rPr>
              <w:t xml:space="preserve"> </w:t>
            </w:r>
            <w:proofErr w:type="spellStart"/>
            <w:r w:rsidR="00334BFA" w:rsidRPr="00AC7C23">
              <w:rPr>
                <w:sz w:val="20"/>
                <w:szCs w:val="20"/>
              </w:rPr>
              <w:t>chłoniak</w:t>
            </w:r>
            <w:proofErr w:type="spellEnd"/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z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komórek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B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o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wysokim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stopniu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złośliwości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(HGBCL)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albo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stransformowany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w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DLBCL</w:t>
            </w:r>
            <w:r w:rsidR="00334BFA">
              <w:rPr>
                <w:sz w:val="20"/>
                <w:szCs w:val="20"/>
              </w:rPr>
              <w:t xml:space="preserve"> </w:t>
            </w:r>
            <w:proofErr w:type="spellStart"/>
            <w:r w:rsidR="00334BFA" w:rsidRPr="00AC7C23">
              <w:rPr>
                <w:sz w:val="20"/>
                <w:szCs w:val="20"/>
              </w:rPr>
              <w:t>chłoniak</w:t>
            </w:r>
            <w:proofErr w:type="spellEnd"/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grudkowy</w:t>
            </w:r>
            <w:r w:rsidR="00334BFA">
              <w:rPr>
                <w:sz w:val="20"/>
                <w:szCs w:val="20"/>
              </w:rPr>
              <w:t xml:space="preserve"> </w:t>
            </w:r>
            <w:r w:rsidR="00334BFA" w:rsidRPr="00AC7C23">
              <w:rPr>
                <w:sz w:val="20"/>
                <w:szCs w:val="20"/>
              </w:rPr>
              <w:t>(TFL)</w:t>
            </w:r>
            <w:r w:rsidR="00334BFA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dotyczy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proofErr w:type="spellStart"/>
            <w:r w:rsidRPr="00AC7C23">
              <w:rPr>
                <w:sz w:val="20"/>
                <w:szCs w:val="20"/>
              </w:rPr>
              <w:t>aksykabtagenem</w:t>
            </w:r>
            <w:proofErr w:type="spellEnd"/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="00755D68"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tisagenlecleucelem,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6989ADDE" w14:textId="6D8D9822" w:rsidR="00067372" w:rsidRPr="00AC7C23" w:rsidRDefault="00067372" w:rsidP="00AC7C23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albo</w:t>
            </w:r>
          </w:p>
          <w:p w14:paraId="5B269243" w14:textId="106CE3AE" w:rsidR="00067372" w:rsidRPr="00AC7C23" w:rsidRDefault="00067372" w:rsidP="00AC7C23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pierwotny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chłoniak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śródpiersia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dużych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komórek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(PMBCL)</w:t>
            </w:r>
            <w:r w:rsidR="00334BFA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dotyczy</w:t>
            </w:r>
            <w:r w:rsidR="003C4635">
              <w:rPr>
                <w:sz w:val="20"/>
                <w:szCs w:val="20"/>
              </w:rPr>
              <w:t xml:space="preserve"> </w:t>
            </w:r>
            <w:r w:rsidR="00B7438E"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wyłącznie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cyloleucelu;</w:t>
            </w:r>
          </w:p>
          <w:p w14:paraId="512DE498" w14:textId="2F435761" w:rsidR="0001302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wiek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≥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18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rok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życia;</w:t>
            </w:r>
          </w:p>
          <w:p w14:paraId="2FF6AA80" w14:textId="42793A99" w:rsidR="0001302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stan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sprawności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według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ECOG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0-1;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s</w:t>
            </w:r>
            <w:r w:rsidRPr="00AC7C23">
              <w:rPr>
                <w:sz w:val="20"/>
                <w:szCs w:val="20"/>
              </w:rPr>
              <w:t>tan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zdrowia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chorego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t>powinien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lekarza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prowadzącego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rokować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przeżycie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miesiąc</w:t>
            </w:r>
            <w:r w:rsidR="00013022" w:rsidRPr="00AC7C23">
              <w:rPr>
                <w:sz w:val="20"/>
                <w:szCs w:val="20"/>
              </w:rPr>
              <w:t>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terapii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CAR-T</w:t>
            </w:r>
            <w:r w:rsidR="00013022" w:rsidRPr="00AC7C23">
              <w:rPr>
                <w:sz w:val="20"/>
                <w:szCs w:val="20"/>
              </w:rPr>
              <w:t>;</w:t>
            </w:r>
          </w:p>
          <w:p w14:paraId="5E37FDA2" w14:textId="28E54405" w:rsidR="0001302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udokumentowane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niepowodzenie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dwóch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więcej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linii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systemowego;</w:t>
            </w:r>
          </w:p>
          <w:p w14:paraId="3A194ED5" w14:textId="69E733D5" w:rsidR="0001302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wcześniejsze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zawierające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przeciwciało</w:t>
            </w:r>
            <w:r w:rsidR="003C4635">
              <w:rPr>
                <w:sz w:val="20"/>
                <w:szCs w:val="20"/>
              </w:rPr>
              <w:t xml:space="preserve"> </w:t>
            </w:r>
            <w:r w:rsidR="00013022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anty-CD20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antracykliny;</w:t>
            </w:r>
          </w:p>
          <w:p w14:paraId="70E31900" w14:textId="4CEEDD48" w:rsidR="0001302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oporność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ostatnią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otrzymaną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linię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wznowa/progresja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ciągu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miesięcy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przeszczepienia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autologicznych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komórek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krwiotwórczych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(auto</w:t>
            </w:r>
            <w:r w:rsidR="00013022" w:rsidRPr="00AC7C23">
              <w:rPr>
                <w:sz w:val="20"/>
                <w:szCs w:val="20"/>
              </w:rPr>
              <w:t>-</w:t>
            </w:r>
            <w:r w:rsidRPr="00AC7C23">
              <w:rPr>
                <w:sz w:val="20"/>
                <w:szCs w:val="20"/>
              </w:rPr>
              <w:t>HSCT);</w:t>
            </w:r>
          </w:p>
          <w:p w14:paraId="243CF777" w14:textId="182525C5" w:rsidR="001B012A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czynność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szpiku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kostnego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pozwalająca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lekarza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prowadzącego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przeprowadzenie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terapii</w:t>
            </w:r>
            <w:r w:rsidR="001B012A" w:rsidRPr="00AC7C23">
              <w:rPr>
                <w:sz w:val="20"/>
                <w:szCs w:val="20"/>
              </w:rPr>
              <w:t>;</w:t>
            </w:r>
          </w:p>
          <w:p w14:paraId="5F98B713" w14:textId="4D4390BA" w:rsidR="00067372" w:rsidRPr="00AC7C23" w:rsidRDefault="0006737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czynność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serca,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płuc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pozwalająca</w:t>
            </w:r>
            <w:r w:rsidR="003C4635">
              <w:rPr>
                <w:sz w:val="20"/>
                <w:szCs w:val="20"/>
              </w:rPr>
              <w:t xml:space="preserve"> </w:t>
            </w:r>
            <w:r w:rsidR="00B7438E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lekarza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prowadzącego</w:t>
            </w:r>
            <w:r w:rsidR="003C4635">
              <w:rPr>
                <w:sz w:val="20"/>
                <w:szCs w:val="20"/>
              </w:rPr>
              <w:t xml:space="preserve"> </w:t>
            </w:r>
            <w:r w:rsidR="00B7438E"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="00B7438E" w:rsidRPr="00AC7C23">
              <w:rPr>
                <w:sz w:val="20"/>
                <w:szCs w:val="20"/>
              </w:rPr>
              <w:t>przeprowadzenie</w:t>
            </w:r>
            <w:r w:rsidR="003C4635">
              <w:rPr>
                <w:sz w:val="20"/>
                <w:szCs w:val="20"/>
              </w:rPr>
              <w:t xml:space="preserve"> </w:t>
            </w:r>
            <w:r w:rsidR="00B7438E" w:rsidRPr="00AC7C23">
              <w:rPr>
                <w:sz w:val="20"/>
                <w:szCs w:val="20"/>
              </w:rPr>
              <w:t>terapii</w:t>
            </w:r>
            <w:r w:rsidR="00F21C02" w:rsidRPr="00AC7C23">
              <w:rPr>
                <w:sz w:val="20"/>
                <w:szCs w:val="20"/>
              </w:rPr>
              <w:t>;</w:t>
            </w:r>
          </w:p>
          <w:p w14:paraId="1D5547F5" w14:textId="2F8FE9E6" w:rsidR="00F21C02" w:rsidRPr="00AC7C23" w:rsidRDefault="00F21C02" w:rsidP="00AC7C23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możliwość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leczonych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kobiet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wieku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rozrodczym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mężczyzn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partnerów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seksualnych)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skutecznych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metod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antykoncepcji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okresie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miesięcy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infuzji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tisagenlecleucelu.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00B4310B" w14:textId="4263ACA2" w:rsidR="00067372" w:rsidRPr="00AC7C23" w:rsidRDefault="0006737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Kryteria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muszą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spełnione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łącznie.</w:t>
            </w:r>
          </w:p>
          <w:p w14:paraId="4BE123C6" w14:textId="77777777" w:rsidR="001B012A" w:rsidRPr="00AC7C23" w:rsidRDefault="001B012A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73DE26B" w14:textId="4B60D9DB" w:rsidR="001B012A" w:rsidRPr="00AC7C23" w:rsidRDefault="001B012A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Określenie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czasu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programie</w:t>
            </w:r>
          </w:p>
          <w:p w14:paraId="4CF8C273" w14:textId="36E00F59" w:rsidR="00067372" w:rsidRPr="00AC7C23" w:rsidRDefault="001B012A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bCs/>
                <w:sz w:val="20"/>
                <w:szCs w:val="20"/>
              </w:rPr>
              <w:t>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chorych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można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zastosować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jedno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przetoczenie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CAR-T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="00B7438E" w:rsidRPr="00AC7C23">
              <w:rPr>
                <w:bCs/>
                <w:sz w:val="20"/>
                <w:szCs w:val="20"/>
              </w:rPr>
              <w:br/>
            </w:r>
            <w:r w:rsidRPr="00AC7C23">
              <w:rPr>
                <w:bCs/>
                <w:sz w:val="20"/>
                <w:szCs w:val="20"/>
              </w:rPr>
              <w:t>(tj.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jedno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podanie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aksykabtagen</w:t>
            </w:r>
            <w:r w:rsidR="00B7438E" w:rsidRPr="00AC7C23">
              <w:rPr>
                <w:bCs/>
                <w:sz w:val="20"/>
                <w:szCs w:val="20"/>
              </w:rPr>
              <w:t>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cyloleucelu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albo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jedno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podanie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tisagenlecleucelu).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Maksymalny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czas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opieki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w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ramach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programu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lekowego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wynosi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12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miesięcy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od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dnia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podania</w:t>
            </w:r>
            <w:r w:rsidR="003C4635">
              <w:rPr>
                <w:bCs/>
                <w:sz w:val="20"/>
                <w:szCs w:val="20"/>
              </w:rPr>
              <w:t xml:space="preserve"> </w:t>
            </w:r>
            <w:r w:rsidRPr="00AC7C23">
              <w:rPr>
                <w:bCs/>
                <w:sz w:val="20"/>
                <w:szCs w:val="20"/>
              </w:rPr>
              <w:t>CAR-T.</w:t>
            </w:r>
          </w:p>
          <w:p w14:paraId="69AC3C90" w14:textId="77777777" w:rsidR="001B012A" w:rsidRPr="00AC7C23" w:rsidRDefault="001B012A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0F9C4458" w14:textId="41B23ADC" w:rsidR="001B012A" w:rsidRPr="00AC7C23" w:rsidRDefault="001B012A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stanowiące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przeciwwskazania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78F6AA40" w14:textId="03938316" w:rsidR="001B012A" w:rsidRPr="00AC7C23" w:rsidRDefault="001B012A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Obecne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jedno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poniższych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kryteriów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podczas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kwalifikacji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programu:</w:t>
            </w:r>
          </w:p>
          <w:p w14:paraId="34587204" w14:textId="10304C6D" w:rsidR="001B012A" w:rsidRPr="00AC7C23" w:rsidRDefault="001B012A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nadwrażliwość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którąkolwiek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pomocniczą;</w:t>
            </w:r>
          </w:p>
          <w:p w14:paraId="2754B6E4" w14:textId="41E14893" w:rsidR="00AD689F" w:rsidRPr="00AC7C23" w:rsidRDefault="001B012A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ciąża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karmienie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piersią;</w:t>
            </w:r>
          </w:p>
          <w:p w14:paraId="79FDE0A3" w14:textId="18EA4B77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niekontrolowane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zakażenie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systemowe;</w:t>
            </w:r>
          </w:p>
          <w:p w14:paraId="40E3C242" w14:textId="504C24AD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obturacyjna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restrykcyjna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płuc;</w:t>
            </w:r>
          </w:p>
          <w:p w14:paraId="6A04BA6C" w14:textId="5BC61806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hemoliza;</w:t>
            </w:r>
          </w:p>
          <w:p w14:paraId="6533A60B" w14:textId="3453955F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koagulopatia;</w:t>
            </w:r>
          </w:p>
          <w:p w14:paraId="6A894D71" w14:textId="5BAC00DA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zakrzepowe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zapalenie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żył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głębokich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zatorowość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płucna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ciągu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ostatnich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6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miesięcy;</w:t>
            </w:r>
          </w:p>
          <w:p w14:paraId="330AC84C" w14:textId="278317D6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zajęcie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ośrodkowego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układu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nerwowego</w:t>
            </w:r>
            <w:r w:rsidR="003C4635">
              <w:rPr>
                <w:sz w:val="20"/>
                <w:szCs w:val="20"/>
              </w:rPr>
              <w:t xml:space="preserve"> </w:t>
            </w:r>
            <w:r w:rsidR="005E5666" w:rsidRPr="00AC7C23">
              <w:rPr>
                <w:sz w:val="20"/>
                <w:szCs w:val="20"/>
              </w:rPr>
              <w:t>(OUN)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chłoniaka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="005E5666"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obejmujące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OUN;</w:t>
            </w:r>
          </w:p>
          <w:p w14:paraId="3CE9B355" w14:textId="1830E27D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zakażenie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HIV</w:t>
            </w:r>
            <w:r w:rsidR="005E5666" w:rsidRPr="00AC7C23">
              <w:rPr>
                <w:sz w:val="20"/>
                <w:szCs w:val="20"/>
              </w:rPr>
              <w:t>;</w:t>
            </w:r>
          </w:p>
          <w:p w14:paraId="057E0768" w14:textId="6962C388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wirusowe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zapalenie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typu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C;</w:t>
            </w:r>
          </w:p>
          <w:p w14:paraId="473B7F4B" w14:textId="0CEF231C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aktywna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autoimmunologiczna;</w:t>
            </w:r>
          </w:p>
          <w:p w14:paraId="519A4176" w14:textId="4436A9E2" w:rsidR="00AD689F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pierwotny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niedobór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odporności;</w:t>
            </w:r>
          </w:p>
          <w:p w14:paraId="1F673737" w14:textId="05460421" w:rsidR="008E53D3" w:rsidRPr="00AC7C23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obecność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przeciwwskazań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stosowania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chemioterapii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limfodeplecyjnej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takich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leków,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jak: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1684E1F4" w14:textId="02163DCA" w:rsidR="00AD689F" w:rsidRPr="00AC7C23" w:rsidRDefault="0041155E" w:rsidP="00AC7C23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cyklofosfamid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fludarabina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aksykabtagenem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cyloleucelu</w:t>
            </w:r>
            <w:r w:rsidR="000A4D83" w:rsidRPr="00AC7C23">
              <w:rPr>
                <w:sz w:val="20"/>
                <w:szCs w:val="20"/>
              </w:rPr>
              <w:t>,</w:t>
            </w:r>
          </w:p>
          <w:p w14:paraId="20A92C24" w14:textId="4E9DC0B6" w:rsidR="008E53D3" w:rsidRPr="00AC7C23" w:rsidRDefault="000A4D83" w:rsidP="00AC7C23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cyklofosfamid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fludarabina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bendamustyna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br/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="008E53D3" w:rsidRPr="00AC7C23">
              <w:rPr>
                <w:sz w:val="20"/>
                <w:szCs w:val="20"/>
              </w:rPr>
              <w:t>tisagenlecleucelem</w:t>
            </w:r>
          </w:p>
          <w:p w14:paraId="40EFCC91" w14:textId="572E1A1B" w:rsidR="0041155E" w:rsidRDefault="0041155E" w:rsidP="00AC7C23">
            <w:pPr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wcześniejsze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CAR-T</w:t>
            </w:r>
            <w:r w:rsidR="003C4635">
              <w:rPr>
                <w:sz w:val="20"/>
                <w:szCs w:val="20"/>
              </w:rPr>
              <w:t xml:space="preserve"> </w:t>
            </w:r>
            <w:r w:rsidR="00772D6B" w:rsidRPr="00AC7C23">
              <w:rPr>
                <w:sz w:val="20"/>
                <w:szCs w:val="20"/>
              </w:rPr>
              <w:t>(anty-CD19)</w:t>
            </w:r>
            <w:r w:rsidR="00B5059B" w:rsidRPr="00AC7C23">
              <w:rPr>
                <w:sz w:val="20"/>
                <w:szCs w:val="20"/>
              </w:rPr>
              <w:t>.</w:t>
            </w:r>
          </w:p>
          <w:p w14:paraId="691900F6" w14:textId="59C39D56" w:rsidR="00AF3019" w:rsidRPr="00AC7C23" w:rsidRDefault="00AF3019" w:rsidP="00AF3019">
            <w:pPr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sz w:val="20"/>
                <w:szCs w:val="20"/>
              </w:rPr>
            </w:pPr>
          </w:p>
          <w:p w14:paraId="1127B085" w14:textId="3F3C75B6" w:rsidR="001B012A" w:rsidRPr="00AC7C23" w:rsidRDefault="001B012A" w:rsidP="00AC7C23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Kryteria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wyłączenia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4D83EA79" w14:textId="3AE3EC2A" w:rsidR="00E65EA8" w:rsidRPr="00AF3019" w:rsidRDefault="00755D68" w:rsidP="00AC7C23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</w:t>
            </w:r>
            <w:r w:rsidR="00A92CFA" w:rsidRPr="00AC7C23">
              <w:rPr>
                <w:sz w:val="20"/>
                <w:szCs w:val="20"/>
              </w:rPr>
              <w:t>ystąpienie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nieodwracalnych,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bezwzględnych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przeciwwskazań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podania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aksykabtag</w:t>
            </w:r>
            <w:r w:rsidR="003D5503" w:rsidRPr="00AC7C23">
              <w:rPr>
                <w:sz w:val="20"/>
                <w:szCs w:val="20"/>
              </w:rPr>
              <w:t>enu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="00A92CFA" w:rsidRPr="00AC7C23">
              <w:rPr>
                <w:sz w:val="20"/>
                <w:szCs w:val="20"/>
              </w:rPr>
              <w:t>tisagenlecleucelu</w:t>
            </w:r>
          </w:p>
          <w:p w14:paraId="17E1CDF3" w14:textId="4077C316" w:rsidR="00AF3019" w:rsidRPr="00AC7C23" w:rsidRDefault="00AF3019" w:rsidP="00AF3019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9326" w14:textId="0C85EDD5" w:rsidR="000F18A1" w:rsidRPr="00AC7C23" w:rsidRDefault="000F18A1" w:rsidP="00AF3019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aksykabtagenem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cyloleucelu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755D68" w:rsidRPr="00AC7C23">
              <w:rPr>
                <w:b/>
                <w:bCs/>
                <w:sz w:val="20"/>
                <w:szCs w:val="20"/>
              </w:rPr>
              <w:t>albo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tisagenlecleucelem</w:t>
            </w:r>
          </w:p>
          <w:p w14:paraId="68D128E1" w14:textId="74393167" w:rsidR="000F18A1" w:rsidRPr="00AC7C23" w:rsidRDefault="000F18A1" w:rsidP="00AC7C23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Dawkowanie</w:t>
            </w:r>
          </w:p>
          <w:p w14:paraId="42C9FBE9" w14:textId="30E0A302" w:rsidR="000A4D83" w:rsidRPr="00AC7C23" w:rsidRDefault="000A4D83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Schemat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dawkowania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zapisami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Charakterystyk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Produkt</w:t>
            </w:r>
            <w:r w:rsidR="00054506" w:rsidRPr="00AC7C23">
              <w:rPr>
                <w:sz w:val="20"/>
                <w:szCs w:val="20"/>
              </w:rPr>
              <w:t>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Lecznicz</w:t>
            </w:r>
            <w:r w:rsidR="00054506" w:rsidRPr="00AC7C23">
              <w:rPr>
                <w:sz w:val="20"/>
                <w:szCs w:val="20"/>
              </w:rPr>
              <w:t>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dla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substancji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czynnych.</w:t>
            </w:r>
            <w:r w:rsidR="003C4635">
              <w:rPr>
                <w:sz w:val="20"/>
                <w:szCs w:val="20"/>
              </w:rPr>
              <w:t xml:space="preserve"> </w:t>
            </w:r>
          </w:p>
          <w:p w14:paraId="2B3C11FE" w14:textId="06A8E64E" w:rsidR="00E65422" w:rsidRPr="00AC7C23" w:rsidRDefault="000A4D83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Chemioterapię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limfodeplecyjną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należy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stosować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zapisami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Charakterystyki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Produktu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Leczniczego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odpowiednio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dla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="00DC6E9A" w:rsidRPr="00AC7C23">
              <w:rPr>
                <w:sz w:val="20"/>
                <w:szCs w:val="20"/>
              </w:rPr>
              <w:t>tisagenlecleucelu. Przed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podaniem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tisagenlecleucelu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zaleca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się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zastosowanie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premedykacji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zapisami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Charakterystyk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Produkt</w:t>
            </w:r>
            <w:r w:rsidR="00054506" w:rsidRPr="00AC7C23">
              <w:rPr>
                <w:sz w:val="20"/>
                <w:szCs w:val="20"/>
              </w:rPr>
              <w:t>ów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Lecznic</w:t>
            </w:r>
            <w:r w:rsidR="00054506" w:rsidRPr="00AC7C23">
              <w:rPr>
                <w:sz w:val="20"/>
                <w:szCs w:val="20"/>
              </w:rPr>
              <w:t>zych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dla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tych</w:t>
            </w:r>
            <w:r w:rsidR="003C4635">
              <w:rPr>
                <w:sz w:val="20"/>
                <w:szCs w:val="20"/>
              </w:rPr>
              <w:t xml:space="preserve"> </w:t>
            </w:r>
            <w:r w:rsidR="00E65422" w:rsidRPr="00AC7C23">
              <w:rPr>
                <w:sz w:val="20"/>
                <w:szCs w:val="20"/>
              </w:rPr>
              <w:t>produktów.</w:t>
            </w:r>
          </w:p>
          <w:p w14:paraId="0BFCBE46" w14:textId="7A1C4523" w:rsidR="00E65422" w:rsidRPr="00AC7C23" w:rsidRDefault="00E6542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9955B62" w14:textId="47D8F271" w:rsidR="00E65422" w:rsidRPr="00AC7C23" w:rsidRDefault="00E6542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Aksykabtagen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="006E226B"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muszą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być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podawane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wykwalifikowanym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ośrodku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posiadającym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certyfikację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Podmiotu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Odpowiedzialnego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wymogami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EMA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akceptację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pozytywnej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opinii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Krajowej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Rady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Transplantacyjnej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odnośnie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pobierania</w:t>
            </w:r>
            <w:r w:rsidR="003C4635">
              <w:rPr>
                <w:sz w:val="20"/>
                <w:szCs w:val="20"/>
              </w:rPr>
              <w:t xml:space="preserve"> </w:t>
            </w:r>
            <w:r w:rsidR="00120B9F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wykorzystania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autologicznych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limfocytów.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Terapię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należy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rozpoczynać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nadzorem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fachowego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personelu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medycznego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doświadczonego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nowotworów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układu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krwiotwórczego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chłonnego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przeszkolonego</w:t>
            </w:r>
            <w:r w:rsidR="003C4635">
              <w:rPr>
                <w:sz w:val="20"/>
                <w:szCs w:val="20"/>
              </w:rPr>
              <w:t xml:space="preserve"> </w:t>
            </w:r>
            <w:r w:rsidR="00120B9F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podawaniu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postępowaniu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pacjentami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leczonymi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tisagenlecleucelem.</w:t>
            </w:r>
          </w:p>
          <w:p w14:paraId="6E1F51F8" w14:textId="429877D4" w:rsidR="00E65422" w:rsidRPr="00AC7C23" w:rsidRDefault="00E6542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7AE7865" w14:textId="74801F3F" w:rsidR="00E65422" w:rsidRPr="00AC7C23" w:rsidRDefault="00E65422" w:rsidP="00AC7C23">
            <w:pPr>
              <w:pStyle w:val="Akapitzlist"/>
              <w:numPr>
                <w:ilvl w:val="1"/>
                <w:numId w:val="8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Specjalne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ostrzeżenia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środki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ostrożności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dotyczące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stosowania,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przechowywania,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przygotowania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usuwania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produktu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leczniczego</w:t>
            </w:r>
          </w:p>
          <w:p w14:paraId="6E39C6AC" w14:textId="71CFD0F7" w:rsidR="00E65422" w:rsidRPr="00AC7C23" w:rsidRDefault="00E65422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Postępowanie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zapisami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Charakterystyk</w:t>
            </w:r>
            <w:r w:rsidR="00054506"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Produkt</w:t>
            </w:r>
            <w:r w:rsidR="00054506" w:rsidRPr="00AC7C23">
              <w:rPr>
                <w:sz w:val="20"/>
                <w:szCs w:val="20"/>
              </w:rPr>
              <w:t>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Leczniczego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odpowiednio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dla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tisagenlecleucelu.</w:t>
            </w:r>
          </w:p>
          <w:p w14:paraId="4D0B6F8B" w14:textId="77777777" w:rsidR="000A4D83" w:rsidRPr="00AC7C23" w:rsidRDefault="000A4D83" w:rsidP="00AC7C23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CA6A391" w14:textId="77777777" w:rsidR="00E83F1B" w:rsidRPr="00AC7C23" w:rsidRDefault="00E83F1B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F077" w14:textId="31D50F16" w:rsidR="00C90DC0" w:rsidRPr="00AC7C23" w:rsidRDefault="00C90DC0" w:rsidP="003C463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chorych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na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chłoniaki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z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dużych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komórek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aksykabtagenem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cyloleucelu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755D68" w:rsidRPr="00AC7C23">
              <w:rPr>
                <w:b/>
                <w:bCs/>
                <w:sz w:val="20"/>
                <w:szCs w:val="20"/>
              </w:rPr>
              <w:t>albo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tisagenlecleucelem</w:t>
            </w:r>
          </w:p>
          <w:p w14:paraId="4AF42E3B" w14:textId="70D30CD8" w:rsidR="00C90DC0" w:rsidRPr="00AC7C23" w:rsidRDefault="00C90DC0" w:rsidP="00AC7C23">
            <w:pPr>
              <w:pStyle w:val="Akapitzlist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Badania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60C8A9" w14:textId="7EBF4F99" w:rsidR="00C60965" w:rsidRPr="00AC7C23" w:rsidRDefault="00C60965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3.1.1.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przy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kwalifikacji</w:t>
            </w:r>
          </w:p>
          <w:p w14:paraId="3A48E783" w14:textId="0D1D4C3B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fizykalne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objawów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strony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centralnego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układu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nerwowego;</w:t>
            </w:r>
          </w:p>
          <w:p w14:paraId="5CF65916" w14:textId="732B3331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rozmazem;</w:t>
            </w:r>
          </w:p>
          <w:p w14:paraId="13E33E2A" w14:textId="6D3B6E54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funkcji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(AlAT,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AspAT,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surowicy);</w:t>
            </w:r>
          </w:p>
          <w:p w14:paraId="42C17109" w14:textId="20FE3644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funkcji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(stężenie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surowicy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klirens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kreatyniny);</w:t>
            </w:r>
          </w:p>
          <w:p w14:paraId="5594F93D" w14:textId="77BE29B9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płynu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mózgowo-rdzeniowego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uzasadnionych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przypadkach);</w:t>
            </w:r>
          </w:p>
          <w:p w14:paraId="5E0A6A5F" w14:textId="49405370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ośrodkowego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układu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nerwowego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(CT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NMR);</w:t>
            </w:r>
          </w:p>
          <w:p w14:paraId="0B750007" w14:textId="0E499D78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radiologiczne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potwierdzające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wznowę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oporność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choroby,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NMR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PET-CT;</w:t>
            </w:r>
          </w:p>
          <w:p w14:paraId="512FC574" w14:textId="7A7C1372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EKG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LVEF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wykonana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metodą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ECHO</w:t>
            </w:r>
            <w:r w:rsidR="006E226B" w:rsidRPr="00AC7C23">
              <w:rPr>
                <w:sz w:val="20"/>
                <w:szCs w:val="20"/>
              </w:rPr>
              <w:t>/MUGA</w:t>
            </w:r>
            <w:r w:rsidRPr="00AC7C23">
              <w:rPr>
                <w:sz w:val="20"/>
                <w:szCs w:val="20"/>
              </w:rPr>
              <w:t>;</w:t>
            </w:r>
          </w:p>
          <w:p w14:paraId="7256A7E1" w14:textId="4A75AF80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test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ciążowy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kobiet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możliwością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zajścia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ciążę);</w:t>
            </w:r>
          </w:p>
          <w:p w14:paraId="74A50906" w14:textId="3ECB0A41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test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HIV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(przeciwciała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anty-HIV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surowicy);</w:t>
            </w:r>
          </w:p>
          <w:p w14:paraId="277D0F3A" w14:textId="32E1753A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oznaczenie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markerów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wirusa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zapalenia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typu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(HBsAg,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anty-HBc,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anty-HBs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dodatnich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anty-HBc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wykonać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HBV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DNA);</w:t>
            </w:r>
          </w:p>
          <w:p w14:paraId="2C1AA087" w14:textId="6EB171A5" w:rsidR="00C90DC0" w:rsidRPr="00AC7C23" w:rsidRDefault="00C90DC0" w:rsidP="00AC7C23">
            <w:pPr>
              <w:pStyle w:val="Akapitzlist"/>
              <w:numPr>
                <w:ilvl w:val="2"/>
                <w:numId w:val="9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oznaczenie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markerów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wirusa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zapalenia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typu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(anty-HCV,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HCV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–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dodatnich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anty-HCV).</w:t>
            </w:r>
          </w:p>
          <w:p w14:paraId="5FA97D45" w14:textId="77777777" w:rsidR="00C90DC0" w:rsidRPr="00AC7C23" w:rsidRDefault="00C90DC0" w:rsidP="00AC7C2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9440C90" w14:textId="45B20AC5" w:rsidR="00C90DC0" w:rsidRPr="00AC7C23" w:rsidRDefault="00C60965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3.1.2.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E96FE6" w:rsidRPr="00AC7C23">
              <w:rPr>
                <w:b/>
                <w:bCs/>
                <w:sz w:val="20"/>
                <w:szCs w:val="20"/>
              </w:rPr>
              <w:t>B</w:t>
            </w:r>
            <w:r w:rsidR="00C90DC0" w:rsidRPr="00AC7C23">
              <w:rPr>
                <w:b/>
                <w:bCs/>
                <w:sz w:val="20"/>
                <w:szCs w:val="20"/>
              </w:rPr>
              <w:t>adania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bezpośrednio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przed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podanie</w:t>
            </w:r>
            <w:r w:rsidRPr="00AC7C23">
              <w:rPr>
                <w:b/>
                <w:bCs/>
                <w:sz w:val="20"/>
                <w:szCs w:val="20"/>
              </w:rPr>
              <w:t>m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aksykabtagenu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cyloleucelu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albo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tisagenlecleucelu</w:t>
            </w:r>
          </w:p>
          <w:p w14:paraId="7D6DAAFB" w14:textId="5600BB5E" w:rsidR="00C90DC0" w:rsidRPr="00AC7C23" w:rsidRDefault="00C90DC0" w:rsidP="00AC7C23">
            <w:pPr>
              <w:pStyle w:val="Akapitzlist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obwodowej;</w:t>
            </w:r>
          </w:p>
          <w:p w14:paraId="21761FAD" w14:textId="73FB7C85" w:rsidR="00C90DC0" w:rsidRPr="00AC7C23" w:rsidRDefault="00C90DC0" w:rsidP="00AC7C23">
            <w:pPr>
              <w:pStyle w:val="Akapitzlist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białka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ostrej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fazy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(CRP,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ferrytyna);</w:t>
            </w:r>
          </w:p>
          <w:p w14:paraId="3F150D3F" w14:textId="73A5007B" w:rsidR="00C90DC0" w:rsidRPr="00AC7C23" w:rsidRDefault="002B1083" w:rsidP="00AC7C23">
            <w:pPr>
              <w:pStyle w:val="Akapitzlist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oznaczenie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parametr</w:t>
            </w:r>
            <w:r w:rsidRPr="00AC7C23">
              <w:rPr>
                <w:sz w:val="20"/>
                <w:szCs w:val="20"/>
              </w:rPr>
              <w:t>ów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krzepnięcia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(PT,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aPTT,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INR,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fibrynogen);</w:t>
            </w:r>
          </w:p>
          <w:p w14:paraId="61348347" w14:textId="1688BE5A" w:rsidR="00C90DC0" w:rsidRPr="00AC7C23" w:rsidRDefault="00C90DC0" w:rsidP="00AC7C23">
            <w:pPr>
              <w:pStyle w:val="Akapitzlist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funkcji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nerek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(jak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wyżej);</w:t>
            </w:r>
          </w:p>
          <w:p w14:paraId="4BF2DE56" w14:textId="04B5EC3F" w:rsidR="00C90DC0" w:rsidRPr="00AC7C23" w:rsidRDefault="00C90DC0" w:rsidP="00AC7C23">
            <w:pPr>
              <w:pStyle w:val="Akapitzlist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ocena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funkcji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wątroby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(jak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wyżej).</w:t>
            </w:r>
          </w:p>
          <w:p w14:paraId="52FF0803" w14:textId="77777777" w:rsidR="00C60965" w:rsidRPr="00AC7C23" w:rsidRDefault="00C60965" w:rsidP="00AC7C2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A0446DA" w14:textId="303C192F" w:rsidR="00C90DC0" w:rsidRPr="00AC7C23" w:rsidRDefault="00C60965" w:rsidP="00AC7C23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3.1.3.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</w:t>
            </w:r>
            <w:r w:rsidR="00C90DC0" w:rsidRPr="00AC7C23">
              <w:rPr>
                <w:b/>
                <w:bCs/>
                <w:sz w:val="20"/>
                <w:szCs w:val="20"/>
              </w:rPr>
              <w:t>adania</w:t>
            </w:r>
            <w:r w:rsidR="003C463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color w:val="000000" w:themeColor="text1"/>
                <w:sz w:val="20"/>
                <w:szCs w:val="20"/>
              </w:rPr>
              <w:t>w</w:t>
            </w:r>
            <w:r w:rsidR="003C463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color w:val="000000" w:themeColor="text1"/>
                <w:sz w:val="20"/>
                <w:szCs w:val="20"/>
              </w:rPr>
              <w:t>dniu</w:t>
            </w:r>
            <w:r w:rsidR="003C463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color w:val="000000" w:themeColor="text1"/>
                <w:sz w:val="20"/>
                <w:szCs w:val="20"/>
              </w:rPr>
              <w:t>następnym</w:t>
            </w:r>
            <w:r w:rsidR="003C463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color w:val="000000" w:themeColor="text1"/>
                <w:sz w:val="20"/>
                <w:szCs w:val="20"/>
              </w:rPr>
              <w:t>po</w:t>
            </w:r>
            <w:r w:rsidR="003C463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color w:val="000000" w:themeColor="text1"/>
                <w:sz w:val="20"/>
                <w:szCs w:val="20"/>
              </w:rPr>
              <w:t>podaniu</w:t>
            </w:r>
            <w:r w:rsidR="003C463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aksykabtagenu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cyloleucelu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albo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="00C90DC0" w:rsidRPr="00AC7C23">
              <w:rPr>
                <w:b/>
                <w:bCs/>
                <w:sz w:val="20"/>
                <w:szCs w:val="20"/>
              </w:rPr>
              <w:t>tisagenlecleucelu</w:t>
            </w:r>
          </w:p>
          <w:p w14:paraId="037DB62C" w14:textId="334B6D22" w:rsidR="00C90DC0" w:rsidRPr="00AC7C23" w:rsidRDefault="00C90DC0" w:rsidP="00AC7C23">
            <w:pPr>
              <w:pStyle w:val="Akapitzlist"/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obwodowej;</w:t>
            </w:r>
          </w:p>
          <w:p w14:paraId="22860660" w14:textId="713AEDCD" w:rsidR="00C90DC0" w:rsidRPr="00AC7C23" w:rsidRDefault="002B1083" w:rsidP="00AC7C23">
            <w:pPr>
              <w:pStyle w:val="Akapitzlist"/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oznaczenie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parametrów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krzepnięcia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(PT,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aPTT,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INR,</w:t>
            </w:r>
            <w:r w:rsidR="003C4635">
              <w:rPr>
                <w:sz w:val="20"/>
                <w:szCs w:val="20"/>
              </w:rPr>
              <w:t xml:space="preserve"> </w:t>
            </w:r>
            <w:r w:rsidR="000B59FE" w:rsidRPr="00AC7C23">
              <w:rPr>
                <w:sz w:val="20"/>
                <w:szCs w:val="20"/>
              </w:rPr>
              <w:t>D-dimer,</w:t>
            </w:r>
            <w:r w:rsidR="003C4635">
              <w:rPr>
                <w:sz w:val="20"/>
                <w:szCs w:val="20"/>
              </w:rPr>
              <w:t xml:space="preserve"> </w:t>
            </w:r>
            <w:r w:rsidR="00C90DC0" w:rsidRPr="00AC7C23">
              <w:rPr>
                <w:sz w:val="20"/>
                <w:szCs w:val="20"/>
              </w:rPr>
              <w:t>fibrynogen);</w:t>
            </w:r>
          </w:p>
          <w:p w14:paraId="13197528" w14:textId="5E84AFA9" w:rsidR="00C60965" w:rsidRPr="00AC7C23" w:rsidRDefault="00C90DC0" w:rsidP="00AC7C23">
            <w:pPr>
              <w:pStyle w:val="Akapitzlist"/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dodatkowo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sytuacji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podejrzenia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wystąpienia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zespołu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uwalniania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cytokin</w:t>
            </w:r>
            <w:r w:rsidR="003C4635">
              <w:rPr>
                <w:sz w:val="20"/>
                <w:szCs w:val="20"/>
              </w:rPr>
              <w:t xml:space="preserve"> </w:t>
            </w:r>
            <w:r w:rsidR="002B1083" w:rsidRPr="00AC7C23">
              <w:rPr>
                <w:sz w:val="20"/>
                <w:szCs w:val="20"/>
              </w:rPr>
              <w:t>(CRS)</w:t>
            </w:r>
            <w:r w:rsidRPr="00AC7C23">
              <w:rPr>
                <w:sz w:val="20"/>
                <w:szCs w:val="20"/>
              </w:rPr>
              <w:t>: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CRP,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ferrytyna</w:t>
            </w:r>
            <w:r w:rsidR="00B5059B" w:rsidRPr="00AC7C23">
              <w:rPr>
                <w:sz w:val="20"/>
                <w:szCs w:val="20"/>
              </w:rPr>
              <w:t>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LDH</w:t>
            </w:r>
            <w:r w:rsidR="00B5059B" w:rsidRPr="00AC7C23">
              <w:rPr>
                <w:sz w:val="20"/>
                <w:szCs w:val="20"/>
              </w:rPr>
              <w:t>.</w:t>
            </w:r>
          </w:p>
          <w:p w14:paraId="2D16D4FD" w14:textId="77777777" w:rsidR="00C60965" w:rsidRPr="00AC7C23" w:rsidRDefault="00C60965" w:rsidP="00AC7C2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664B88BF" w14:textId="63CDF83F" w:rsidR="00C60965" w:rsidRPr="00AC7C23" w:rsidRDefault="00C60965" w:rsidP="00AC7C23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</w:p>
          <w:p w14:paraId="72C08523" w14:textId="68FBE53B" w:rsidR="00C60965" w:rsidRPr="00AC7C23" w:rsidRDefault="00C60965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3.2.1.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bezpieczeństwa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po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podaniu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CAR-T</w:t>
            </w:r>
          </w:p>
          <w:p w14:paraId="3846F8B7" w14:textId="4E8E0CFF" w:rsidR="003C3832" w:rsidRPr="00AC7C23" w:rsidRDefault="003C3832" w:rsidP="00AC7C23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codzienne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monitorowanie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kątem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wystąpienia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objawów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podmiotowych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przedmiotowych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CRS;</w:t>
            </w:r>
          </w:p>
          <w:p w14:paraId="2B537340" w14:textId="77DCDF8D" w:rsidR="003C3832" w:rsidRPr="00AC7C23" w:rsidRDefault="003C3832" w:rsidP="00AC7C23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podejrzenia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wystąpienia</w:t>
            </w:r>
            <w:r w:rsidR="003C4635">
              <w:rPr>
                <w:sz w:val="20"/>
                <w:szCs w:val="20"/>
              </w:rPr>
              <w:t xml:space="preserve"> </w:t>
            </w:r>
            <w:r w:rsidR="002B1083" w:rsidRPr="00AC7C23">
              <w:rPr>
                <w:sz w:val="20"/>
                <w:szCs w:val="20"/>
              </w:rPr>
              <w:t>CRS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należy</w:t>
            </w:r>
            <w:r w:rsidR="003C4635">
              <w:rPr>
                <w:sz w:val="20"/>
                <w:szCs w:val="20"/>
              </w:rPr>
              <w:t xml:space="preserve"> </w:t>
            </w:r>
            <w:r w:rsidR="002B1083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(w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uzasadnionych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przypadkach)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wykonywać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badania: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CRP,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ferrytyna,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fibrynogen,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LDH,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aPTT,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INR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D-dimer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(przy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zaistnieniu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wskazań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wykonywać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nimi);</w:t>
            </w:r>
          </w:p>
          <w:p w14:paraId="4CF74B22" w14:textId="06833E76" w:rsidR="003C3832" w:rsidRPr="00AC7C23" w:rsidRDefault="003C3832" w:rsidP="00AC7C23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po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upływie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pierwszych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10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dni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infuzji,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dalszym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monitorowaniu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pacjenta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kątem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CRS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decyduje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lekarz;</w:t>
            </w:r>
          </w:p>
          <w:p w14:paraId="330226A6" w14:textId="24AE96FF" w:rsidR="003C3832" w:rsidRPr="00AC7C23" w:rsidRDefault="003C3832" w:rsidP="00AC7C23">
            <w:pPr>
              <w:pStyle w:val="Akapitzlist"/>
              <w:numPr>
                <w:ilvl w:val="2"/>
                <w:numId w:val="1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morfologia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krwi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obwodowej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badania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biochemiczne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(AST,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ALT,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bilirubina,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mocznik,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kreatynina,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elektrolity)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-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najmniej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razy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tygodniu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ciągu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pierwszych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br/>
              <w:t>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tygodni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podania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aksykabtagenu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cyloleucel</w:t>
            </w:r>
            <w:r w:rsidR="002B1083" w:rsidRPr="00AC7C23">
              <w:rPr>
                <w:sz w:val="20"/>
                <w:szCs w:val="20"/>
              </w:rPr>
              <w:t>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albo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tisagenlecleucelu,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następnie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zależności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od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sytuacji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klinicznej.</w:t>
            </w:r>
          </w:p>
          <w:p w14:paraId="08505A1F" w14:textId="5580E36C" w:rsidR="003C3832" w:rsidRPr="00AC7C23" w:rsidRDefault="003C383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CA190B5" w14:textId="6D07B52C" w:rsidR="003C3832" w:rsidRPr="00AC7C23" w:rsidRDefault="003C3832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lastRenderedPageBreak/>
              <w:t>3.2.2.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skuteczności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leczenia</w:t>
            </w:r>
          </w:p>
          <w:p w14:paraId="3437F658" w14:textId="0E2CBC80" w:rsidR="002779AA" w:rsidRPr="00AC7C23" w:rsidRDefault="002779AA" w:rsidP="00AC7C23">
            <w:pPr>
              <w:pStyle w:val="Akapitzlist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co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3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miesiące:</w:t>
            </w:r>
          </w:p>
          <w:p w14:paraId="2FDDC5AC" w14:textId="384261EB" w:rsidR="00E83F1B" w:rsidRPr="003C4635" w:rsidRDefault="002779AA" w:rsidP="003C4635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-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monitorowanie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zastosowaniem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NMR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PET-CT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okres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12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miesięcy</w:t>
            </w:r>
            <w:r w:rsidR="003C4635">
              <w:rPr>
                <w:sz w:val="20"/>
                <w:szCs w:val="20"/>
              </w:rPr>
              <w:t xml:space="preserve"> </w:t>
            </w:r>
            <w:r w:rsidR="00934E8E" w:rsidRPr="00AC7C23">
              <w:rPr>
                <w:sz w:val="20"/>
                <w:szCs w:val="20"/>
              </w:rPr>
              <w:t>od</w:t>
            </w:r>
            <w:r w:rsidR="003C4635">
              <w:rPr>
                <w:sz w:val="20"/>
                <w:szCs w:val="20"/>
              </w:rPr>
              <w:t xml:space="preserve"> </w:t>
            </w:r>
            <w:r w:rsidR="00934E8E" w:rsidRPr="00AC7C23">
              <w:rPr>
                <w:sz w:val="20"/>
                <w:szCs w:val="20"/>
              </w:rPr>
              <w:t>podania</w:t>
            </w:r>
            <w:r w:rsidR="003C4635">
              <w:rPr>
                <w:sz w:val="20"/>
                <w:szCs w:val="20"/>
              </w:rPr>
              <w:t xml:space="preserve"> </w:t>
            </w:r>
            <w:r w:rsidR="00934E8E" w:rsidRPr="00AC7C23">
              <w:rPr>
                <w:sz w:val="20"/>
                <w:szCs w:val="20"/>
              </w:rPr>
              <w:t>CAR-T.</w:t>
            </w:r>
          </w:p>
        </w:tc>
      </w:tr>
      <w:tr w:rsidR="00E83F1B" w:rsidRPr="007E3BCE" w14:paraId="7BA9870A" w14:textId="77777777" w:rsidTr="00DE43DE">
        <w:trPr>
          <w:trHeight w:val="20"/>
        </w:trPr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B52" w14:textId="77777777" w:rsidR="00E83F1B" w:rsidRPr="00AC7C23" w:rsidRDefault="00E83F1B" w:rsidP="00AC7C23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4FD1" w14:textId="77777777" w:rsidR="00E83F1B" w:rsidRPr="00AC7C23" w:rsidRDefault="00E83F1B" w:rsidP="00AC7C23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2D58" w14:textId="27FABFC0" w:rsidR="00003865" w:rsidRPr="00AC7C23" w:rsidRDefault="00E83F1B" w:rsidP="003C463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AC7C23">
              <w:rPr>
                <w:b/>
                <w:bCs/>
                <w:sz w:val="20"/>
                <w:szCs w:val="20"/>
              </w:rPr>
              <w:t>Monitorowanie</w:t>
            </w:r>
            <w:r w:rsidR="003C4635">
              <w:rPr>
                <w:b/>
                <w:bCs/>
                <w:sz w:val="20"/>
                <w:szCs w:val="20"/>
              </w:rPr>
              <w:t xml:space="preserve"> </w:t>
            </w:r>
            <w:r w:rsidRPr="00AC7C23">
              <w:rPr>
                <w:b/>
                <w:bCs/>
                <w:sz w:val="20"/>
                <w:szCs w:val="20"/>
              </w:rPr>
              <w:t>programu</w:t>
            </w:r>
          </w:p>
          <w:p w14:paraId="52B7EB3A" w14:textId="4199CF0E" w:rsidR="00030376" w:rsidRPr="00AC7C23" w:rsidRDefault="00E83F1B" w:rsidP="00AC7C23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gromadzenie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dokumentacji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medycznej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pacjenta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dotyczących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monitorowania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każdorazowe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przedstawianie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żądanie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kontrolerów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Narodowego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Funduszu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Zdrowia;</w:t>
            </w:r>
          </w:p>
          <w:p w14:paraId="1062CE95" w14:textId="23D6BF7B" w:rsidR="00030376" w:rsidRPr="00AC7C23" w:rsidRDefault="00E83F1B" w:rsidP="00AC7C23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t>uzupełnianie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danych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zawartych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elektronicznym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systemie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monitorowania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programów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lekowych</w:t>
            </w:r>
            <w:r w:rsidR="003C4635">
              <w:rPr>
                <w:sz w:val="20"/>
                <w:szCs w:val="20"/>
              </w:rPr>
              <w:t xml:space="preserve"> </w:t>
            </w:r>
            <w:r w:rsidR="00706510" w:rsidRPr="00AC7C23">
              <w:rPr>
                <w:sz w:val="20"/>
                <w:szCs w:val="20"/>
              </w:rPr>
              <w:t>(SMPT)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pomocą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aplikacji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internetowej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udostępnionej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NFZ,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częstotliwością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zgodną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opisem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programu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oraz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zakończenie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leczenia;</w:t>
            </w:r>
          </w:p>
          <w:p w14:paraId="19B72994" w14:textId="76E02A89" w:rsidR="00E83F1B" w:rsidRDefault="00E83F1B" w:rsidP="00AC7C23">
            <w:pPr>
              <w:pStyle w:val="Akapitzlist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AC7C23">
              <w:rPr>
                <w:sz w:val="20"/>
                <w:szCs w:val="20"/>
              </w:rPr>
              <w:lastRenderedPageBreak/>
              <w:t>przekazywanie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informacji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sprawozdawczo-rozliczeniowych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NFZ: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informacje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przekazuje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się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do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NFZ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formie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papierowej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lub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formie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elektronicznej,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zgodnie</w:t>
            </w:r>
            <w:r w:rsidR="003C4635">
              <w:rPr>
                <w:sz w:val="20"/>
                <w:szCs w:val="20"/>
              </w:rPr>
              <w:t xml:space="preserve"> </w:t>
            </w:r>
            <w:r w:rsidR="001B38F4" w:rsidRPr="00AC7C23">
              <w:rPr>
                <w:sz w:val="20"/>
                <w:szCs w:val="20"/>
              </w:rPr>
              <w:br/>
            </w:r>
            <w:r w:rsidRPr="00AC7C23">
              <w:rPr>
                <w:sz w:val="20"/>
                <w:szCs w:val="20"/>
              </w:rPr>
              <w:t>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wymaganiami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opublikowanymi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przez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Narodowy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Fundusz</w:t>
            </w:r>
            <w:r w:rsidR="003C4635">
              <w:rPr>
                <w:sz w:val="20"/>
                <w:szCs w:val="20"/>
              </w:rPr>
              <w:t xml:space="preserve"> </w:t>
            </w:r>
            <w:r w:rsidRPr="00AC7C23">
              <w:rPr>
                <w:sz w:val="20"/>
                <w:szCs w:val="20"/>
              </w:rPr>
              <w:t>Zdrowia.</w:t>
            </w:r>
          </w:p>
          <w:p w14:paraId="350AD566" w14:textId="1D7B2E97" w:rsidR="003C4635" w:rsidRPr="00AC7C23" w:rsidRDefault="003C4635" w:rsidP="003C4635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69306A2E" w14:textId="77777777" w:rsidR="00221D34" w:rsidRPr="00221D34" w:rsidRDefault="00221D34" w:rsidP="00D86B37">
      <w:pPr>
        <w:autoSpaceDE w:val="0"/>
        <w:autoSpaceDN w:val="0"/>
        <w:adjustRightInd w:val="0"/>
        <w:jc w:val="both"/>
        <w:rPr>
          <w:rFonts w:ascii="Courier New" w:hAnsi="Courier New"/>
        </w:rPr>
      </w:pPr>
    </w:p>
    <w:sectPr w:rsidR="00221D34" w:rsidRPr="00221D34" w:rsidSect="001D700D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468D" w14:textId="77777777" w:rsidR="00570956" w:rsidRDefault="00570956" w:rsidP="00146020">
      <w:r>
        <w:separator/>
      </w:r>
    </w:p>
  </w:endnote>
  <w:endnote w:type="continuationSeparator" w:id="0">
    <w:p w14:paraId="33213423" w14:textId="77777777" w:rsidR="00570956" w:rsidRDefault="00570956" w:rsidP="0014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1FB8" w14:textId="77777777" w:rsidR="00570956" w:rsidRDefault="00570956" w:rsidP="00146020">
      <w:r>
        <w:separator/>
      </w:r>
    </w:p>
  </w:footnote>
  <w:footnote w:type="continuationSeparator" w:id="0">
    <w:p w14:paraId="56AE3288" w14:textId="77777777" w:rsidR="00570956" w:rsidRDefault="00570956" w:rsidP="0014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A20"/>
    <w:multiLevelType w:val="multilevel"/>
    <w:tmpl w:val="BFCA2D6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3340C4D"/>
    <w:multiLevelType w:val="multilevel"/>
    <w:tmpl w:val="328807E4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B7A098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20503F0"/>
    <w:multiLevelType w:val="multilevel"/>
    <w:tmpl w:val="83DE3A04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501E1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9A25406"/>
    <w:multiLevelType w:val="multilevel"/>
    <w:tmpl w:val="BFCA2D6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2B6335D4"/>
    <w:multiLevelType w:val="multilevel"/>
    <w:tmpl w:val="BFCA2D6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CE2233D"/>
    <w:multiLevelType w:val="multilevel"/>
    <w:tmpl w:val="BFCA2D6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E8735E7"/>
    <w:multiLevelType w:val="multilevel"/>
    <w:tmpl w:val="694A93D2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1B23E0D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35C44F63"/>
    <w:multiLevelType w:val="multilevel"/>
    <w:tmpl w:val="1186B7A6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227" w:hanging="227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8EC7AED"/>
    <w:multiLevelType w:val="multilevel"/>
    <w:tmpl w:val="8F0E7476"/>
    <w:lvl w:ilvl="0">
      <w:start w:val="7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2" w15:restartNumberingAfterBreak="0">
    <w:nsid w:val="3E370C3C"/>
    <w:multiLevelType w:val="multilevel"/>
    <w:tmpl w:val="FFB4344C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1742E49"/>
    <w:multiLevelType w:val="multilevel"/>
    <w:tmpl w:val="54AE13D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2B738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7A5D16"/>
    <w:multiLevelType w:val="multilevel"/>
    <w:tmpl w:val="BFCA2D68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47F725A5"/>
    <w:multiLevelType w:val="multilevel"/>
    <w:tmpl w:val="9B30F4C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48800AFB"/>
    <w:multiLevelType w:val="multilevel"/>
    <w:tmpl w:val="F9B8C7A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4C604ACD"/>
    <w:multiLevelType w:val="multilevel"/>
    <w:tmpl w:val="60F2C1F6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4F0C383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53CD2EE2"/>
    <w:multiLevelType w:val="multilevel"/>
    <w:tmpl w:val="7696B572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54AB77BC"/>
    <w:multiLevelType w:val="hybridMultilevel"/>
    <w:tmpl w:val="E4925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07592"/>
    <w:multiLevelType w:val="multilevel"/>
    <w:tmpl w:val="8BA80FF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A153EB9"/>
    <w:multiLevelType w:val="multilevel"/>
    <w:tmpl w:val="DECE14BC"/>
    <w:lvl w:ilvl="0">
      <w:start w:val="2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1"/>
  </w:num>
  <w:num w:numId="5">
    <w:abstractNumId w:val="18"/>
  </w:num>
  <w:num w:numId="6">
    <w:abstractNumId w:val="17"/>
  </w:num>
  <w:num w:numId="7">
    <w:abstractNumId w:val="2"/>
  </w:num>
  <w:num w:numId="8">
    <w:abstractNumId w:val="6"/>
  </w:num>
  <w:num w:numId="9">
    <w:abstractNumId w:val="0"/>
  </w:num>
  <w:num w:numId="10">
    <w:abstractNumId w:val="14"/>
  </w:num>
  <w:num w:numId="11">
    <w:abstractNumId w:val="21"/>
  </w:num>
  <w:num w:numId="12">
    <w:abstractNumId w:val="12"/>
  </w:num>
  <w:num w:numId="13">
    <w:abstractNumId w:val="22"/>
  </w:num>
  <w:num w:numId="14">
    <w:abstractNumId w:val="15"/>
  </w:num>
  <w:num w:numId="15">
    <w:abstractNumId w:val="3"/>
  </w:num>
  <w:num w:numId="16">
    <w:abstractNumId w:val="7"/>
  </w:num>
  <w:num w:numId="17">
    <w:abstractNumId w:val="5"/>
  </w:num>
  <w:num w:numId="18">
    <w:abstractNumId w:val="10"/>
  </w:num>
  <w:num w:numId="19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8"/>
  </w:num>
  <w:num w:numId="23">
    <w:abstractNumId w:val="19"/>
  </w:num>
  <w:num w:numId="2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43"/>
    <w:rsid w:val="00001AF1"/>
    <w:rsid w:val="00003865"/>
    <w:rsid w:val="000038D2"/>
    <w:rsid w:val="00011D31"/>
    <w:rsid w:val="0001233A"/>
    <w:rsid w:val="00013022"/>
    <w:rsid w:val="00021178"/>
    <w:rsid w:val="000219CE"/>
    <w:rsid w:val="000221CA"/>
    <w:rsid w:val="00022FF1"/>
    <w:rsid w:val="00025502"/>
    <w:rsid w:val="00030376"/>
    <w:rsid w:val="00037337"/>
    <w:rsid w:val="00037F25"/>
    <w:rsid w:val="00054506"/>
    <w:rsid w:val="00055C9C"/>
    <w:rsid w:val="00061D11"/>
    <w:rsid w:val="000634DB"/>
    <w:rsid w:val="00067372"/>
    <w:rsid w:val="00074E54"/>
    <w:rsid w:val="00084AF5"/>
    <w:rsid w:val="000A430D"/>
    <w:rsid w:val="000A4D83"/>
    <w:rsid w:val="000B0404"/>
    <w:rsid w:val="000B1B2F"/>
    <w:rsid w:val="000B59FE"/>
    <w:rsid w:val="000B7019"/>
    <w:rsid w:val="000C569D"/>
    <w:rsid w:val="000C5BCE"/>
    <w:rsid w:val="000D03E5"/>
    <w:rsid w:val="000D5B02"/>
    <w:rsid w:val="000D5E6F"/>
    <w:rsid w:val="000E4304"/>
    <w:rsid w:val="000F18A1"/>
    <w:rsid w:val="00120B9F"/>
    <w:rsid w:val="00141414"/>
    <w:rsid w:val="00144C47"/>
    <w:rsid w:val="00146020"/>
    <w:rsid w:val="00146C35"/>
    <w:rsid w:val="00153CEE"/>
    <w:rsid w:val="00175752"/>
    <w:rsid w:val="00176CDE"/>
    <w:rsid w:val="001825E2"/>
    <w:rsid w:val="00187D6D"/>
    <w:rsid w:val="0019557E"/>
    <w:rsid w:val="001A7808"/>
    <w:rsid w:val="001B012A"/>
    <w:rsid w:val="001B38F4"/>
    <w:rsid w:val="001B3EEC"/>
    <w:rsid w:val="001D55A0"/>
    <w:rsid w:val="001D700D"/>
    <w:rsid w:val="001F018B"/>
    <w:rsid w:val="00204A99"/>
    <w:rsid w:val="002057F7"/>
    <w:rsid w:val="00207FB9"/>
    <w:rsid w:val="00221D34"/>
    <w:rsid w:val="00223496"/>
    <w:rsid w:val="00241DC6"/>
    <w:rsid w:val="0024287E"/>
    <w:rsid w:val="00242BD7"/>
    <w:rsid w:val="00251697"/>
    <w:rsid w:val="0025603B"/>
    <w:rsid w:val="00256B69"/>
    <w:rsid w:val="0027170D"/>
    <w:rsid w:val="00271ECB"/>
    <w:rsid w:val="00273218"/>
    <w:rsid w:val="00276AA3"/>
    <w:rsid w:val="002779AA"/>
    <w:rsid w:val="00281489"/>
    <w:rsid w:val="00295881"/>
    <w:rsid w:val="002B1083"/>
    <w:rsid w:val="002D6857"/>
    <w:rsid w:val="002E64FA"/>
    <w:rsid w:val="002F0355"/>
    <w:rsid w:val="002F2F1C"/>
    <w:rsid w:val="00300977"/>
    <w:rsid w:val="00306001"/>
    <w:rsid w:val="003152B4"/>
    <w:rsid w:val="00323F01"/>
    <w:rsid w:val="003271E9"/>
    <w:rsid w:val="00334BFA"/>
    <w:rsid w:val="003363A8"/>
    <w:rsid w:val="0034748D"/>
    <w:rsid w:val="003628EC"/>
    <w:rsid w:val="00362F60"/>
    <w:rsid w:val="003716DC"/>
    <w:rsid w:val="003777D8"/>
    <w:rsid w:val="00386A7D"/>
    <w:rsid w:val="003C3832"/>
    <w:rsid w:val="003C4635"/>
    <w:rsid w:val="003D5503"/>
    <w:rsid w:val="003F464B"/>
    <w:rsid w:val="003F4A58"/>
    <w:rsid w:val="00404D18"/>
    <w:rsid w:val="00407994"/>
    <w:rsid w:val="0041155E"/>
    <w:rsid w:val="0042245F"/>
    <w:rsid w:val="004311BB"/>
    <w:rsid w:val="004528D6"/>
    <w:rsid w:val="00456293"/>
    <w:rsid w:val="00457B75"/>
    <w:rsid w:val="0046136A"/>
    <w:rsid w:val="00461EF7"/>
    <w:rsid w:val="00467A93"/>
    <w:rsid w:val="00472439"/>
    <w:rsid w:val="004727C1"/>
    <w:rsid w:val="00472B65"/>
    <w:rsid w:val="00477B4C"/>
    <w:rsid w:val="00484513"/>
    <w:rsid w:val="00497A25"/>
    <w:rsid w:val="004A58E5"/>
    <w:rsid w:val="004B0713"/>
    <w:rsid w:val="004B47EF"/>
    <w:rsid w:val="004C21C0"/>
    <w:rsid w:val="004C2EC4"/>
    <w:rsid w:val="004D067E"/>
    <w:rsid w:val="004D219C"/>
    <w:rsid w:val="004D4744"/>
    <w:rsid w:val="004D7016"/>
    <w:rsid w:val="004F67EB"/>
    <w:rsid w:val="00503AF7"/>
    <w:rsid w:val="00504679"/>
    <w:rsid w:val="00505277"/>
    <w:rsid w:val="00507469"/>
    <w:rsid w:val="00511692"/>
    <w:rsid w:val="00512EB7"/>
    <w:rsid w:val="00521743"/>
    <w:rsid w:val="00523C92"/>
    <w:rsid w:val="005363D4"/>
    <w:rsid w:val="00537330"/>
    <w:rsid w:val="00544E57"/>
    <w:rsid w:val="00544F36"/>
    <w:rsid w:val="00547315"/>
    <w:rsid w:val="00547A12"/>
    <w:rsid w:val="00551F82"/>
    <w:rsid w:val="00553E87"/>
    <w:rsid w:val="00570956"/>
    <w:rsid w:val="00584B9B"/>
    <w:rsid w:val="00593C9F"/>
    <w:rsid w:val="005950E3"/>
    <w:rsid w:val="00597CFD"/>
    <w:rsid w:val="005B1C83"/>
    <w:rsid w:val="005B4CCE"/>
    <w:rsid w:val="005B6689"/>
    <w:rsid w:val="005D6F5A"/>
    <w:rsid w:val="005E1940"/>
    <w:rsid w:val="005E273F"/>
    <w:rsid w:val="005E5666"/>
    <w:rsid w:val="005E75A6"/>
    <w:rsid w:val="005F05B8"/>
    <w:rsid w:val="005F3F70"/>
    <w:rsid w:val="006075F6"/>
    <w:rsid w:val="006213AE"/>
    <w:rsid w:val="00624D99"/>
    <w:rsid w:val="00630982"/>
    <w:rsid w:val="00637575"/>
    <w:rsid w:val="0064785E"/>
    <w:rsid w:val="00661E47"/>
    <w:rsid w:val="006634BC"/>
    <w:rsid w:val="006643CA"/>
    <w:rsid w:val="00666CDB"/>
    <w:rsid w:val="00674F91"/>
    <w:rsid w:val="00677292"/>
    <w:rsid w:val="0068463A"/>
    <w:rsid w:val="006974BF"/>
    <w:rsid w:val="006A028A"/>
    <w:rsid w:val="006C2712"/>
    <w:rsid w:val="006C78E8"/>
    <w:rsid w:val="006D250F"/>
    <w:rsid w:val="006D5478"/>
    <w:rsid w:val="006E1117"/>
    <w:rsid w:val="006E176B"/>
    <w:rsid w:val="006E226B"/>
    <w:rsid w:val="006E6740"/>
    <w:rsid w:val="006F42CA"/>
    <w:rsid w:val="006F42E7"/>
    <w:rsid w:val="006F4502"/>
    <w:rsid w:val="006F4DE0"/>
    <w:rsid w:val="00706510"/>
    <w:rsid w:val="00706AC5"/>
    <w:rsid w:val="007166A3"/>
    <w:rsid w:val="00741CC3"/>
    <w:rsid w:val="00743C43"/>
    <w:rsid w:val="00747378"/>
    <w:rsid w:val="00747B57"/>
    <w:rsid w:val="00754F63"/>
    <w:rsid w:val="00755D68"/>
    <w:rsid w:val="007573A6"/>
    <w:rsid w:val="00757DE0"/>
    <w:rsid w:val="007653B5"/>
    <w:rsid w:val="00772D6B"/>
    <w:rsid w:val="00773896"/>
    <w:rsid w:val="0078029F"/>
    <w:rsid w:val="00791DD0"/>
    <w:rsid w:val="00795158"/>
    <w:rsid w:val="007A617F"/>
    <w:rsid w:val="007B34F4"/>
    <w:rsid w:val="007B48DC"/>
    <w:rsid w:val="007C1400"/>
    <w:rsid w:val="007D188D"/>
    <w:rsid w:val="007D191B"/>
    <w:rsid w:val="007D7FF5"/>
    <w:rsid w:val="007E0BA9"/>
    <w:rsid w:val="007E3F93"/>
    <w:rsid w:val="007E48B2"/>
    <w:rsid w:val="007E6AB3"/>
    <w:rsid w:val="007E6DE4"/>
    <w:rsid w:val="007E734B"/>
    <w:rsid w:val="007F0D73"/>
    <w:rsid w:val="007F2E54"/>
    <w:rsid w:val="007F3B64"/>
    <w:rsid w:val="007F5F31"/>
    <w:rsid w:val="008115E0"/>
    <w:rsid w:val="00813985"/>
    <w:rsid w:val="0081686E"/>
    <w:rsid w:val="00823D90"/>
    <w:rsid w:val="00842954"/>
    <w:rsid w:val="008456E7"/>
    <w:rsid w:val="00867073"/>
    <w:rsid w:val="00885302"/>
    <w:rsid w:val="00887A2A"/>
    <w:rsid w:val="00887E18"/>
    <w:rsid w:val="00897815"/>
    <w:rsid w:val="008C5F18"/>
    <w:rsid w:val="008D3D56"/>
    <w:rsid w:val="008E53D3"/>
    <w:rsid w:val="008F6C6C"/>
    <w:rsid w:val="00915D3B"/>
    <w:rsid w:val="00934E8E"/>
    <w:rsid w:val="00935C0D"/>
    <w:rsid w:val="0094143E"/>
    <w:rsid w:val="009530A8"/>
    <w:rsid w:val="009556D7"/>
    <w:rsid w:val="00955D9E"/>
    <w:rsid w:val="0097669F"/>
    <w:rsid w:val="00983352"/>
    <w:rsid w:val="00995D1C"/>
    <w:rsid w:val="00997BEE"/>
    <w:rsid w:val="009C23BF"/>
    <w:rsid w:val="009D5327"/>
    <w:rsid w:val="009E085F"/>
    <w:rsid w:val="009E5402"/>
    <w:rsid w:val="009E56CF"/>
    <w:rsid w:val="00A02EE5"/>
    <w:rsid w:val="00A054A0"/>
    <w:rsid w:val="00A1042F"/>
    <w:rsid w:val="00A11CC5"/>
    <w:rsid w:val="00A23F3F"/>
    <w:rsid w:val="00A27BEB"/>
    <w:rsid w:val="00A433CE"/>
    <w:rsid w:val="00A50A97"/>
    <w:rsid w:val="00A53C48"/>
    <w:rsid w:val="00A61643"/>
    <w:rsid w:val="00A638DF"/>
    <w:rsid w:val="00A64977"/>
    <w:rsid w:val="00A655C0"/>
    <w:rsid w:val="00A667EF"/>
    <w:rsid w:val="00A8749D"/>
    <w:rsid w:val="00A87E02"/>
    <w:rsid w:val="00A92CFA"/>
    <w:rsid w:val="00A97B8C"/>
    <w:rsid w:val="00AA0AA2"/>
    <w:rsid w:val="00AA2B70"/>
    <w:rsid w:val="00AA3D4B"/>
    <w:rsid w:val="00AC597A"/>
    <w:rsid w:val="00AC7C23"/>
    <w:rsid w:val="00AD047F"/>
    <w:rsid w:val="00AD0953"/>
    <w:rsid w:val="00AD2ABB"/>
    <w:rsid w:val="00AD37DB"/>
    <w:rsid w:val="00AD3ECB"/>
    <w:rsid w:val="00AD689F"/>
    <w:rsid w:val="00AE39F6"/>
    <w:rsid w:val="00AF3019"/>
    <w:rsid w:val="00B0142A"/>
    <w:rsid w:val="00B11605"/>
    <w:rsid w:val="00B34B02"/>
    <w:rsid w:val="00B46F0F"/>
    <w:rsid w:val="00B47BB7"/>
    <w:rsid w:val="00B5059B"/>
    <w:rsid w:val="00B513AB"/>
    <w:rsid w:val="00B62A17"/>
    <w:rsid w:val="00B71888"/>
    <w:rsid w:val="00B7438E"/>
    <w:rsid w:val="00B81653"/>
    <w:rsid w:val="00B8449A"/>
    <w:rsid w:val="00B8673B"/>
    <w:rsid w:val="00BA067E"/>
    <w:rsid w:val="00BB4A19"/>
    <w:rsid w:val="00BC2387"/>
    <w:rsid w:val="00BD63A5"/>
    <w:rsid w:val="00BE081A"/>
    <w:rsid w:val="00BF0462"/>
    <w:rsid w:val="00BF2D23"/>
    <w:rsid w:val="00BF4A51"/>
    <w:rsid w:val="00C0698C"/>
    <w:rsid w:val="00C141E2"/>
    <w:rsid w:val="00C15275"/>
    <w:rsid w:val="00C25EB2"/>
    <w:rsid w:val="00C2602F"/>
    <w:rsid w:val="00C401E0"/>
    <w:rsid w:val="00C41E39"/>
    <w:rsid w:val="00C45571"/>
    <w:rsid w:val="00C52E69"/>
    <w:rsid w:val="00C60965"/>
    <w:rsid w:val="00C60A46"/>
    <w:rsid w:val="00C6379A"/>
    <w:rsid w:val="00C63C5C"/>
    <w:rsid w:val="00C701C2"/>
    <w:rsid w:val="00C72EDE"/>
    <w:rsid w:val="00C82606"/>
    <w:rsid w:val="00C90DC0"/>
    <w:rsid w:val="00CA01F2"/>
    <w:rsid w:val="00CA4436"/>
    <w:rsid w:val="00CA491B"/>
    <w:rsid w:val="00CA74D6"/>
    <w:rsid w:val="00CC73BC"/>
    <w:rsid w:val="00CC7B69"/>
    <w:rsid w:val="00CD4C1D"/>
    <w:rsid w:val="00CE09CE"/>
    <w:rsid w:val="00CE3386"/>
    <w:rsid w:val="00CF4389"/>
    <w:rsid w:val="00D01D2A"/>
    <w:rsid w:val="00D10500"/>
    <w:rsid w:val="00D140F5"/>
    <w:rsid w:val="00D20316"/>
    <w:rsid w:val="00D2146C"/>
    <w:rsid w:val="00D22260"/>
    <w:rsid w:val="00D24D72"/>
    <w:rsid w:val="00D26207"/>
    <w:rsid w:val="00D3289F"/>
    <w:rsid w:val="00D43501"/>
    <w:rsid w:val="00D5696F"/>
    <w:rsid w:val="00D578D5"/>
    <w:rsid w:val="00D86B37"/>
    <w:rsid w:val="00D918A7"/>
    <w:rsid w:val="00D929CC"/>
    <w:rsid w:val="00DA6460"/>
    <w:rsid w:val="00DA6630"/>
    <w:rsid w:val="00DB6DA1"/>
    <w:rsid w:val="00DC0932"/>
    <w:rsid w:val="00DC48A1"/>
    <w:rsid w:val="00DC6E9A"/>
    <w:rsid w:val="00DD4116"/>
    <w:rsid w:val="00DD688D"/>
    <w:rsid w:val="00DD78A8"/>
    <w:rsid w:val="00DE3AE1"/>
    <w:rsid w:val="00DE43DE"/>
    <w:rsid w:val="00DF267D"/>
    <w:rsid w:val="00E02C9C"/>
    <w:rsid w:val="00E05391"/>
    <w:rsid w:val="00E306AA"/>
    <w:rsid w:val="00E31236"/>
    <w:rsid w:val="00E351CE"/>
    <w:rsid w:val="00E449D3"/>
    <w:rsid w:val="00E65422"/>
    <w:rsid w:val="00E65EA8"/>
    <w:rsid w:val="00E83F1B"/>
    <w:rsid w:val="00E844D1"/>
    <w:rsid w:val="00E8525B"/>
    <w:rsid w:val="00E96FE6"/>
    <w:rsid w:val="00EA086B"/>
    <w:rsid w:val="00EA7EA6"/>
    <w:rsid w:val="00EB424E"/>
    <w:rsid w:val="00ED44C2"/>
    <w:rsid w:val="00EE2717"/>
    <w:rsid w:val="00EF49F0"/>
    <w:rsid w:val="00F06412"/>
    <w:rsid w:val="00F13D2C"/>
    <w:rsid w:val="00F21C02"/>
    <w:rsid w:val="00F35DF4"/>
    <w:rsid w:val="00F417EE"/>
    <w:rsid w:val="00F45B49"/>
    <w:rsid w:val="00F6134E"/>
    <w:rsid w:val="00F64486"/>
    <w:rsid w:val="00F659EC"/>
    <w:rsid w:val="00F6657D"/>
    <w:rsid w:val="00F66628"/>
    <w:rsid w:val="00F67621"/>
    <w:rsid w:val="00F70A24"/>
    <w:rsid w:val="00F721AC"/>
    <w:rsid w:val="00F73755"/>
    <w:rsid w:val="00F81609"/>
    <w:rsid w:val="00F825F1"/>
    <w:rsid w:val="00FA0019"/>
    <w:rsid w:val="00FC0572"/>
    <w:rsid w:val="00FC5FF8"/>
    <w:rsid w:val="00FE0FB6"/>
    <w:rsid w:val="00FE2193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C3AD"/>
  <w15:docId w15:val="{FAB33EBB-2578-471E-88F0-E58F3A87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1169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146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460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46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02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60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020"/>
    <w:rPr>
      <w:sz w:val="24"/>
      <w:szCs w:val="24"/>
    </w:rPr>
  </w:style>
  <w:style w:type="paragraph" w:styleId="Akapitzlist">
    <w:name w:val="List Paragraph"/>
    <w:aliases w:val="Styl moj,Akapit z listą11,podpunkt ankietyy,BulletList 1,Bulletlist1,Colorful List - Accent 11,Bullets Points,Bullet1,Section 5,Bullet List,Bullet 1,Lijstalinenomala,Table Legend,aotm_załączniki,List Paragraph1,BulletPoints,5 - W tabeli"/>
    <w:basedOn w:val="Normalny"/>
    <w:link w:val="AkapitzlistZnak"/>
    <w:uiPriority w:val="34"/>
    <w:qFormat/>
    <w:rsid w:val="004C2EC4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43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3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3C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43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433CE"/>
    <w:rPr>
      <w:b/>
      <w:bCs/>
    </w:rPr>
  </w:style>
  <w:style w:type="paragraph" w:styleId="Poprawka">
    <w:name w:val="Revision"/>
    <w:hidden/>
    <w:uiPriority w:val="99"/>
    <w:semiHidden/>
    <w:rsid w:val="001F018B"/>
    <w:rPr>
      <w:sz w:val="24"/>
      <w:szCs w:val="24"/>
    </w:rPr>
  </w:style>
  <w:style w:type="character" w:customStyle="1" w:styleId="AkapitzlistZnak">
    <w:name w:val="Akapit z listą Znak"/>
    <w:aliases w:val="Styl moj Znak,Akapit z listą11 Znak,podpunkt ankietyy Znak,BulletList 1 Znak,Bulletlist1 Znak,Colorful List - Accent 11 Znak,Bullets Points Znak,Bullet1 Znak,Section 5 Znak,Bullet List Znak,Bullet 1 Znak,Lijstalinenomala Znak"/>
    <w:link w:val="Akapitzlist"/>
    <w:uiPriority w:val="34"/>
    <w:qFormat/>
    <w:locked/>
    <w:rsid w:val="00003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BCC9-B150-4247-85DA-6CF3F81A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2113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Królak-Buzakowska Joanna</dc:creator>
  <cp:lastModifiedBy>Rudek Paulina</cp:lastModifiedBy>
  <cp:revision>3</cp:revision>
  <cp:lastPrinted>2017-07-25T07:04:00Z</cp:lastPrinted>
  <dcterms:created xsi:type="dcterms:W3CDTF">2022-03-30T13:11:00Z</dcterms:created>
  <dcterms:modified xsi:type="dcterms:W3CDTF">2022-04-04T20:24:00Z</dcterms:modified>
</cp:coreProperties>
</file>