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F5572" w:rsidRPr="00193169" w14:paraId="02A16AA4" w14:textId="77777777" w:rsidTr="00030587">
        <w:trPr>
          <w:trHeight w:val="559"/>
        </w:trPr>
        <w:tc>
          <w:tcPr>
            <w:tcW w:w="2263" w:type="dxa"/>
            <w:vAlign w:val="center"/>
          </w:tcPr>
          <w:p w14:paraId="26670AF5" w14:textId="212577B1" w:rsidR="00294EB1" w:rsidRPr="00193169" w:rsidRDefault="00294EB1" w:rsidP="0068360F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Tytuł</w:t>
            </w:r>
          </w:p>
        </w:tc>
        <w:tc>
          <w:tcPr>
            <w:tcW w:w="6799" w:type="dxa"/>
            <w:vAlign w:val="center"/>
          </w:tcPr>
          <w:p w14:paraId="5A1C16BE" w14:textId="1C7DB801" w:rsidR="00294EB1" w:rsidRPr="00193169" w:rsidRDefault="00727B77" w:rsidP="0068360F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Procedura klasyfikacji ryzyka w działalności kontrolnej </w:t>
            </w:r>
          </w:p>
        </w:tc>
      </w:tr>
      <w:tr w:rsidR="00FF5572" w:rsidRPr="00193169" w14:paraId="5B3354A9" w14:textId="77777777" w:rsidTr="00030587">
        <w:trPr>
          <w:trHeight w:val="455"/>
        </w:trPr>
        <w:tc>
          <w:tcPr>
            <w:tcW w:w="2263" w:type="dxa"/>
            <w:vAlign w:val="center"/>
          </w:tcPr>
          <w:p w14:paraId="0584D379" w14:textId="6690E8E7" w:rsidR="00294EB1" w:rsidRPr="00193169" w:rsidRDefault="00294EB1" w:rsidP="0068360F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Wersja</w:t>
            </w:r>
            <w:r w:rsidR="00A65D2B"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 obowiązująca</w:t>
            </w:r>
          </w:p>
        </w:tc>
        <w:tc>
          <w:tcPr>
            <w:tcW w:w="6799" w:type="dxa"/>
            <w:vAlign w:val="center"/>
          </w:tcPr>
          <w:p w14:paraId="53B17DC8" w14:textId="64E284B9" w:rsidR="00294EB1" w:rsidRPr="00193169" w:rsidRDefault="00294EB1" w:rsidP="0068360F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1.0</w:t>
            </w:r>
            <w:r w:rsidR="00A65D2B"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 </w:t>
            </w:r>
            <w:r w:rsidR="000448BD"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–</w:t>
            </w:r>
            <w:r w:rsidR="00A65D2B"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 </w:t>
            </w:r>
            <w:r w:rsidR="00A65D2B" w:rsidRPr="00193169">
              <w:rPr>
                <w:rFonts w:ascii="Lato" w:hAnsi="Lato" w:cs="Times New Roman"/>
                <w:sz w:val="21"/>
                <w:szCs w:val="21"/>
              </w:rPr>
              <w:t>1</w:t>
            </w:r>
            <w:r w:rsidR="000448BD" w:rsidRPr="00193169">
              <w:rPr>
                <w:rFonts w:ascii="Lato" w:hAnsi="Lato" w:cs="Times New Roman"/>
                <w:sz w:val="21"/>
                <w:szCs w:val="21"/>
              </w:rPr>
              <w:t xml:space="preserve"> stycznia</w:t>
            </w:r>
            <w:r w:rsidR="00A65D2B" w:rsidRPr="00193169">
              <w:rPr>
                <w:rFonts w:ascii="Lato" w:hAnsi="Lato" w:cs="Times New Roman"/>
                <w:sz w:val="21"/>
                <w:szCs w:val="21"/>
              </w:rPr>
              <w:t xml:space="preserve"> 202</w:t>
            </w:r>
            <w:r w:rsidR="000448BD" w:rsidRPr="00193169">
              <w:rPr>
                <w:rFonts w:ascii="Lato" w:hAnsi="Lato" w:cs="Times New Roman"/>
                <w:sz w:val="21"/>
                <w:szCs w:val="21"/>
              </w:rPr>
              <w:t>6</w:t>
            </w:r>
            <w:r w:rsidR="00A65D2B" w:rsidRPr="00193169">
              <w:rPr>
                <w:rFonts w:ascii="Lato" w:hAnsi="Lato" w:cs="Times New Roman"/>
                <w:sz w:val="21"/>
                <w:szCs w:val="21"/>
              </w:rPr>
              <w:t xml:space="preserve"> r.</w:t>
            </w:r>
          </w:p>
        </w:tc>
      </w:tr>
      <w:tr w:rsidR="00294EB1" w:rsidRPr="00193169" w14:paraId="11DC2A4F" w14:textId="77777777" w:rsidTr="00030587">
        <w:trPr>
          <w:trHeight w:val="532"/>
        </w:trPr>
        <w:tc>
          <w:tcPr>
            <w:tcW w:w="2263" w:type="dxa"/>
            <w:vAlign w:val="center"/>
          </w:tcPr>
          <w:p w14:paraId="2A81ED5E" w14:textId="544D4AA5" w:rsidR="00294EB1" w:rsidRPr="00193169" w:rsidRDefault="00DC14FD" w:rsidP="0068360F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Organ</w:t>
            </w:r>
          </w:p>
        </w:tc>
        <w:tc>
          <w:tcPr>
            <w:tcW w:w="6799" w:type="dxa"/>
            <w:vAlign w:val="center"/>
          </w:tcPr>
          <w:p w14:paraId="557C0517" w14:textId="6FCCCD98" w:rsidR="00294EB1" w:rsidRPr="00193169" w:rsidRDefault="00294EB1" w:rsidP="0068360F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Państwowy </w:t>
            </w:r>
            <w:r w:rsidR="001334E3" w:rsidRPr="00193169">
              <w:rPr>
                <w:rFonts w:ascii="Lato" w:hAnsi="Lato" w:cs="Times New Roman"/>
                <w:sz w:val="21"/>
                <w:szCs w:val="21"/>
              </w:rPr>
              <w:t>Powiatowy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Inspektor Sanitarny</w:t>
            </w:r>
            <w:r w:rsidR="001334E3" w:rsidRPr="00193169">
              <w:rPr>
                <w:rFonts w:ascii="Lato" w:hAnsi="Lato" w:cs="Times New Roman"/>
                <w:sz w:val="21"/>
                <w:szCs w:val="21"/>
              </w:rPr>
              <w:t xml:space="preserve"> w </w:t>
            </w:r>
            <w:r w:rsidR="00597397" w:rsidRPr="00193169">
              <w:rPr>
                <w:rFonts w:ascii="Lato" w:hAnsi="Lato" w:cs="Times New Roman"/>
                <w:sz w:val="21"/>
                <w:szCs w:val="21"/>
              </w:rPr>
              <w:t>Lidzbarku Warmińskim</w:t>
            </w:r>
          </w:p>
        </w:tc>
      </w:tr>
    </w:tbl>
    <w:p w14:paraId="2787B3AB" w14:textId="77777777" w:rsidR="00294EB1" w:rsidRPr="00193169" w:rsidRDefault="00294EB1" w:rsidP="00ED51AA">
      <w:pPr>
        <w:spacing w:after="120"/>
        <w:rPr>
          <w:rFonts w:ascii="Lato" w:hAnsi="Lato" w:cs="Times New Roman"/>
          <w:b/>
          <w:bCs/>
          <w:sz w:val="21"/>
          <w:szCs w:val="21"/>
        </w:rPr>
      </w:pPr>
    </w:p>
    <w:p w14:paraId="3E2066E8" w14:textId="7FFB1ADC" w:rsidR="00661A4A" w:rsidRPr="00193169" w:rsidRDefault="00813DC3" w:rsidP="00415A76">
      <w:pPr>
        <w:pStyle w:val="Akapitzlist"/>
        <w:numPr>
          <w:ilvl w:val="0"/>
          <w:numId w:val="88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Podstawa prawna</w:t>
      </w:r>
    </w:p>
    <w:p w14:paraId="5B1E3193" w14:textId="31E6087F" w:rsidR="00302609" w:rsidRPr="00193169" w:rsidRDefault="00597397" w:rsidP="00ED51AA">
      <w:pPr>
        <w:spacing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</w:t>
      </w:r>
      <w:r w:rsidR="00A60EA9" w:rsidRPr="00193169">
        <w:rPr>
          <w:rFonts w:ascii="Lato" w:hAnsi="Lato" w:cs="Times New Roman"/>
          <w:sz w:val="21"/>
          <w:szCs w:val="21"/>
        </w:rPr>
        <w:t>rocedura</w:t>
      </w:r>
      <w:r w:rsidR="00294EB1" w:rsidRPr="00193169">
        <w:rPr>
          <w:rFonts w:ascii="Lato" w:hAnsi="Lato" w:cs="Times New Roman"/>
          <w:sz w:val="21"/>
          <w:szCs w:val="21"/>
        </w:rPr>
        <w:t xml:space="preserve"> określa zasady klasyfikacji ryzyka związanego z prowadzeniem działalności gospodarczej, stosowane przy planowaniu i prowadzeniu kontroli</w:t>
      </w:r>
      <w:r w:rsidR="00282F55" w:rsidRPr="00193169">
        <w:rPr>
          <w:rFonts w:ascii="Lato" w:hAnsi="Lato" w:cs="Times New Roman"/>
          <w:sz w:val="21"/>
          <w:szCs w:val="21"/>
        </w:rPr>
        <w:t xml:space="preserve"> </w:t>
      </w:r>
      <w:r w:rsidR="00B75140" w:rsidRPr="00193169">
        <w:rPr>
          <w:rFonts w:ascii="Lato" w:hAnsi="Lato" w:cs="Times New Roman"/>
          <w:sz w:val="21"/>
          <w:szCs w:val="21"/>
        </w:rPr>
        <w:t xml:space="preserve">obiektów </w:t>
      </w:r>
      <w:r w:rsidR="00282F55" w:rsidRPr="00193169">
        <w:rPr>
          <w:rFonts w:ascii="Lato" w:hAnsi="Lato" w:cs="Times New Roman"/>
          <w:sz w:val="21"/>
          <w:szCs w:val="21"/>
        </w:rPr>
        <w:t>nadzorowanych</w:t>
      </w:r>
      <w:r w:rsidR="00B75140" w:rsidRPr="00193169">
        <w:rPr>
          <w:rFonts w:ascii="Lato" w:hAnsi="Lato" w:cs="Times New Roman"/>
          <w:sz w:val="21"/>
          <w:szCs w:val="21"/>
        </w:rPr>
        <w:t xml:space="preserve"> </w:t>
      </w:r>
      <w:r w:rsidR="00294EB1" w:rsidRPr="00193169">
        <w:rPr>
          <w:rFonts w:ascii="Lato" w:hAnsi="Lato" w:cs="Times New Roman"/>
          <w:sz w:val="21"/>
          <w:szCs w:val="21"/>
        </w:rPr>
        <w:t xml:space="preserve">przez Państwowego </w:t>
      </w:r>
      <w:r w:rsidR="002B6179" w:rsidRPr="00193169">
        <w:rPr>
          <w:rFonts w:ascii="Lato" w:hAnsi="Lato" w:cs="Times New Roman"/>
          <w:sz w:val="21"/>
          <w:szCs w:val="21"/>
        </w:rPr>
        <w:t>Powiatowego</w:t>
      </w:r>
      <w:r w:rsidR="00294EB1" w:rsidRPr="00193169">
        <w:rPr>
          <w:rFonts w:ascii="Lato" w:hAnsi="Lato" w:cs="Times New Roman"/>
          <w:sz w:val="21"/>
          <w:szCs w:val="21"/>
        </w:rPr>
        <w:t xml:space="preserve"> Inspektora Sanitarnego</w:t>
      </w:r>
      <w:r w:rsidR="002B6179" w:rsidRPr="00193169">
        <w:rPr>
          <w:rFonts w:ascii="Lato" w:hAnsi="Lato" w:cs="Times New Roman"/>
          <w:sz w:val="21"/>
          <w:szCs w:val="21"/>
        </w:rPr>
        <w:t xml:space="preserve"> w</w:t>
      </w:r>
      <w:r w:rsidR="00A87F62" w:rsidRPr="00193169">
        <w:rPr>
          <w:rFonts w:ascii="Lato" w:hAnsi="Lato" w:cs="Times New Roman"/>
          <w:sz w:val="21"/>
          <w:szCs w:val="21"/>
        </w:rPr>
        <w:t xml:space="preserve"> Lidzbarku Warmińskim</w:t>
      </w:r>
      <w:r w:rsidR="00944DC2" w:rsidRPr="00193169">
        <w:rPr>
          <w:rFonts w:ascii="Lato" w:hAnsi="Lato" w:cs="Times New Roman"/>
          <w:sz w:val="21"/>
          <w:szCs w:val="21"/>
        </w:rPr>
        <w:t xml:space="preserve"> (dalej: PPIS).</w:t>
      </w:r>
      <w:r w:rsidR="0015447B" w:rsidRPr="00193169">
        <w:rPr>
          <w:rFonts w:ascii="Lato" w:hAnsi="Lato" w:cs="Times New Roman"/>
          <w:sz w:val="21"/>
          <w:szCs w:val="21"/>
        </w:rPr>
        <w:t xml:space="preserve"> </w:t>
      </w:r>
      <w:r w:rsidR="00EB7085" w:rsidRPr="00193169">
        <w:rPr>
          <w:rFonts w:ascii="Lato" w:hAnsi="Lato" w:cs="Times New Roman"/>
          <w:sz w:val="21"/>
          <w:szCs w:val="21"/>
        </w:rPr>
        <w:t>Określone zasady</w:t>
      </w:r>
      <w:r w:rsidR="00302609" w:rsidRPr="00193169">
        <w:rPr>
          <w:rFonts w:ascii="Lato" w:hAnsi="Lato" w:cs="Times New Roman"/>
          <w:sz w:val="21"/>
          <w:szCs w:val="21"/>
        </w:rPr>
        <w:t xml:space="preserve"> nie obejmują kontroli dotyczących bezpieczeństwa żywności i żywienia, które regulowane są odrębnymi </w:t>
      </w:r>
      <w:r w:rsidR="00682330" w:rsidRPr="00193169">
        <w:rPr>
          <w:rFonts w:ascii="Lato" w:hAnsi="Lato" w:cs="Times New Roman"/>
          <w:sz w:val="21"/>
          <w:szCs w:val="21"/>
        </w:rPr>
        <w:t xml:space="preserve">przepisami prawa oraz </w:t>
      </w:r>
      <w:r w:rsidR="00302609" w:rsidRPr="00193169">
        <w:rPr>
          <w:rFonts w:ascii="Lato" w:hAnsi="Lato" w:cs="Times New Roman"/>
          <w:sz w:val="21"/>
          <w:szCs w:val="21"/>
        </w:rPr>
        <w:t>zarządzeniami Głównego Inspektora Sanitarnego.</w:t>
      </w:r>
    </w:p>
    <w:p w14:paraId="2D07DF74" w14:textId="60B2189F" w:rsidR="00042E73" w:rsidRPr="00193169" w:rsidRDefault="00042E73" w:rsidP="00ED51AA">
      <w:p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Przedstawiony schemat stanowi realizację obowiązków wynikających z ustawy z dnia 6 marca 2018</w:t>
      </w:r>
      <w:r w:rsidR="0068360F">
        <w:rPr>
          <w:rFonts w:ascii="Lato" w:hAnsi="Lato" w:cs="Times New Roman"/>
          <w:sz w:val="21"/>
          <w:szCs w:val="21"/>
        </w:rPr>
        <w:t> </w:t>
      </w:r>
      <w:r w:rsidRPr="00193169">
        <w:rPr>
          <w:rFonts w:ascii="Lato" w:hAnsi="Lato" w:cs="Times New Roman"/>
          <w:sz w:val="21"/>
          <w:szCs w:val="21"/>
        </w:rPr>
        <w:t xml:space="preserve">r. – </w:t>
      </w:r>
      <w:r w:rsidRPr="00193169">
        <w:rPr>
          <w:rFonts w:ascii="Lato" w:hAnsi="Lato" w:cs="Times New Roman"/>
          <w:i/>
          <w:iCs/>
          <w:sz w:val="21"/>
          <w:szCs w:val="21"/>
        </w:rPr>
        <w:t xml:space="preserve">Prawo przedsiębiorców. </w:t>
      </w:r>
      <w:r w:rsidRPr="00193169">
        <w:rPr>
          <w:rFonts w:ascii="Lato" w:hAnsi="Lato" w:cs="Times New Roman"/>
          <w:sz w:val="21"/>
          <w:szCs w:val="21"/>
        </w:rPr>
        <w:t xml:space="preserve">Art. 47 ust. 1 zobowiązuje organy kontroli do udostępnienia na stronie Biuletynu Informacji Publicznej schematu klasyfikacji ryzyka w działalności kontrolnej, natomiast art. 55a określa maksymalną częstotliwość kontroli wobec przedsiębiorców zakwalifikowanych do poszczególnych kategorii ryzyka. </w:t>
      </w:r>
    </w:p>
    <w:p w14:paraId="1115C9ED" w14:textId="045A06A8" w:rsidR="00813DC3" w:rsidRPr="00193169" w:rsidRDefault="00813DC3" w:rsidP="00415A76">
      <w:pPr>
        <w:pStyle w:val="Akapitzlist"/>
        <w:numPr>
          <w:ilvl w:val="0"/>
          <w:numId w:val="88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Cel dokumentu</w:t>
      </w:r>
    </w:p>
    <w:p w14:paraId="29677C5A" w14:textId="3795C64E" w:rsidR="00A60EA9" w:rsidRPr="00193169" w:rsidRDefault="00A60EA9" w:rsidP="00ED51AA">
      <w:p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Celem procedury jest zapewnienie jednolitych zasad prowadzenia kontroli, obiektywnej oceny poziomu ryzyka oraz przejrzystości działań organu wobec przedsiębiorców.</w:t>
      </w:r>
      <w:r w:rsidR="00560647" w:rsidRPr="00193169">
        <w:rPr>
          <w:rFonts w:ascii="Lato" w:hAnsi="Lato" w:cs="Times New Roman"/>
          <w:sz w:val="21"/>
          <w:szCs w:val="21"/>
        </w:rPr>
        <w:t xml:space="preserve"> </w:t>
      </w:r>
      <w:r w:rsidRPr="00193169">
        <w:rPr>
          <w:rFonts w:ascii="Lato" w:hAnsi="Lato" w:cs="Times New Roman"/>
          <w:sz w:val="21"/>
          <w:szCs w:val="21"/>
        </w:rPr>
        <w:t>Klasyfikacja ryzyka ma na celu zwiększenie przewidywalności i transparentności kontroli.</w:t>
      </w:r>
    </w:p>
    <w:p w14:paraId="4277492F" w14:textId="0D5D4B8A" w:rsidR="00A3737C" w:rsidRPr="00193169" w:rsidRDefault="00A3737C" w:rsidP="00415A76">
      <w:pPr>
        <w:pStyle w:val="Akapitzlist"/>
        <w:numPr>
          <w:ilvl w:val="0"/>
          <w:numId w:val="88"/>
        </w:numPr>
        <w:spacing w:before="240"/>
        <w:ind w:left="425" w:hanging="357"/>
        <w:rPr>
          <w:rFonts w:ascii="Lato" w:hAnsi="Lato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Zakres</w:t>
      </w:r>
      <w:r w:rsidR="00B539E7" w:rsidRPr="00193169">
        <w:rPr>
          <w:rFonts w:ascii="Lato" w:hAnsi="Lato" w:cs="Times New Roman"/>
          <w:b/>
          <w:bCs/>
          <w:sz w:val="21"/>
          <w:szCs w:val="21"/>
        </w:rPr>
        <w:t xml:space="preserve"> działania</w:t>
      </w:r>
      <w:r w:rsidRPr="00193169">
        <w:rPr>
          <w:rFonts w:ascii="Lato" w:hAnsi="Lato" w:cs="Times New Roman"/>
          <w:b/>
          <w:bCs/>
          <w:sz w:val="21"/>
          <w:szCs w:val="21"/>
        </w:rPr>
        <w:t xml:space="preserve"> </w:t>
      </w:r>
      <w:r w:rsidRPr="00193169">
        <w:rPr>
          <w:rFonts w:ascii="Lato" w:hAnsi="Lato"/>
          <w:b/>
          <w:bCs/>
          <w:sz w:val="21"/>
          <w:szCs w:val="21"/>
        </w:rPr>
        <w:t xml:space="preserve"> </w:t>
      </w:r>
    </w:p>
    <w:p w14:paraId="3912E865" w14:textId="1813969A" w:rsidR="007E4F91" w:rsidRPr="00193169" w:rsidRDefault="00A3737C" w:rsidP="009948B5">
      <w:pPr>
        <w:spacing w:before="120"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Obejmuje kontrol</w:t>
      </w:r>
      <w:r w:rsidR="002A7410" w:rsidRPr="00193169">
        <w:rPr>
          <w:rFonts w:ascii="Lato" w:hAnsi="Lato" w:cs="Times New Roman"/>
          <w:sz w:val="21"/>
          <w:szCs w:val="21"/>
        </w:rPr>
        <w:t>ę</w:t>
      </w:r>
      <w:r w:rsidR="007E4F91" w:rsidRPr="00193169">
        <w:rPr>
          <w:rFonts w:ascii="Lato" w:hAnsi="Lato" w:cs="Times New Roman"/>
          <w:sz w:val="21"/>
          <w:szCs w:val="21"/>
        </w:rPr>
        <w:t xml:space="preserve"> w poniższych obszarach:</w:t>
      </w:r>
    </w:p>
    <w:p w14:paraId="771C1ADD" w14:textId="1A6B80EF" w:rsidR="007E4F91" w:rsidRPr="00193169" w:rsidRDefault="00F2511A" w:rsidP="009948B5">
      <w:pPr>
        <w:pStyle w:val="Akapitzlist"/>
        <w:numPr>
          <w:ilvl w:val="0"/>
          <w:numId w:val="42"/>
        </w:numPr>
        <w:spacing w:after="0"/>
        <w:ind w:left="714" w:hanging="357"/>
        <w:contextualSpacing w:val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e</w:t>
      </w:r>
      <w:r w:rsidR="007E4F91" w:rsidRPr="00193169">
        <w:rPr>
          <w:rFonts w:ascii="Lato" w:hAnsi="Lato" w:cs="Times New Roman"/>
          <w:sz w:val="21"/>
          <w:szCs w:val="21"/>
        </w:rPr>
        <w:t>pidemiologii</w:t>
      </w:r>
      <w:r w:rsidRPr="00193169">
        <w:rPr>
          <w:rFonts w:ascii="Lato" w:hAnsi="Lato" w:cs="Times New Roman"/>
          <w:sz w:val="21"/>
          <w:szCs w:val="21"/>
        </w:rPr>
        <w:t xml:space="preserve"> oraz szczepień ochronnych</w:t>
      </w:r>
      <w:r w:rsidR="007E4F91" w:rsidRPr="00193169">
        <w:rPr>
          <w:rFonts w:ascii="Lato" w:hAnsi="Lato" w:cs="Times New Roman"/>
          <w:sz w:val="21"/>
          <w:szCs w:val="21"/>
        </w:rPr>
        <w:t>;</w:t>
      </w:r>
    </w:p>
    <w:p w14:paraId="62634A60" w14:textId="0E360C6E" w:rsidR="007E4F91" w:rsidRPr="00193169" w:rsidRDefault="007E4F91" w:rsidP="00ED51AA">
      <w:pPr>
        <w:pStyle w:val="Akapitzlist"/>
        <w:numPr>
          <w:ilvl w:val="0"/>
          <w:numId w:val="42"/>
        </w:num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higieny dzieci i młodzieży;</w:t>
      </w:r>
    </w:p>
    <w:p w14:paraId="162921A4" w14:textId="6FAC3A54" w:rsidR="007E4F91" w:rsidRPr="00193169" w:rsidRDefault="007E4F91" w:rsidP="00ED51AA">
      <w:pPr>
        <w:pStyle w:val="Akapitzlist"/>
        <w:numPr>
          <w:ilvl w:val="0"/>
          <w:numId w:val="42"/>
        </w:num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higieny pracy</w:t>
      </w:r>
      <w:r w:rsidR="00F578BA" w:rsidRPr="00193169">
        <w:rPr>
          <w:rFonts w:ascii="Lato" w:hAnsi="Lato" w:cs="Times New Roman"/>
          <w:sz w:val="21"/>
          <w:szCs w:val="21"/>
        </w:rPr>
        <w:t xml:space="preserve"> oraz</w:t>
      </w:r>
      <w:r w:rsidR="00F2511A" w:rsidRPr="00193169">
        <w:rPr>
          <w:rFonts w:ascii="Lato" w:hAnsi="Lato" w:cs="Times New Roman"/>
          <w:sz w:val="21"/>
          <w:szCs w:val="21"/>
        </w:rPr>
        <w:t xml:space="preserve"> nadzoru nad chemikaliami</w:t>
      </w:r>
      <w:r w:rsidR="00F578BA" w:rsidRPr="00193169">
        <w:rPr>
          <w:rFonts w:ascii="Lato" w:hAnsi="Lato" w:cs="Times New Roman"/>
          <w:sz w:val="21"/>
          <w:szCs w:val="21"/>
        </w:rPr>
        <w:t>, produktami biobójczymi i produktami kosmetycznymi</w:t>
      </w:r>
      <w:r w:rsidRPr="00193169">
        <w:rPr>
          <w:rFonts w:ascii="Lato" w:hAnsi="Lato" w:cs="Times New Roman"/>
          <w:sz w:val="21"/>
          <w:szCs w:val="21"/>
        </w:rPr>
        <w:t>;</w:t>
      </w:r>
      <w:r w:rsidR="00864921" w:rsidRPr="00193169">
        <w:rPr>
          <w:rFonts w:ascii="Lato" w:hAnsi="Lato" w:cs="Times New Roman"/>
          <w:sz w:val="21"/>
          <w:szCs w:val="21"/>
        </w:rPr>
        <w:t xml:space="preserve"> </w:t>
      </w:r>
    </w:p>
    <w:p w14:paraId="42FC3F1C" w14:textId="7B4219F7" w:rsidR="007E4F91" w:rsidRPr="00193169" w:rsidRDefault="0091454E" w:rsidP="00ED51AA">
      <w:pPr>
        <w:pStyle w:val="Akapitzlist"/>
        <w:numPr>
          <w:ilvl w:val="0"/>
          <w:numId w:val="42"/>
        </w:num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higieny komunalnej, w tym bezpieczeństwa zdrowotnego wody.</w:t>
      </w:r>
    </w:p>
    <w:p w14:paraId="0ADA273B" w14:textId="4529846F" w:rsidR="006F0799" w:rsidRPr="00193169" w:rsidRDefault="006F0799" w:rsidP="00ED51AA">
      <w:p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Szczegółowe zasady klasyfikacji ryzyka</w:t>
      </w:r>
      <w:r w:rsidR="00FF5572" w:rsidRPr="00193169">
        <w:rPr>
          <w:rFonts w:ascii="Lato" w:hAnsi="Lato" w:cs="Times New Roman"/>
          <w:sz w:val="21"/>
          <w:szCs w:val="21"/>
        </w:rPr>
        <w:t xml:space="preserve"> i </w:t>
      </w:r>
      <w:r w:rsidRPr="00193169">
        <w:rPr>
          <w:rFonts w:ascii="Lato" w:hAnsi="Lato" w:cs="Times New Roman"/>
          <w:sz w:val="21"/>
          <w:szCs w:val="21"/>
        </w:rPr>
        <w:t>przykład</w:t>
      </w:r>
      <w:r w:rsidR="00FF5572" w:rsidRPr="00193169">
        <w:rPr>
          <w:rFonts w:ascii="Lato" w:hAnsi="Lato" w:cs="Times New Roman"/>
          <w:sz w:val="21"/>
          <w:szCs w:val="21"/>
        </w:rPr>
        <w:t>y</w:t>
      </w:r>
      <w:r w:rsidRPr="00193169">
        <w:rPr>
          <w:rFonts w:ascii="Lato" w:hAnsi="Lato" w:cs="Times New Roman"/>
          <w:sz w:val="21"/>
          <w:szCs w:val="21"/>
        </w:rPr>
        <w:t xml:space="preserve"> ich stosowania, zostały określone w załącznikach nr 1</w:t>
      </w:r>
      <w:r w:rsidR="00944DC2" w:rsidRPr="00193169">
        <w:rPr>
          <w:rFonts w:ascii="Lato" w:hAnsi="Lato" w:cs="Times New Roman"/>
          <w:sz w:val="21"/>
          <w:szCs w:val="21"/>
        </w:rPr>
        <w:t>-</w:t>
      </w:r>
      <w:r w:rsidR="00F2511A" w:rsidRPr="00193169">
        <w:rPr>
          <w:rFonts w:ascii="Lato" w:hAnsi="Lato" w:cs="Times New Roman"/>
          <w:sz w:val="21"/>
          <w:szCs w:val="21"/>
        </w:rPr>
        <w:t>4</w:t>
      </w:r>
      <w:r w:rsidRPr="00193169">
        <w:rPr>
          <w:rFonts w:ascii="Lato" w:hAnsi="Lato" w:cs="Times New Roman"/>
          <w:sz w:val="21"/>
          <w:szCs w:val="21"/>
        </w:rPr>
        <w:t xml:space="preserve"> do </w:t>
      </w:r>
      <w:r w:rsidR="00E344ED" w:rsidRPr="00193169">
        <w:rPr>
          <w:rFonts w:ascii="Lato" w:hAnsi="Lato" w:cs="Times New Roman"/>
          <w:sz w:val="21"/>
          <w:szCs w:val="21"/>
        </w:rPr>
        <w:t>procedury</w:t>
      </w:r>
      <w:r w:rsidRPr="00193169">
        <w:rPr>
          <w:rFonts w:ascii="Lato" w:hAnsi="Lato" w:cs="Times New Roman"/>
          <w:sz w:val="21"/>
          <w:szCs w:val="21"/>
        </w:rPr>
        <w:t>.</w:t>
      </w:r>
      <w:r w:rsidR="00560647" w:rsidRPr="00193169">
        <w:rPr>
          <w:rFonts w:ascii="Lato" w:hAnsi="Lato" w:cs="Times New Roman"/>
          <w:sz w:val="21"/>
          <w:szCs w:val="21"/>
        </w:rPr>
        <w:t xml:space="preserve"> </w:t>
      </w:r>
      <w:r w:rsidRPr="00193169">
        <w:rPr>
          <w:rFonts w:ascii="Lato" w:hAnsi="Lato" w:cs="Times New Roman"/>
          <w:sz w:val="21"/>
          <w:szCs w:val="21"/>
        </w:rPr>
        <w:t>Załączniki stanowią integralną część procedury i zawierają szczegółowe wytyczne właściwe dla poszczególnych obszarów nadzoru.</w:t>
      </w:r>
    </w:p>
    <w:p w14:paraId="5725EEBD" w14:textId="451E8EEA" w:rsidR="00661A4A" w:rsidRPr="00193169" w:rsidRDefault="00661A4A" w:rsidP="00415A76">
      <w:pPr>
        <w:pStyle w:val="Akapitzlist"/>
        <w:numPr>
          <w:ilvl w:val="0"/>
          <w:numId w:val="88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Kryteria oceny ryzyka</w:t>
      </w:r>
    </w:p>
    <w:p w14:paraId="43C31A11" w14:textId="77777777" w:rsidR="007149EA" w:rsidRPr="00193169" w:rsidRDefault="0056546F" w:rsidP="00ED51AA">
      <w:pPr>
        <w:spacing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Ocena ryzyka dokonywana jest przed tworzeniem rocznych planów kontroli oraz w każdym przypadku aktualizacji danych o przedsiębiorcy.</w:t>
      </w:r>
      <w:r w:rsidR="009B533E" w:rsidRPr="00193169">
        <w:rPr>
          <w:rFonts w:ascii="Lato" w:hAnsi="Lato" w:cs="Times New Roman"/>
          <w:sz w:val="21"/>
          <w:szCs w:val="21"/>
        </w:rPr>
        <w:t xml:space="preserve"> </w:t>
      </w:r>
    </w:p>
    <w:p w14:paraId="2F83098E" w14:textId="4613C0F7" w:rsidR="00CF0440" w:rsidRDefault="009B533E" w:rsidP="00ED51AA">
      <w:pPr>
        <w:spacing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Kryteria oceny ryzyka </w:t>
      </w:r>
      <w:r w:rsidR="00CF0440" w:rsidRPr="00193169">
        <w:rPr>
          <w:rFonts w:ascii="Lato" w:hAnsi="Lato" w:cs="Times New Roman"/>
          <w:sz w:val="21"/>
          <w:szCs w:val="21"/>
        </w:rPr>
        <w:t xml:space="preserve">uwzględniają m.in. charakter prowadzonej działalności, </w:t>
      </w:r>
      <w:r w:rsidR="007149EA" w:rsidRPr="00193169">
        <w:rPr>
          <w:rFonts w:ascii="Lato" w:hAnsi="Lato" w:cs="Times New Roman"/>
          <w:sz w:val="21"/>
          <w:szCs w:val="21"/>
        </w:rPr>
        <w:t>wyniki prowadzonych kontroli (w tym częstotliwość i rodzaj stwierdzanych naruszeń)</w:t>
      </w:r>
      <w:r w:rsidR="00CF0440" w:rsidRPr="00193169">
        <w:rPr>
          <w:rFonts w:ascii="Lato" w:hAnsi="Lato" w:cs="Times New Roman"/>
          <w:sz w:val="21"/>
          <w:szCs w:val="21"/>
        </w:rPr>
        <w:t xml:space="preserve">, występowanie czynników szkodliwych, ilość i zasadność wpływających do PPIS zgłoszeń o interwencje, </w:t>
      </w:r>
      <w:r w:rsidR="007149EA" w:rsidRPr="00193169">
        <w:rPr>
          <w:rFonts w:ascii="Lato" w:hAnsi="Lato" w:cs="Times New Roman"/>
          <w:sz w:val="21"/>
          <w:szCs w:val="21"/>
        </w:rPr>
        <w:t xml:space="preserve">a także </w:t>
      </w:r>
      <w:r w:rsidR="0015447B" w:rsidRPr="00193169">
        <w:rPr>
          <w:rFonts w:ascii="Lato" w:hAnsi="Lato" w:cs="Times New Roman"/>
          <w:sz w:val="21"/>
          <w:szCs w:val="21"/>
        </w:rPr>
        <w:t xml:space="preserve">potencjalny </w:t>
      </w:r>
      <w:r w:rsidR="007149EA" w:rsidRPr="00193169">
        <w:rPr>
          <w:rFonts w:ascii="Lato" w:hAnsi="Lato" w:cs="Times New Roman"/>
          <w:sz w:val="21"/>
          <w:szCs w:val="21"/>
        </w:rPr>
        <w:t>wpływ</w:t>
      </w:r>
      <w:r w:rsidR="0015447B" w:rsidRPr="00193169">
        <w:rPr>
          <w:rFonts w:ascii="Lato" w:hAnsi="Lato" w:cs="Times New Roman"/>
          <w:sz w:val="21"/>
          <w:szCs w:val="21"/>
        </w:rPr>
        <w:t xml:space="preserve"> stwierdzanych naruszeń</w:t>
      </w:r>
      <w:r w:rsidR="007149EA" w:rsidRPr="00193169">
        <w:rPr>
          <w:rFonts w:ascii="Lato" w:hAnsi="Lato" w:cs="Times New Roman"/>
          <w:sz w:val="21"/>
          <w:szCs w:val="21"/>
        </w:rPr>
        <w:t xml:space="preserve"> na zdrowie publiczne </w:t>
      </w:r>
      <w:r w:rsidR="0015447B" w:rsidRPr="00193169">
        <w:rPr>
          <w:rFonts w:ascii="Lato" w:hAnsi="Lato" w:cs="Times New Roman"/>
          <w:sz w:val="21"/>
          <w:szCs w:val="21"/>
        </w:rPr>
        <w:t>lub</w:t>
      </w:r>
      <w:r w:rsidR="007149EA" w:rsidRPr="00193169">
        <w:rPr>
          <w:rFonts w:ascii="Lato" w:hAnsi="Lato" w:cs="Times New Roman"/>
          <w:sz w:val="21"/>
          <w:szCs w:val="21"/>
        </w:rPr>
        <w:t xml:space="preserve"> środowisko. Dodatkowe czynniki mające wpływ na ocenę ryzyka uzależnione są od rodzaju </w:t>
      </w:r>
      <w:r w:rsidR="00BB376D" w:rsidRPr="00193169">
        <w:rPr>
          <w:rFonts w:ascii="Lato" w:hAnsi="Lato" w:cs="Times New Roman"/>
          <w:sz w:val="21"/>
          <w:szCs w:val="21"/>
        </w:rPr>
        <w:t xml:space="preserve">obszaru nadzoru i zostały wymienione </w:t>
      </w:r>
      <w:r w:rsidR="001B6327" w:rsidRPr="00193169">
        <w:rPr>
          <w:rFonts w:ascii="Lato" w:hAnsi="Lato" w:cs="Times New Roman"/>
          <w:sz w:val="21"/>
          <w:szCs w:val="21"/>
        </w:rPr>
        <w:t>w załącznikach do procedury.</w:t>
      </w:r>
    </w:p>
    <w:p w14:paraId="1696CDED" w14:textId="77777777" w:rsidR="009948B5" w:rsidRDefault="009948B5" w:rsidP="00ED51AA">
      <w:pPr>
        <w:spacing w:after="120"/>
        <w:rPr>
          <w:rFonts w:ascii="Lato" w:hAnsi="Lato" w:cs="Times New Roman"/>
          <w:sz w:val="21"/>
          <w:szCs w:val="21"/>
        </w:rPr>
      </w:pPr>
    </w:p>
    <w:p w14:paraId="4021E78D" w14:textId="77777777" w:rsidR="0017620D" w:rsidRPr="00193169" w:rsidRDefault="0017620D" w:rsidP="00ED51AA">
      <w:pPr>
        <w:spacing w:after="120"/>
        <w:rPr>
          <w:rFonts w:ascii="Lato" w:hAnsi="Lato" w:cs="Times New Roman"/>
          <w:sz w:val="21"/>
          <w:szCs w:val="21"/>
        </w:rPr>
      </w:pPr>
    </w:p>
    <w:p w14:paraId="1C38EDE9" w14:textId="68E6C784" w:rsidR="00661A4A" w:rsidRPr="00193169" w:rsidRDefault="00415A76" w:rsidP="00415A76">
      <w:pPr>
        <w:pStyle w:val="Akapitzlist"/>
        <w:numPr>
          <w:ilvl w:val="0"/>
          <w:numId w:val="88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lastRenderedPageBreak/>
        <w:t>Klasyfikacja ryzyka a częstotliwość kontroli planowanych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FF5572" w:rsidRPr="00193169" w14:paraId="70D998A8" w14:textId="77777777" w:rsidTr="001B6327">
        <w:trPr>
          <w:trHeight w:val="520"/>
        </w:trPr>
        <w:tc>
          <w:tcPr>
            <w:tcW w:w="2122" w:type="dxa"/>
            <w:vAlign w:val="center"/>
          </w:tcPr>
          <w:p w14:paraId="36B5B780" w14:textId="0E48098B" w:rsidR="001B6327" w:rsidRPr="00193169" w:rsidRDefault="001B6327" w:rsidP="00ED51AA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Kategoria ryzyka</w:t>
            </w:r>
          </w:p>
        </w:tc>
        <w:tc>
          <w:tcPr>
            <w:tcW w:w="6945" w:type="dxa"/>
            <w:vAlign w:val="center"/>
          </w:tcPr>
          <w:p w14:paraId="744D7267" w14:textId="6805A56A" w:rsidR="001B6327" w:rsidRPr="00193169" w:rsidRDefault="001B6327" w:rsidP="00ED51AA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Częstotliwość kontroli</w:t>
            </w:r>
            <w:r w:rsidR="00415A76"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 planowanych</w:t>
            </w:r>
          </w:p>
        </w:tc>
      </w:tr>
      <w:tr w:rsidR="00FF5572" w:rsidRPr="00193169" w14:paraId="43E9C9DE" w14:textId="77777777" w:rsidTr="009948B5">
        <w:trPr>
          <w:trHeight w:val="567"/>
        </w:trPr>
        <w:tc>
          <w:tcPr>
            <w:tcW w:w="2122" w:type="dxa"/>
            <w:vAlign w:val="center"/>
          </w:tcPr>
          <w:p w14:paraId="15A2F67A" w14:textId="3B82D674" w:rsidR="001B6327" w:rsidRPr="00193169" w:rsidRDefault="001B6327" w:rsidP="00ED51AA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Niskie</w:t>
            </w:r>
          </w:p>
        </w:tc>
        <w:tc>
          <w:tcPr>
            <w:tcW w:w="6945" w:type="dxa"/>
            <w:vAlign w:val="center"/>
          </w:tcPr>
          <w:p w14:paraId="27D66855" w14:textId="49334E21" w:rsidR="001B6327" w:rsidRPr="00193169" w:rsidRDefault="00415A76" w:rsidP="001B6327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N</w:t>
            </w:r>
            <w:r w:rsidR="001B6327" w:rsidRPr="00193169">
              <w:rPr>
                <w:rFonts w:ascii="Lato" w:hAnsi="Lato" w:cs="Times New Roman"/>
                <w:sz w:val="21"/>
                <w:szCs w:val="21"/>
              </w:rPr>
              <w:t>ie częściej niż raz w ciągu 5 lat</w:t>
            </w:r>
          </w:p>
        </w:tc>
      </w:tr>
      <w:tr w:rsidR="00FF5572" w:rsidRPr="00193169" w14:paraId="3D85590F" w14:textId="77777777" w:rsidTr="009948B5">
        <w:trPr>
          <w:trHeight w:val="567"/>
        </w:trPr>
        <w:tc>
          <w:tcPr>
            <w:tcW w:w="2122" w:type="dxa"/>
            <w:vAlign w:val="center"/>
          </w:tcPr>
          <w:p w14:paraId="267D23EC" w14:textId="57847922" w:rsidR="001B6327" w:rsidRPr="00193169" w:rsidRDefault="001B6327" w:rsidP="00ED51AA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Średnie</w:t>
            </w:r>
          </w:p>
        </w:tc>
        <w:tc>
          <w:tcPr>
            <w:tcW w:w="6945" w:type="dxa"/>
            <w:vAlign w:val="center"/>
          </w:tcPr>
          <w:p w14:paraId="29D7E7D5" w14:textId="36F3C3E6" w:rsidR="001B6327" w:rsidRPr="00193169" w:rsidRDefault="00415A76" w:rsidP="001B6327">
            <w:pPr>
              <w:spacing w:before="120" w:after="120"/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N</w:t>
            </w:r>
            <w:r w:rsidR="001B6327" w:rsidRPr="00193169">
              <w:rPr>
                <w:rFonts w:ascii="Lato" w:hAnsi="Lato" w:cs="Times New Roman"/>
                <w:sz w:val="21"/>
                <w:szCs w:val="21"/>
              </w:rPr>
              <w:t>ie częściej niż raz w ciągu 3 lat</w:t>
            </w:r>
          </w:p>
        </w:tc>
      </w:tr>
      <w:tr w:rsidR="00FF5572" w:rsidRPr="00193169" w14:paraId="75CD7245" w14:textId="77777777" w:rsidTr="001B6327">
        <w:trPr>
          <w:trHeight w:val="718"/>
        </w:trPr>
        <w:tc>
          <w:tcPr>
            <w:tcW w:w="2122" w:type="dxa"/>
            <w:vAlign w:val="center"/>
          </w:tcPr>
          <w:p w14:paraId="381C8A39" w14:textId="055CC18D" w:rsidR="001B6327" w:rsidRPr="00193169" w:rsidRDefault="001B6327" w:rsidP="00ED51AA">
            <w:pPr>
              <w:rPr>
                <w:rFonts w:ascii="Lato" w:hAnsi="Lato" w:cs="Times New Roman"/>
                <w:b/>
                <w:bCs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Wysokie</w:t>
            </w:r>
          </w:p>
        </w:tc>
        <w:tc>
          <w:tcPr>
            <w:tcW w:w="6945" w:type="dxa"/>
            <w:vAlign w:val="center"/>
          </w:tcPr>
          <w:p w14:paraId="39EF8280" w14:textId="276B9644" w:rsidR="001B6327" w:rsidRPr="00193169" w:rsidRDefault="001B6327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Tak często</w:t>
            </w:r>
            <w:r w:rsidR="009948B5">
              <w:rPr>
                <w:rFonts w:ascii="Lato" w:hAnsi="Lato" w:cs="Times New Roman"/>
                <w:sz w:val="21"/>
                <w:szCs w:val="21"/>
              </w:rPr>
              <w:t>,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jak jest to konieczne dla zapewnienia skutecznego stosowania odpowiednich przepisów, z uwzględnieniem wysokiego ryzyka wystąpienia nieprawidłowości oraz środków niezbędnych do jego ograniczania</w:t>
            </w:r>
            <w:r w:rsidR="009948B5">
              <w:rPr>
                <w:rFonts w:ascii="Lato" w:hAnsi="Lato" w:cs="Times New Roman"/>
                <w:sz w:val="21"/>
                <w:szCs w:val="21"/>
              </w:rPr>
              <w:t>.</w:t>
            </w:r>
          </w:p>
        </w:tc>
      </w:tr>
    </w:tbl>
    <w:p w14:paraId="3BE40542" w14:textId="0E75F496" w:rsidR="00CB3306" w:rsidRPr="00193169" w:rsidRDefault="00CB3306" w:rsidP="00ED51AA">
      <w:pPr>
        <w:autoSpaceDE w:val="0"/>
        <w:autoSpaceDN w:val="0"/>
        <w:adjustRightInd w:val="0"/>
        <w:spacing w:before="240" w:after="0" w:line="240" w:lineRule="auto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Schemat określa maksymalną częstotliwość kontroli zgodnie z art. 55 i 55a ww. ustawy: dla ryzyka niskiego – raz na 5 lat, dla ryzyka średniego – raz na 3 lata, dla ryzyka wysokiego – tak często, jak wymaga charakter zagrożenia.</w:t>
      </w:r>
      <w:r w:rsidR="00853F8B" w:rsidRPr="00193169">
        <w:rPr>
          <w:rFonts w:ascii="Lato" w:hAnsi="Lato"/>
          <w:sz w:val="21"/>
          <w:szCs w:val="21"/>
        </w:rPr>
        <w:t xml:space="preserve"> </w:t>
      </w:r>
      <w:r w:rsidR="00853F8B" w:rsidRPr="00193169">
        <w:rPr>
          <w:rFonts w:ascii="Lato" w:hAnsi="Lato" w:cs="TimesNewRomanPSMT"/>
          <w:kern w:val="0"/>
          <w:sz w:val="21"/>
          <w:szCs w:val="21"/>
        </w:rPr>
        <w:t>Nie stosuje się przedziałów czasu, aby zapewnić jednolite i zgodne z przepisami prawa stosowanie częstotliwości kontroli.</w:t>
      </w:r>
    </w:p>
    <w:p w14:paraId="53BA2D39" w14:textId="0E90664D" w:rsidR="001B6327" w:rsidRPr="00193169" w:rsidRDefault="001B6327" w:rsidP="001B6327">
      <w:pPr>
        <w:spacing w:before="240" w:after="120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Kategorie </w:t>
      </w:r>
      <w:r w:rsidR="00455BD9" w:rsidRPr="00193169">
        <w:rPr>
          <w:rFonts w:ascii="Lato" w:hAnsi="Lato" w:cs="Times New Roman"/>
          <w:sz w:val="21"/>
          <w:szCs w:val="21"/>
        </w:rPr>
        <w:t xml:space="preserve">ryzyka </w:t>
      </w:r>
      <w:r w:rsidRPr="00193169">
        <w:rPr>
          <w:rFonts w:ascii="Lato" w:hAnsi="Lato" w:cs="Times New Roman"/>
          <w:sz w:val="21"/>
          <w:szCs w:val="21"/>
        </w:rPr>
        <w:t>służą planowaniu częstotliwości kontroli i ustalaniu priorytetów działań. Klasyfikacja ryzyka podlega aktualizacji w przypadku zmian w działalności przedsiębiorcy lub nowych informacji wpływających na ryzyko.</w:t>
      </w:r>
    </w:p>
    <w:p w14:paraId="1CCBC26D" w14:textId="132FA83A" w:rsidR="00F37225" w:rsidRPr="00193169" w:rsidRDefault="00F37225" w:rsidP="00ED51AA">
      <w:pPr>
        <w:spacing w:before="120" w:after="120"/>
        <w:rPr>
          <w:rFonts w:ascii="Lato" w:hAnsi="Lato" w:cs="Times New Roman"/>
          <w:i/>
          <w:iCs/>
          <w:sz w:val="21"/>
          <w:szCs w:val="21"/>
        </w:rPr>
      </w:pPr>
      <w:r w:rsidRPr="00193169">
        <w:rPr>
          <w:rFonts w:ascii="Lato" w:hAnsi="Lato" w:cs="Times New Roman"/>
          <w:b/>
          <w:bCs/>
          <w:i/>
          <w:iCs/>
          <w:sz w:val="21"/>
          <w:szCs w:val="21"/>
        </w:rPr>
        <w:t>Uwaga:</w:t>
      </w:r>
    </w:p>
    <w:p w14:paraId="4FEE8BC4" w14:textId="77777777" w:rsidR="00F37225" w:rsidRPr="00193169" w:rsidRDefault="00F37225" w:rsidP="00415A76">
      <w:pPr>
        <w:pStyle w:val="Akapitzlist"/>
        <w:numPr>
          <w:ilvl w:val="0"/>
          <w:numId w:val="93"/>
        </w:numPr>
        <w:spacing w:after="0"/>
        <w:ind w:left="426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Odstępstwa od podanej częstotliwości mogą wynikać z:</w:t>
      </w:r>
    </w:p>
    <w:p w14:paraId="0D74B293" w14:textId="77777777" w:rsidR="00F37225" w:rsidRPr="00193169" w:rsidRDefault="00F37225" w:rsidP="00415A76">
      <w:pPr>
        <w:numPr>
          <w:ilvl w:val="1"/>
          <w:numId w:val="44"/>
        </w:numPr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ratyfikowanych umów międzynarodowych,</w:t>
      </w:r>
    </w:p>
    <w:p w14:paraId="50F3791C" w14:textId="65708671" w:rsidR="00F37225" w:rsidRPr="00193169" w:rsidRDefault="00F37225" w:rsidP="00415A76">
      <w:pPr>
        <w:numPr>
          <w:ilvl w:val="1"/>
          <w:numId w:val="44"/>
        </w:numPr>
        <w:tabs>
          <w:tab w:val="num" w:pos="284"/>
        </w:tabs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pr</w:t>
      </w:r>
      <w:r w:rsidR="009948B5">
        <w:rPr>
          <w:rFonts w:ascii="Lato" w:hAnsi="Lato" w:cs="Times New Roman"/>
          <w:sz w:val="21"/>
          <w:szCs w:val="21"/>
        </w:rPr>
        <w:t>z</w:t>
      </w:r>
      <w:r w:rsidRPr="00193169">
        <w:rPr>
          <w:rFonts w:ascii="Lato" w:hAnsi="Lato" w:cs="Times New Roman"/>
          <w:sz w:val="21"/>
          <w:szCs w:val="21"/>
        </w:rPr>
        <w:t>episów prawa UE,</w:t>
      </w:r>
    </w:p>
    <w:p w14:paraId="2779FA7E" w14:textId="77777777" w:rsidR="00F37225" w:rsidRPr="00193169" w:rsidRDefault="00F37225" w:rsidP="00415A76">
      <w:pPr>
        <w:numPr>
          <w:ilvl w:val="1"/>
          <w:numId w:val="44"/>
        </w:numPr>
        <w:tabs>
          <w:tab w:val="num" w:pos="284"/>
        </w:tabs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przepisów odrębnych.</w:t>
      </w:r>
    </w:p>
    <w:p w14:paraId="0D8B8D04" w14:textId="77777777" w:rsidR="00F37225" w:rsidRPr="00193169" w:rsidRDefault="00F37225" w:rsidP="009948B5">
      <w:pPr>
        <w:pStyle w:val="Akapitzlist"/>
        <w:numPr>
          <w:ilvl w:val="0"/>
          <w:numId w:val="93"/>
        </w:numPr>
        <w:spacing w:before="120" w:after="0"/>
        <w:ind w:left="425" w:hanging="357"/>
        <w:contextualSpacing w:val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Dodatkowe czynniki wpływające na priorytet kontroli:</w:t>
      </w:r>
    </w:p>
    <w:p w14:paraId="3DAD92BE" w14:textId="77777777" w:rsidR="00F37225" w:rsidRPr="00193169" w:rsidRDefault="00F37225" w:rsidP="00415A76">
      <w:pPr>
        <w:numPr>
          <w:ilvl w:val="1"/>
          <w:numId w:val="44"/>
        </w:numPr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wielkość narażonej populacji,</w:t>
      </w:r>
    </w:p>
    <w:p w14:paraId="46E35705" w14:textId="77777777" w:rsidR="00F37225" w:rsidRPr="00193169" w:rsidRDefault="00F37225" w:rsidP="00415A76">
      <w:pPr>
        <w:numPr>
          <w:ilvl w:val="1"/>
          <w:numId w:val="44"/>
        </w:numPr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warunki zdrowotne populacji,</w:t>
      </w:r>
    </w:p>
    <w:p w14:paraId="1A8E260C" w14:textId="77777777" w:rsidR="00F37225" w:rsidRPr="00193169" w:rsidRDefault="00F37225" w:rsidP="00415A76">
      <w:pPr>
        <w:numPr>
          <w:ilvl w:val="1"/>
          <w:numId w:val="44"/>
        </w:numPr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inwazyjność zabiegów i usług,</w:t>
      </w:r>
    </w:p>
    <w:p w14:paraId="5A565BEC" w14:textId="77777777" w:rsidR="00F37225" w:rsidRPr="00193169" w:rsidRDefault="00F37225" w:rsidP="00415A76">
      <w:pPr>
        <w:numPr>
          <w:ilvl w:val="1"/>
          <w:numId w:val="44"/>
        </w:numPr>
        <w:spacing w:after="0"/>
        <w:ind w:left="851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ryzyka wynikające ze specyfiki obiektu.</w:t>
      </w:r>
    </w:p>
    <w:p w14:paraId="77643890" w14:textId="6294D920" w:rsidR="00A27955" w:rsidRPr="00193169" w:rsidRDefault="00FF5572" w:rsidP="00FF5572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240" w:after="120" w:line="240" w:lineRule="auto"/>
        <w:ind w:left="425" w:hanging="357"/>
        <w:contextualSpacing w:val="0"/>
        <w:rPr>
          <w:rFonts w:ascii="Lato" w:hAnsi="Lato" w:cs="Times New Roman"/>
          <w:b/>
          <w:bCs/>
          <w:kern w:val="0"/>
          <w:sz w:val="21"/>
          <w:szCs w:val="21"/>
        </w:rPr>
      </w:pP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Zasady dotyczące częstotliwości kontroli przedsiębiorcy</w:t>
      </w:r>
    </w:p>
    <w:p w14:paraId="1E8DB4AA" w14:textId="67B346F0" w:rsidR="00FF5572" w:rsidRPr="00193169" w:rsidRDefault="00FF5572" w:rsidP="00FF5572">
      <w:pPr>
        <w:pStyle w:val="Akapitzlist"/>
        <w:numPr>
          <w:ilvl w:val="0"/>
          <w:numId w:val="94"/>
        </w:numPr>
        <w:spacing w:before="120" w:after="0"/>
        <w:contextualSpacing w:val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Załącznik nr 1 – obszar epidemiologii oraz szczepień ochronnych  </w:t>
      </w:r>
    </w:p>
    <w:p w14:paraId="3D58AAC9" w14:textId="598A7496" w:rsidR="00FF5572" w:rsidRPr="00193169" w:rsidRDefault="00FF5572" w:rsidP="00FF5572">
      <w:pPr>
        <w:pStyle w:val="Akapitzlist"/>
        <w:numPr>
          <w:ilvl w:val="0"/>
          <w:numId w:val="94"/>
        </w:num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Załącznik nr 2 – obszar higieny dzieci i młodzieży</w:t>
      </w:r>
    </w:p>
    <w:p w14:paraId="5139155A" w14:textId="2693DEB6" w:rsidR="00FF5572" w:rsidRPr="00193169" w:rsidRDefault="00FF5572" w:rsidP="00FF5572">
      <w:pPr>
        <w:pStyle w:val="Akapitzlist"/>
        <w:numPr>
          <w:ilvl w:val="0"/>
          <w:numId w:val="94"/>
        </w:num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Załącznik nr 3 – obszar higieny pracy oraz nadzoru nad chemikaliami, produktami biobójczymi i produktami kosmetycznymi</w:t>
      </w:r>
    </w:p>
    <w:p w14:paraId="41977336" w14:textId="303D6D79" w:rsidR="00FF5572" w:rsidRPr="00193169" w:rsidRDefault="00FF5572" w:rsidP="00FF5572">
      <w:pPr>
        <w:pStyle w:val="Akapitzlist"/>
        <w:numPr>
          <w:ilvl w:val="0"/>
          <w:numId w:val="94"/>
        </w:numPr>
        <w:spacing w:before="120" w:after="240"/>
        <w:contextualSpacing w:val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Załącznik nr 4 – obszar higieny komunalnej, w tym bezpieczeństwa zdrowotnego wody.</w:t>
      </w:r>
    </w:p>
    <w:p w14:paraId="1CA103FC" w14:textId="6E4F6861" w:rsidR="00F37225" w:rsidRPr="00193169" w:rsidRDefault="00F37225" w:rsidP="00FF5572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240" w:after="120" w:line="240" w:lineRule="auto"/>
        <w:ind w:left="425" w:hanging="357"/>
        <w:rPr>
          <w:rFonts w:ascii="Lato" w:hAnsi="Lato" w:cs="Times New Roman"/>
          <w:b/>
          <w:bCs/>
          <w:kern w:val="0"/>
          <w:sz w:val="21"/>
          <w:szCs w:val="21"/>
        </w:rPr>
      </w:pP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Zwiększenie częstotliwości kontroli</w:t>
      </w:r>
    </w:p>
    <w:p w14:paraId="0BDA456B" w14:textId="0115CE25" w:rsidR="00C5619D" w:rsidRPr="00193169" w:rsidRDefault="00C5619D" w:rsidP="00C5619D">
      <w:pPr>
        <w:spacing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W każdym przypadku PPIS może zwiększyć częstotliwość kontroli w danym obiekcie, kierując się innymi uzasadnionymi przesłankami wynikającymi z</w:t>
      </w:r>
      <w:r w:rsidR="00491642" w:rsidRPr="00193169">
        <w:rPr>
          <w:rFonts w:ascii="Lato" w:hAnsi="Lato" w:cs="TimesNewRomanPSMT"/>
          <w:kern w:val="0"/>
          <w:sz w:val="21"/>
          <w:szCs w:val="21"/>
        </w:rPr>
        <w:t xml:space="preserve"> analizy ryzyka wystąpienia zagrożenia zdrowia i życia ludzkiego oraz z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aktualnej sytuacji sanitarno-epidemiologicznej. Niezależnie od przypisanej kategorii ryzyka, na częstotliwość kontroli będą miały wpływ następujące czynniki:</w:t>
      </w:r>
    </w:p>
    <w:p w14:paraId="49B2DE11" w14:textId="07FBF21C" w:rsidR="00D776CA" w:rsidRPr="00193169" w:rsidRDefault="00D776CA" w:rsidP="00415A7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0" w:line="240" w:lineRule="auto"/>
        <w:ind w:left="709" w:hanging="284"/>
        <w:contextualSpacing w:val="0"/>
        <w:rPr>
          <w:rFonts w:ascii="Lato" w:hAnsi="Lato" w:cs="Times New Roman"/>
          <w:b/>
          <w:bCs/>
          <w:kern w:val="0"/>
          <w:sz w:val="21"/>
          <w:szCs w:val="21"/>
        </w:rPr>
      </w:pP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Zagrożenia dla życia, zdrowia ludzi lub środowiska:</w:t>
      </w:r>
    </w:p>
    <w:p w14:paraId="6DFE0DD0" w14:textId="77777777" w:rsidR="00D776CA" w:rsidRPr="00193169" w:rsidRDefault="00D776CA" w:rsidP="00415A76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120" w:after="120" w:line="240" w:lineRule="auto"/>
        <w:ind w:left="993" w:hanging="284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wystąpienie lub podejrzenie zagrożenia,</w:t>
      </w:r>
    </w:p>
    <w:p w14:paraId="4664C405" w14:textId="77777777" w:rsidR="00D776CA" w:rsidRPr="00193169" w:rsidRDefault="00D776CA" w:rsidP="00415A76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993" w:hanging="284"/>
        <w:contextualSpacing w:val="0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zgłoszenie podmiotu rozpoczynającego działalność.</w:t>
      </w:r>
    </w:p>
    <w:p w14:paraId="22C0DD8B" w14:textId="7CEB50A3" w:rsidR="00D776CA" w:rsidRPr="00193169" w:rsidRDefault="00D776CA" w:rsidP="00415A7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0" w:line="240" w:lineRule="auto"/>
        <w:ind w:hanging="295"/>
        <w:contextualSpacing w:val="0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 xml:space="preserve">Naruszenia prawa i obowiązków </w:t>
      </w:r>
      <w:r w:rsidR="00A56377" w:rsidRPr="00193169">
        <w:rPr>
          <w:rFonts w:ascii="Lato" w:hAnsi="Lato" w:cs="Times New Roman"/>
          <w:b/>
          <w:bCs/>
          <w:kern w:val="0"/>
          <w:sz w:val="21"/>
          <w:szCs w:val="21"/>
        </w:rPr>
        <w:t xml:space="preserve">przez </w:t>
      </w: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przedsiębiorc</w:t>
      </w:r>
      <w:r w:rsidR="00A56377" w:rsidRPr="00193169">
        <w:rPr>
          <w:rFonts w:ascii="Lato" w:hAnsi="Lato" w:cs="Times New Roman"/>
          <w:b/>
          <w:bCs/>
          <w:kern w:val="0"/>
          <w:sz w:val="21"/>
          <w:szCs w:val="21"/>
        </w:rPr>
        <w:t>ę</w:t>
      </w: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:</w:t>
      </w:r>
      <w:r w:rsidR="00296B02" w:rsidRPr="00193169">
        <w:rPr>
          <w:rFonts w:ascii="Lato" w:hAnsi="Lato" w:cs="Times New Roman"/>
          <w:b/>
          <w:bCs/>
          <w:kern w:val="0"/>
          <w:sz w:val="21"/>
          <w:szCs w:val="21"/>
        </w:rPr>
        <w:t xml:space="preserve"> </w:t>
      </w:r>
    </w:p>
    <w:p w14:paraId="5BFFDC49" w14:textId="77777777" w:rsidR="00D776CA" w:rsidRPr="00193169" w:rsidRDefault="00D776CA" w:rsidP="00415A7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stwierdzenie istotnych naruszeń przepisów prawa,</w:t>
      </w:r>
    </w:p>
    <w:p w14:paraId="01B2BE9B" w14:textId="77777777" w:rsidR="00D776CA" w:rsidRPr="00193169" w:rsidRDefault="00D776CA" w:rsidP="00415A7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uzasadnione podejrzenie popełnienia przestępstwa lub wykroczenia,</w:t>
      </w:r>
    </w:p>
    <w:p w14:paraId="4146EADE" w14:textId="77777777" w:rsidR="00D776CA" w:rsidRPr="00193169" w:rsidRDefault="00D776CA" w:rsidP="00415A76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lastRenderedPageBreak/>
        <w:t>konieczność sprawdzenia wykonania zaleceń pokontrolnych lub decyzji nakazujących usunięcie naruszeń prawa.</w:t>
      </w:r>
    </w:p>
    <w:p w14:paraId="58AD2715" w14:textId="67C3792D" w:rsidR="00D776CA" w:rsidRPr="00193169" w:rsidRDefault="00D776CA" w:rsidP="00415A76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0" w:line="240" w:lineRule="auto"/>
        <w:ind w:hanging="295"/>
        <w:contextualSpacing w:val="0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Wnioski z kontroli zewnętrznych i poleceń organów:</w:t>
      </w:r>
    </w:p>
    <w:p w14:paraId="05C138B5" w14:textId="6C3AFD6F" w:rsidR="00D776CA" w:rsidRPr="00193169" w:rsidRDefault="00D776CA" w:rsidP="00415A7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993" w:hanging="283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wyniki kontroli organów zewnętrznych wskazują</w:t>
      </w:r>
      <w:r w:rsidR="009948B5">
        <w:rPr>
          <w:rFonts w:ascii="Lato" w:hAnsi="Lato" w:cs="Times New Roman"/>
          <w:kern w:val="0"/>
          <w:sz w:val="21"/>
          <w:szCs w:val="21"/>
        </w:rPr>
        <w:t>ce</w:t>
      </w:r>
      <w:r w:rsidRPr="00193169">
        <w:rPr>
          <w:rFonts w:ascii="Lato" w:hAnsi="Lato" w:cs="Times New Roman"/>
          <w:kern w:val="0"/>
          <w:sz w:val="21"/>
          <w:szCs w:val="21"/>
        </w:rPr>
        <w:t xml:space="preserve"> na potrzebę dodatkowej interwencji,</w:t>
      </w:r>
    </w:p>
    <w:p w14:paraId="60A936B1" w14:textId="22670A1C" w:rsidR="00D776CA" w:rsidRPr="00193169" w:rsidRDefault="00D776CA" w:rsidP="00415A76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993" w:hanging="283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przepisy szczególne lub polecenia właściwych organów wymagają</w:t>
      </w:r>
      <w:r w:rsidR="009948B5">
        <w:rPr>
          <w:rFonts w:ascii="Lato" w:hAnsi="Lato" w:cs="Times New Roman"/>
          <w:kern w:val="0"/>
          <w:sz w:val="21"/>
          <w:szCs w:val="21"/>
        </w:rPr>
        <w:t>ce</w:t>
      </w:r>
      <w:r w:rsidRPr="00193169">
        <w:rPr>
          <w:rFonts w:ascii="Lato" w:hAnsi="Lato" w:cs="Times New Roman"/>
          <w:kern w:val="0"/>
          <w:sz w:val="21"/>
          <w:szCs w:val="21"/>
        </w:rPr>
        <w:t xml:space="preserve"> zwiększenia częstotliwości kontroli.</w:t>
      </w:r>
    </w:p>
    <w:p w14:paraId="770DC462" w14:textId="56738281" w:rsidR="002A2B81" w:rsidRPr="00193169" w:rsidRDefault="000F471E" w:rsidP="00415A76">
      <w:pPr>
        <w:pStyle w:val="Akapitzlist"/>
        <w:numPr>
          <w:ilvl w:val="0"/>
          <w:numId w:val="88"/>
        </w:numPr>
        <w:autoSpaceDE w:val="0"/>
        <w:autoSpaceDN w:val="0"/>
        <w:adjustRightInd w:val="0"/>
        <w:spacing w:before="240" w:after="120" w:line="240" w:lineRule="auto"/>
        <w:ind w:left="425" w:hanging="357"/>
        <w:contextualSpacing w:val="0"/>
        <w:rPr>
          <w:rFonts w:ascii="Lato" w:hAnsi="Lato" w:cs="Times New Roman"/>
          <w:b/>
          <w:bCs/>
          <w:kern w:val="0"/>
          <w:sz w:val="21"/>
          <w:szCs w:val="21"/>
        </w:rPr>
      </w:pPr>
      <w:r w:rsidRPr="00193169">
        <w:rPr>
          <w:rFonts w:ascii="Lato" w:hAnsi="Lato" w:cs="Times New Roman"/>
          <w:b/>
          <w:bCs/>
          <w:kern w:val="0"/>
          <w:sz w:val="21"/>
          <w:szCs w:val="21"/>
        </w:rPr>
        <w:t>K</w:t>
      </w:r>
      <w:r w:rsidR="002A2B81" w:rsidRPr="00193169">
        <w:rPr>
          <w:rFonts w:ascii="Lato" w:hAnsi="Lato" w:cs="Times New Roman"/>
          <w:b/>
          <w:bCs/>
          <w:kern w:val="0"/>
          <w:sz w:val="21"/>
          <w:szCs w:val="21"/>
        </w:rPr>
        <w:t>ontrole nieplanowane</w:t>
      </w:r>
    </w:p>
    <w:p w14:paraId="01D1555C" w14:textId="444E2248" w:rsidR="000F471E" w:rsidRPr="00193169" w:rsidRDefault="000F471E" w:rsidP="00ED51AA">
      <w:p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Kontrole nieplanowane przeprowadzane są niezależnie od kategorii ryzyka w szczególności w przypadkach:</w:t>
      </w:r>
    </w:p>
    <w:p w14:paraId="56C44ED6" w14:textId="77777777" w:rsidR="000F471E" w:rsidRPr="00193169" w:rsidRDefault="000F471E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skarg lub zgłoszeń od obywateli,</w:t>
      </w:r>
    </w:p>
    <w:p w14:paraId="44114C39" w14:textId="0FA7753E" w:rsidR="000F471E" w:rsidRPr="00193169" w:rsidRDefault="000F471E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postępowań prowadzonych przez PPIS w związku z interwencjami,</w:t>
      </w:r>
    </w:p>
    <w:p w14:paraId="66A60770" w14:textId="60C7D745" w:rsidR="000F471E" w:rsidRPr="00193169" w:rsidRDefault="000F471E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wystąpienia lub podejrzenia zagroże</w:t>
      </w:r>
      <w:r w:rsidR="00A53AC6" w:rsidRPr="00193169">
        <w:rPr>
          <w:rFonts w:ascii="Lato" w:hAnsi="Lato" w:cs="Times New Roman"/>
          <w:kern w:val="0"/>
          <w:sz w:val="21"/>
          <w:szCs w:val="21"/>
        </w:rPr>
        <w:t>nia zdrowia publicznego,</w:t>
      </w:r>
    </w:p>
    <w:p w14:paraId="0A7840A3" w14:textId="77777777" w:rsidR="000F471E" w:rsidRPr="00193169" w:rsidRDefault="000F471E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weryfikacji wykonania zaleceń pokontrolnych,</w:t>
      </w:r>
    </w:p>
    <w:p w14:paraId="425464BD" w14:textId="77777777" w:rsidR="000F471E" w:rsidRPr="00193169" w:rsidRDefault="000F471E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poleceń właściwych organów administracji,</w:t>
      </w:r>
    </w:p>
    <w:p w14:paraId="11607AF2" w14:textId="77777777" w:rsidR="000F471E" w:rsidRPr="00193169" w:rsidRDefault="000F471E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postępowań administracyjnych i egzekucyjnych (kontrole sprawdzające),</w:t>
      </w:r>
    </w:p>
    <w:p w14:paraId="563E1755" w14:textId="2DF456BD" w:rsidR="000F471E" w:rsidRPr="00193169" w:rsidRDefault="002A2B81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Cs/>
          <w:sz w:val="21"/>
          <w:szCs w:val="21"/>
        </w:rPr>
        <w:t>zgłoszenia wypoczynku dzieci i młodzieży w bazie wypoczynku prowadzonej przez ministra właściwego ds. oświaty i wychowania,</w:t>
      </w:r>
    </w:p>
    <w:p w14:paraId="16BD93CB" w14:textId="2CB9F10F" w:rsidR="00640FA9" w:rsidRPr="00193169" w:rsidRDefault="00640FA9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Cs/>
          <w:sz w:val="21"/>
          <w:szCs w:val="21"/>
        </w:rPr>
        <w:t>otrzymania z europejskich systemów RAPEX/</w:t>
      </w:r>
      <w:proofErr w:type="spellStart"/>
      <w:r w:rsidRPr="00193169">
        <w:rPr>
          <w:rFonts w:ascii="Lato" w:hAnsi="Lato" w:cs="Times New Roman"/>
          <w:bCs/>
          <w:sz w:val="21"/>
          <w:szCs w:val="21"/>
        </w:rPr>
        <w:t>Safety</w:t>
      </w:r>
      <w:proofErr w:type="spellEnd"/>
      <w:r w:rsidRPr="00193169">
        <w:rPr>
          <w:rFonts w:ascii="Lato" w:hAnsi="Lato" w:cs="Times New Roman"/>
          <w:bCs/>
          <w:sz w:val="21"/>
          <w:szCs w:val="21"/>
        </w:rPr>
        <w:t xml:space="preserve"> </w:t>
      </w:r>
      <w:proofErr w:type="spellStart"/>
      <w:r w:rsidRPr="00193169">
        <w:rPr>
          <w:rFonts w:ascii="Lato" w:hAnsi="Lato" w:cs="Times New Roman"/>
          <w:bCs/>
          <w:sz w:val="21"/>
          <w:szCs w:val="21"/>
        </w:rPr>
        <w:t>Gate</w:t>
      </w:r>
      <w:proofErr w:type="spellEnd"/>
      <w:r w:rsidRPr="00193169">
        <w:rPr>
          <w:rFonts w:ascii="Lato" w:hAnsi="Lato" w:cs="Times New Roman"/>
          <w:bCs/>
          <w:sz w:val="21"/>
          <w:szCs w:val="21"/>
        </w:rPr>
        <w:t xml:space="preserve">, ICSMS, </w:t>
      </w:r>
      <w:proofErr w:type="spellStart"/>
      <w:r w:rsidRPr="00193169">
        <w:rPr>
          <w:rFonts w:ascii="Lato" w:hAnsi="Lato" w:cs="Times New Roman"/>
          <w:bCs/>
          <w:sz w:val="21"/>
          <w:szCs w:val="21"/>
        </w:rPr>
        <w:t>PENOnline</w:t>
      </w:r>
      <w:proofErr w:type="spellEnd"/>
      <w:r w:rsidRPr="00193169">
        <w:rPr>
          <w:rFonts w:ascii="Lato" w:hAnsi="Lato" w:cs="Times New Roman"/>
          <w:bCs/>
          <w:sz w:val="21"/>
          <w:szCs w:val="21"/>
        </w:rPr>
        <w:t xml:space="preserve">, INTERACT PORTAL notyfikacji produktów, które są wprowadzane/udostępniane na rynku przez podmioty działające na terenie powiatu, </w:t>
      </w:r>
    </w:p>
    <w:p w14:paraId="01DB7D76" w14:textId="70D4594A" w:rsidR="00640FA9" w:rsidRPr="00193169" w:rsidRDefault="00640FA9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Cs/>
          <w:sz w:val="21"/>
          <w:szCs w:val="21"/>
        </w:rPr>
        <w:t>podejrzenia wytwarzania i wprowadzania do obrotu środków zastępczych lub nowych substancji psychoaktywnych,</w:t>
      </w:r>
    </w:p>
    <w:p w14:paraId="58FE5FD1" w14:textId="5C10F64E" w:rsidR="009B533E" w:rsidRPr="00193169" w:rsidRDefault="00640FA9" w:rsidP="009B533E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Cs/>
          <w:sz w:val="21"/>
          <w:szCs w:val="21"/>
        </w:rPr>
        <w:t>prowadzenia przez przedsiębiorców działalności w zakresie wytwarzania,</w:t>
      </w:r>
      <w:r w:rsidR="009B533E" w:rsidRPr="00193169">
        <w:rPr>
          <w:rFonts w:ascii="Lato" w:hAnsi="Lato" w:cs="Times New Roman"/>
          <w:bCs/>
          <w:sz w:val="21"/>
          <w:szCs w:val="21"/>
        </w:rPr>
        <w:t xml:space="preserve"> przetwarzania, przerabiania, przywozu, wywozu, wewnątrzwspólnotowej dostawy lub wewnątrzwspólnotowego nabycia oraz wprowadzania do obrotu nowej substancji psychoaktywnej, w tym w postaci mieszaniny lub w wyrobie,</w:t>
      </w:r>
    </w:p>
    <w:p w14:paraId="3B40F206" w14:textId="77777777" w:rsidR="00A53AC6" w:rsidRPr="00193169" w:rsidRDefault="009B533E" w:rsidP="00A53AC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bCs/>
          <w:sz w:val="21"/>
          <w:szCs w:val="21"/>
        </w:rPr>
        <w:t>zgłoszeń zamiaru przystąpienia do prac polegających na zabezpieczeniu, usunięciu lub transporcie wyrobów zawierających azbest,</w:t>
      </w:r>
    </w:p>
    <w:p w14:paraId="0D6E21BB" w14:textId="491D2A91" w:rsidR="00A53AC6" w:rsidRPr="00193169" w:rsidRDefault="00A53AC6" w:rsidP="00A53AC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 xml:space="preserve">zgłoszenia </w:t>
      </w:r>
      <w:r w:rsidR="00B91D2C" w:rsidRPr="00193169">
        <w:rPr>
          <w:rFonts w:ascii="Lato" w:hAnsi="Lato" w:cs="Times New Roman"/>
          <w:kern w:val="0"/>
          <w:sz w:val="21"/>
          <w:szCs w:val="21"/>
        </w:rPr>
        <w:t xml:space="preserve">przez podmiot leczniczy </w:t>
      </w:r>
      <w:r w:rsidRPr="00193169">
        <w:rPr>
          <w:rFonts w:ascii="Lato" w:hAnsi="Lato" w:cs="Times New Roman"/>
          <w:kern w:val="0"/>
          <w:sz w:val="21"/>
          <w:szCs w:val="21"/>
        </w:rPr>
        <w:t xml:space="preserve">ogniska epidemicznego lub niepożądanego odczynu poszczepiennego, </w:t>
      </w:r>
    </w:p>
    <w:p w14:paraId="602FC29E" w14:textId="7EF6CB7F" w:rsidR="00A53AC6" w:rsidRPr="00193169" w:rsidRDefault="00A53AC6" w:rsidP="00A53AC6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eastAsia="Aptos" w:hAnsi="Lato" w:cs="Times New Roman"/>
          <w:sz w:val="21"/>
          <w:szCs w:val="21"/>
        </w:rPr>
        <w:t xml:space="preserve">wystąpienia przesłanki wskazującej na brak przestrzegania </w:t>
      </w:r>
      <w:r w:rsidRPr="00193169">
        <w:rPr>
          <w:rFonts w:ascii="Lato" w:hAnsi="Lato" w:cs="Times New Roman"/>
          <w:kern w:val="0"/>
          <w:sz w:val="21"/>
          <w:szCs w:val="21"/>
        </w:rPr>
        <w:t>działań zapobiegających szerzeniu się zakażeń i chorób zakaźnych</w:t>
      </w:r>
      <w:r w:rsidRPr="00193169">
        <w:rPr>
          <w:rFonts w:ascii="Lato" w:eastAsia="Aptos" w:hAnsi="Lato" w:cs="Times New Roman"/>
          <w:sz w:val="21"/>
          <w:szCs w:val="21"/>
        </w:rPr>
        <w:t xml:space="preserve"> w podmiocie leczniczym</w:t>
      </w:r>
      <w:r w:rsidR="00B91D2C">
        <w:rPr>
          <w:rFonts w:ascii="Lato" w:eastAsia="Aptos" w:hAnsi="Lato" w:cs="Times New Roman"/>
          <w:sz w:val="21"/>
          <w:szCs w:val="21"/>
        </w:rPr>
        <w:t>,</w:t>
      </w:r>
      <w:r w:rsidRPr="00193169">
        <w:rPr>
          <w:rFonts w:ascii="Lato" w:eastAsia="Aptos" w:hAnsi="Lato" w:cs="Times New Roman"/>
          <w:sz w:val="21"/>
          <w:szCs w:val="21"/>
        </w:rPr>
        <w:t xml:space="preserve"> w tym: </w:t>
      </w:r>
    </w:p>
    <w:p w14:paraId="234A2056" w14:textId="77777777" w:rsidR="00A53AC6" w:rsidRPr="00193169" w:rsidRDefault="00A53AC6" w:rsidP="00030587">
      <w:pPr>
        <w:pStyle w:val="Akapitzlist"/>
        <w:numPr>
          <w:ilvl w:val="0"/>
          <w:numId w:val="78"/>
        </w:numPr>
        <w:spacing w:after="0"/>
        <w:ind w:left="1134" w:hanging="357"/>
        <w:rPr>
          <w:rFonts w:ascii="Lato" w:eastAsia="Aptos" w:hAnsi="Lato" w:cs="Times New Roman"/>
          <w:sz w:val="21"/>
          <w:szCs w:val="21"/>
        </w:rPr>
      </w:pPr>
      <w:r w:rsidRPr="00193169">
        <w:rPr>
          <w:rFonts w:ascii="Lato" w:eastAsia="Aptos" w:hAnsi="Lato" w:cs="Times New Roman"/>
          <w:sz w:val="21"/>
          <w:szCs w:val="21"/>
        </w:rPr>
        <w:t>doniesienia medialnego,</w:t>
      </w:r>
    </w:p>
    <w:p w14:paraId="6DC73D29" w14:textId="77777777" w:rsidR="00A53AC6" w:rsidRPr="00193169" w:rsidRDefault="00A53AC6" w:rsidP="00030587">
      <w:pPr>
        <w:pStyle w:val="Akapitzlist"/>
        <w:numPr>
          <w:ilvl w:val="0"/>
          <w:numId w:val="78"/>
        </w:numPr>
        <w:spacing w:after="0"/>
        <w:ind w:left="1134" w:hanging="357"/>
        <w:rPr>
          <w:rFonts w:ascii="Lato" w:eastAsia="Aptos" w:hAnsi="Lato" w:cs="Times New Roman"/>
          <w:sz w:val="21"/>
          <w:szCs w:val="21"/>
        </w:rPr>
      </w:pPr>
      <w:r w:rsidRPr="00193169">
        <w:rPr>
          <w:rFonts w:ascii="Lato" w:eastAsia="Aptos" w:hAnsi="Lato" w:cs="Times New Roman"/>
          <w:sz w:val="21"/>
          <w:szCs w:val="21"/>
        </w:rPr>
        <w:t>zgłoszenia od osoby fizycznej lub prawnej,</w:t>
      </w:r>
    </w:p>
    <w:p w14:paraId="0F823766" w14:textId="77777777" w:rsidR="00A53AC6" w:rsidRPr="00193169" w:rsidRDefault="00A53AC6" w:rsidP="00030587">
      <w:pPr>
        <w:pStyle w:val="Akapitzlist"/>
        <w:numPr>
          <w:ilvl w:val="0"/>
          <w:numId w:val="78"/>
        </w:numPr>
        <w:spacing w:after="0"/>
        <w:ind w:left="1134" w:hanging="357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eastAsia="Aptos" w:hAnsi="Lato" w:cs="Times New Roman"/>
          <w:sz w:val="21"/>
          <w:szCs w:val="21"/>
        </w:rPr>
        <w:t>żądanie podjęcia czynności przez inny uprawniony organ lub instytucję np.  Rzecznika Praw Pacjenta, Rzecznika Praw Obywatelskich, prokuratora, wojewodę, posła na Sejm RP, radnego samorządu, itp.</w:t>
      </w:r>
    </w:p>
    <w:p w14:paraId="3823E645" w14:textId="1C83BBCD" w:rsidR="006054ED" w:rsidRPr="00193169" w:rsidRDefault="006054ED" w:rsidP="00ED51AA">
      <w:pPr>
        <w:pStyle w:val="Akapitzlist"/>
        <w:numPr>
          <w:ilvl w:val="0"/>
          <w:numId w:val="59"/>
        </w:numPr>
        <w:spacing w:after="0" w:line="240" w:lineRule="auto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zwiększeni</w:t>
      </w:r>
      <w:r w:rsidR="00B91D2C">
        <w:rPr>
          <w:rFonts w:ascii="Lato" w:hAnsi="Lato" w:cs="Times New Roman"/>
          <w:sz w:val="21"/>
          <w:szCs w:val="21"/>
        </w:rPr>
        <w:t>a</w:t>
      </w:r>
      <w:r w:rsidRPr="00193169">
        <w:rPr>
          <w:rFonts w:ascii="Lato" w:hAnsi="Lato" w:cs="Times New Roman"/>
          <w:sz w:val="21"/>
          <w:szCs w:val="21"/>
        </w:rPr>
        <w:t xml:space="preserve"> częstotliwości kontroli wynikając</w:t>
      </w:r>
      <w:r w:rsidR="00B91D2C">
        <w:rPr>
          <w:rFonts w:ascii="Lato" w:hAnsi="Lato" w:cs="Times New Roman"/>
          <w:sz w:val="21"/>
          <w:szCs w:val="21"/>
        </w:rPr>
        <w:t>ych</w:t>
      </w:r>
      <w:r w:rsidRPr="00193169">
        <w:rPr>
          <w:rFonts w:ascii="Lato" w:hAnsi="Lato" w:cs="Times New Roman"/>
          <w:sz w:val="21"/>
          <w:szCs w:val="21"/>
        </w:rPr>
        <w:t xml:space="preserve"> z przepisów szczegółowych,</w:t>
      </w:r>
    </w:p>
    <w:p w14:paraId="0F38C44E" w14:textId="110DAD14" w:rsidR="006054ED" w:rsidRPr="00193169" w:rsidRDefault="006054ED" w:rsidP="00ED51AA">
      <w:pPr>
        <w:pStyle w:val="Akapitzlist"/>
        <w:numPr>
          <w:ilvl w:val="0"/>
          <w:numId w:val="59"/>
        </w:numPr>
        <w:spacing w:after="0" w:line="240" w:lineRule="auto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wniosk</w:t>
      </w:r>
      <w:r w:rsidR="00B91D2C">
        <w:rPr>
          <w:rFonts w:ascii="Lato" w:hAnsi="Lato" w:cs="Times New Roman"/>
          <w:sz w:val="21"/>
          <w:szCs w:val="21"/>
        </w:rPr>
        <w:t xml:space="preserve">ów </w:t>
      </w:r>
      <w:r w:rsidRPr="00193169">
        <w:rPr>
          <w:rFonts w:ascii="Lato" w:hAnsi="Lato" w:cs="Times New Roman"/>
          <w:sz w:val="21"/>
          <w:szCs w:val="21"/>
        </w:rPr>
        <w:t>przedsiębiorców o przeprowadzenie kontroli,</w:t>
      </w:r>
    </w:p>
    <w:p w14:paraId="0FCFAB25" w14:textId="4B89D1D6" w:rsidR="006054ED" w:rsidRPr="00193169" w:rsidRDefault="006054ED" w:rsidP="00ED51AA">
      <w:pPr>
        <w:pStyle w:val="Akapitzlist"/>
        <w:numPr>
          <w:ilvl w:val="0"/>
          <w:numId w:val="59"/>
        </w:numPr>
        <w:spacing w:after="0" w:line="240" w:lineRule="auto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aktualn</w:t>
      </w:r>
      <w:r w:rsidR="00B91D2C">
        <w:rPr>
          <w:rFonts w:ascii="Lato" w:hAnsi="Lato" w:cs="Times New Roman"/>
          <w:sz w:val="21"/>
          <w:szCs w:val="21"/>
        </w:rPr>
        <w:t>ej</w:t>
      </w:r>
      <w:r w:rsidRPr="00193169">
        <w:rPr>
          <w:rFonts w:ascii="Lato" w:hAnsi="Lato" w:cs="Times New Roman"/>
          <w:sz w:val="21"/>
          <w:szCs w:val="21"/>
        </w:rPr>
        <w:t xml:space="preserve"> sytuacj</w:t>
      </w:r>
      <w:r w:rsidR="00B91D2C">
        <w:rPr>
          <w:rFonts w:ascii="Lato" w:hAnsi="Lato" w:cs="Times New Roman"/>
          <w:sz w:val="21"/>
          <w:szCs w:val="21"/>
        </w:rPr>
        <w:t>i</w:t>
      </w:r>
      <w:r w:rsidRPr="00193169">
        <w:rPr>
          <w:rFonts w:ascii="Lato" w:hAnsi="Lato" w:cs="Times New Roman"/>
          <w:sz w:val="21"/>
          <w:szCs w:val="21"/>
        </w:rPr>
        <w:t xml:space="preserve"> sanitarno-epidemiologiczna panując</w:t>
      </w:r>
      <w:r w:rsidR="00B91D2C">
        <w:rPr>
          <w:rFonts w:ascii="Lato" w:hAnsi="Lato" w:cs="Times New Roman"/>
          <w:sz w:val="21"/>
          <w:szCs w:val="21"/>
        </w:rPr>
        <w:t>ej</w:t>
      </w:r>
      <w:r w:rsidRPr="00193169">
        <w:rPr>
          <w:rFonts w:ascii="Lato" w:hAnsi="Lato" w:cs="Times New Roman"/>
          <w:sz w:val="21"/>
          <w:szCs w:val="21"/>
        </w:rPr>
        <w:t xml:space="preserve"> na terenie powiatu i/lub kraju uzasadniając</w:t>
      </w:r>
      <w:r w:rsidR="00B91D2C">
        <w:rPr>
          <w:rFonts w:ascii="Lato" w:hAnsi="Lato" w:cs="Times New Roman"/>
          <w:sz w:val="21"/>
          <w:szCs w:val="21"/>
        </w:rPr>
        <w:t>ej</w:t>
      </w:r>
      <w:r w:rsidRPr="00193169">
        <w:rPr>
          <w:rFonts w:ascii="Lato" w:hAnsi="Lato" w:cs="Times New Roman"/>
          <w:sz w:val="21"/>
          <w:szCs w:val="21"/>
        </w:rPr>
        <w:t xml:space="preserve"> zwiększenie częstotliwości kontroli działalności przedsiębiorców</w:t>
      </w:r>
      <w:r w:rsidR="00B91D2C">
        <w:rPr>
          <w:rFonts w:ascii="Lato" w:hAnsi="Lato" w:cs="Times New Roman"/>
          <w:sz w:val="21"/>
          <w:szCs w:val="21"/>
        </w:rPr>
        <w:t>,</w:t>
      </w:r>
    </w:p>
    <w:p w14:paraId="389DB8AE" w14:textId="7DC3268F" w:rsidR="002A2B81" w:rsidRPr="00193169" w:rsidRDefault="00415A76" w:rsidP="00ED51AA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niewłaściwej jakości wody do spożycia – w</w:t>
      </w:r>
      <w:r w:rsidR="002A2B81" w:rsidRPr="00193169">
        <w:rPr>
          <w:rFonts w:ascii="Lato" w:hAnsi="Lato" w:cs="Times New Roman"/>
          <w:kern w:val="0"/>
          <w:sz w:val="21"/>
          <w:szCs w:val="21"/>
        </w:rPr>
        <w:t>ykonan</w:t>
      </w:r>
      <w:r w:rsidR="00B91D2C">
        <w:rPr>
          <w:rFonts w:ascii="Lato" w:hAnsi="Lato" w:cs="Times New Roman"/>
          <w:kern w:val="0"/>
          <w:sz w:val="21"/>
          <w:szCs w:val="21"/>
        </w:rPr>
        <w:t>i</w:t>
      </w:r>
      <w:r w:rsidR="002A2B81" w:rsidRPr="00193169">
        <w:rPr>
          <w:rFonts w:ascii="Lato" w:hAnsi="Lato" w:cs="Times New Roman"/>
          <w:kern w:val="0"/>
          <w:sz w:val="21"/>
          <w:szCs w:val="21"/>
        </w:rPr>
        <w:t>e kontroln</w:t>
      </w:r>
      <w:r w:rsidR="00B91D2C">
        <w:rPr>
          <w:rFonts w:ascii="Lato" w:hAnsi="Lato" w:cs="Times New Roman"/>
          <w:kern w:val="0"/>
          <w:sz w:val="21"/>
          <w:szCs w:val="21"/>
        </w:rPr>
        <w:t>ych</w:t>
      </w:r>
      <w:r w:rsidR="002A2B81" w:rsidRPr="00193169">
        <w:rPr>
          <w:rFonts w:ascii="Lato" w:hAnsi="Lato" w:cs="Times New Roman"/>
          <w:kern w:val="0"/>
          <w:sz w:val="21"/>
          <w:szCs w:val="21"/>
        </w:rPr>
        <w:t xml:space="preserve"> bada</w:t>
      </w:r>
      <w:r w:rsidR="00B91D2C">
        <w:rPr>
          <w:rFonts w:ascii="Lato" w:hAnsi="Lato" w:cs="Times New Roman"/>
          <w:kern w:val="0"/>
          <w:sz w:val="21"/>
          <w:szCs w:val="21"/>
        </w:rPr>
        <w:t>ń</w:t>
      </w:r>
      <w:r w:rsidR="002A2B81" w:rsidRPr="00193169">
        <w:rPr>
          <w:rFonts w:ascii="Lato" w:hAnsi="Lato" w:cs="Times New Roman"/>
          <w:kern w:val="0"/>
          <w:sz w:val="21"/>
          <w:szCs w:val="21"/>
        </w:rPr>
        <w:t xml:space="preserve"> wody, mając</w:t>
      </w:r>
      <w:r w:rsidR="00B91D2C">
        <w:rPr>
          <w:rFonts w:ascii="Lato" w:hAnsi="Lato" w:cs="Times New Roman"/>
          <w:kern w:val="0"/>
          <w:sz w:val="21"/>
          <w:szCs w:val="21"/>
        </w:rPr>
        <w:t>ych</w:t>
      </w:r>
      <w:r w:rsidR="002A2B81" w:rsidRPr="00193169">
        <w:rPr>
          <w:rFonts w:ascii="Lato" w:hAnsi="Lato" w:cs="Times New Roman"/>
          <w:kern w:val="0"/>
          <w:sz w:val="21"/>
          <w:szCs w:val="21"/>
        </w:rPr>
        <w:t xml:space="preserve"> na celu sprawdzenie czy woda spełnia wymagania, o których mowa w rozporządzeniu Ministra Zdrowia z dnia 7 grudnia 2017 roku w sprawie jakości wody przeznaczonej do spożycia przez ludzi</w:t>
      </w:r>
      <w:r w:rsidR="00640FA9" w:rsidRPr="00193169">
        <w:rPr>
          <w:rFonts w:ascii="Lato" w:hAnsi="Lato" w:cs="Times New Roman"/>
          <w:kern w:val="0"/>
          <w:sz w:val="21"/>
          <w:szCs w:val="21"/>
        </w:rPr>
        <w:t>.</w:t>
      </w:r>
    </w:p>
    <w:p w14:paraId="1427DDEB" w14:textId="275AC610" w:rsidR="00496DA8" w:rsidRPr="00193169" w:rsidRDefault="000F471E" w:rsidP="00B91D2C">
      <w:pPr>
        <w:autoSpaceDE w:val="0"/>
        <w:autoSpaceDN w:val="0"/>
        <w:adjustRightInd w:val="0"/>
        <w:spacing w:before="120" w:after="120" w:line="240" w:lineRule="auto"/>
        <w:rPr>
          <w:rFonts w:ascii="Lato" w:hAnsi="Lato" w:cs="Times New Roman"/>
          <w:b/>
          <w:bCs/>
          <w:kern w:val="0"/>
          <w:sz w:val="21"/>
          <w:szCs w:val="21"/>
        </w:rPr>
      </w:pPr>
      <w:r w:rsidRPr="00193169">
        <w:rPr>
          <w:rFonts w:ascii="Lato" w:hAnsi="Lato" w:cs="Times New Roman"/>
          <w:kern w:val="0"/>
          <w:sz w:val="21"/>
          <w:szCs w:val="21"/>
        </w:rPr>
        <w:t>Kontrole te wykonywane są niezwłocznie, niezależnie od kategorii ryzyka</w:t>
      </w:r>
      <w:r w:rsidR="00117E61" w:rsidRPr="00193169">
        <w:rPr>
          <w:rFonts w:ascii="Lato" w:hAnsi="Lato" w:cs="Times New Roman"/>
          <w:b/>
          <w:bCs/>
          <w:kern w:val="0"/>
          <w:sz w:val="21"/>
          <w:szCs w:val="21"/>
        </w:rPr>
        <w:t>.</w:t>
      </w:r>
    </w:p>
    <w:p w14:paraId="3A0DF942" w14:textId="508C1061" w:rsidR="00661A4A" w:rsidRPr="00193169" w:rsidRDefault="00661A4A" w:rsidP="00415A76">
      <w:pPr>
        <w:pStyle w:val="Akapitzlist"/>
        <w:numPr>
          <w:ilvl w:val="0"/>
          <w:numId w:val="88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Publikacja i aktualizacja</w:t>
      </w:r>
    </w:p>
    <w:p w14:paraId="28041F63" w14:textId="66826462" w:rsidR="005B1FF7" w:rsidRPr="00193169" w:rsidRDefault="005B1FF7" w:rsidP="00ED51AA">
      <w:pPr>
        <w:spacing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Procedura jest publikowana w Biuletynie Informacji Publicznej i podlega przeglądowi oraz aktualizacji na podstawie wyników kontroli, zmian w przepisach prawa oraz na podstawie analiz ryzyka.</w:t>
      </w:r>
      <w:r w:rsidR="0003011F" w:rsidRPr="00193169">
        <w:rPr>
          <w:rFonts w:ascii="Lato" w:hAnsi="Lato" w:cs="Times New Roman"/>
          <w:sz w:val="21"/>
          <w:szCs w:val="21"/>
        </w:rPr>
        <w:t xml:space="preserve"> W przypadku zmian, aktualizacja analizy jest publikowana w terminie 3 miesięcy od dnia </w:t>
      </w:r>
      <w:r w:rsidR="0003011F" w:rsidRPr="00193169">
        <w:rPr>
          <w:rFonts w:ascii="Lato" w:hAnsi="Lato" w:cs="Times New Roman"/>
          <w:sz w:val="21"/>
          <w:szCs w:val="21"/>
        </w:rPr>
        <w:lastRenderedPageBreak/>
        <w:t>przyjęcia kolejnej okresowej analizy zastępującej dotychczasową analizę zgodnie z art. 47 ust. 1a Prawa przedsiębiorców.</w:t>
      </w:r>
    </w:p>
    <w:p w14:paraId="5EB2C232" w14:textId="30943BF1" w:rsidR="00661A4A" w:rsidRPr="00193169" w:rsidRDefault="00A65D2B" w:rsidP="00415A76">
      <w:pPr>
        <w:pStyle w:val="Akapitzlist"/>
        <w:numPr>
          <w:ilvl w:val="0"/>
          <w:numId w:val="88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 xml:space="preserve">Kontakt </w:t>
      </w:r>
    </w:p>
    <w:p w14:paraId="6BC5CE0A" w14:textId="26B58ADD" w:rsidR="00407B07" w:rsidRPr="00193169" w:rsidRDefault="00661A4A" w:rsidP="00ED51AA">
      <w:p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Wszelkie pytania dotyczące</w:t>
      </w:r>
      <w:r w:rsidR="00690E51" w:rsidRPr="00193169">
        <w:rPr>
          <w:rFonts w:ascii="Lato" w:hAnsi="Lato" w:cs="Times New Roman"/>
          <w:sz w:val="21"/>
          <w:szCs w:val="21"/>
        </w:rPr>
        <w:t xml:space="preserve"> niniejsze</w:t>
      </w:r>
      <w:r w:rsidR="00856D52" w:rsidRPr="00193169">
        <w:rPr>
          <w:rFonts w:ascii="Lato" w:hAnsi="Lato" w:cs="Times New Roman"/>
          <w:sz w:val="21"/>
          <w:szCs w:val="21"/>
        </w:rPr>
        <w:t>j procedury</w:t>
      </w:r>
      <w:r w:rsidRPr="00193169">
        <w:rPr>
          <w:rFonts w:ascii="Lato" w:hAnsi="Lato" w:cs="Times New Roman"/>
          <w:sz w:val="21"/>
          <w:szCs w:val="21"/>
        </w:rPr>
        <w:t xml:space="preserve"> </w:t>
      </w:r>
      <w:r w:rsidR="005B1FF7" w:rsidRPr="00193169">
        <w:rPr>
          <w:rFonts w:ascii="Lato" w:hAnsi="Lato" w:cs="Times New Roman"/>
          <w:sz w:val="21"/>
          <w:szCs w:val="21"/>
        </w:rPr>
        <w:t xml:space="preserve">należy </w:t>
      </w:r>
      <w:r w:rsidRPr="00193169">
        <w:rPr>
          <w:rFonts w:ascii="Lato" w:hAnsi="Lato" w:cs="Times New Roman"/>
          <w:sz w:val="21"/>
          <w:szCs w:val="21"/>
        </w:rPr>
        <w:t>kierować na adres</w:t>
      </w:r>
      <w:r w:rsidR="00690E51" w:rsidRPr="00193169">
        <w:rPr>
          <w:rFonts w:ascii="Lato" w:hAnsi="Lato" w:cs="Times New Roman"/>
          <w:sz w:val="21"/>
          <w:szCs w:val="21"/>
        </w:rPr>
        <w:t xml:space="preserve"> Powiatowej Stacji Sanitarno-Epidemiologicznej w </w:t>
      </w:r>
      <w:r w:rsidR="00030587" w:rsidRPr="00193169">
        <w:rPr>
          <w:rFonts w:ascii="Lato" w:hAnsi="Lato" w:cs="Times New Roman"/>
          <w:sz w:val="21"/>
          <w:szCs w:val="21"/>
        </w:rPr>
        <w:t>Lidzbarku Warmińskim</w:t>
      </w:r>
      <w:r w:rsidR="00FF5572" w:rsidRPr="00193169">
        <w:rPr>
          <w:rFonts w:ascii="Lato" w:hAnsi="Lato" w:cs="Times New Roman"/>
          <w:sz w:val="21"/>
          <w:szCs w:val="21"/>
        </w:rPr>
        <w:t xml:space="preserve"> </w:t>
      </w:r>
      <w:hyperlink r:id="rId8" w:history="1">
        <w:r w:rsidR="00FF5572" w:rsidRPr="00193169">
          <w:rPr>
            <w:rStyle w:val="Hipercze"/>
            <w:rFonts w:ascii="Lato" w:hAnsi="Lato" w:cs="Times New Roman"/>
            <w:sz w:val="21"/>
            <w:szCs w:val="21"/>
          </w:rPr>
          <w:t>psse.lidzbarkwarminski@sanepid.gov.pl</w:t>
        </w:r>
      </w:hyperlink>
      <w:r w:rsidR="00FF5572" w:rsidRPr="00193169">
        <w:rPr>
          <w:rFonts w:ascii="Lato" w:hAnsi="Lato" w:cs="Times New Roman"/>
          <w:sz w:val="21"/>
          <w:szCs w:val="21"/>
        </w:rPr>
        <w:t xml:space="preserve"> </w:t>
      </w:r>
      <w:r w:rsidR="00030587" w:rsidRPr="00193169">
        <w:rPr>
          <w:rFonts w:ascii="Lato" w:hAnsi="Lato" w:cs="Times New Roman"/>
          <w:sz w:val="21"/>
          <w:szCs w:val="21"/>
        </w:rPr>
        <w:t xml:space="preserve"> </w:t>
      </w:r>
    </w:p>
    <w:p w14:paraId="0095290C" w14:textId="7D5AA3E0" w:rsidR="00EA4E35" w:rsidRPr="00193169" w:rsidRDefault="00EA4E35" w:rsidP="00ED51AA">
      <w:p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br w:type="page"/>
      </w:r>
    </w:p>
    <w:p w14:paraId="3A844FCD" w14:textId="6C37AE57" w:rsidR="00631709" w:rsidRPr="00193169" w:rsidRDefault="00631709" w:rsidP="00FF5572">
      <w:pPr>
        <w:spacing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lastRenderedPageBreak/>
        <w:t xml:space="preserve">Załącznik </w:t>
      </w:r>
      <w:r w:rsidR="00DF50C7" w:rsidRPr="00193169">
        <w:rPr>
          <w:rFonts w:ascii="Lato" w:hAnsi="Lato" w:cs="Times New Roman"/>
          <w:sz w:val="21"/>
          <w:szCs w:val="21"/>
        </w:rPr>
        <w:t>n</w:t>
      </w:r>
      <w:r w:rsidRPr="00193169">
        <w:rPr>
          <w:rFonts w:ascii="Lato" w:hAnsi="Lato" w:cs="Times New Roman"/>
          <w:sz w:val="21"/>
          <w:szCs w:val="21"/>
        </w:rPr>
        <w:t>r 1</w:t>
      </w:r>
    </w:p>
    <w:p w14:paraId="4BB2AC39" w14:textId="161302FA" w:rsidR="0000154A" w:rsidRPr="00193169" w:rsidRDefault="0000154A" w:rsidP="00ED51AA">
      <w:pPr>
        <w:spacing w:after="0" w:line="240" w:lineRule="auto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 Procedury klasyfikacji ryzyka w działalności kontrolnej</w:t>
      </w:r>
      <w:r w:rsidRPr="00193169">
        <w:rPr>
          <w:rFonts w:ascii="Lato" w:hAnsi="Lato" w:cs="TimesNewRomanPSMT"/>
          <w:kern w:val="0"/>
          <w:sz w:val="21"/>
          <w:szCs w:val="21"/>
        </w:rPr>
        <w:br/>
      </w:r>
    </w:p>
    <w:p w14:paraId="4D1258D3" w14:textId="01E3B94A" w:rsidR="0000154A" w:rsidRPr="00193169" w:rsidRDefault="009D7E7B" w:rsidP="00ED51AA">
      <w:p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OBSZAR EPIDEMIOLOGII ORAZ SZCZEPIEŃ OCHRONNYCH  </w:t>
      </w:r>
    </w:p>
    <w:p w14:paraId="5671D629" w14:textId="2AD7C586" w:rsidR="00CC2988" w:rsidRPr="00193169" w:rsidRDefault="00CC2988" w:rsidP="00ED51AA">
      <w:pPr>
        <w:pStyle w:val="Akapitzlist"/>
        <w:numPr>
          <w:ilvl w:val="0"/>
          <w:numId w:val="87"/>
        </w:numPr>
        <w:spacing w:before="120" w:after="120"/>
        <w:ind w:left="426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Zakres</w:t>
      </w:r>
    </w:p>
    <w:p w14:paraId="2E97FF2E" w14:textId="4D0BDB90" w:rsidR="00656A59" w:rsidRPr="00193169" w:rsidRDefault="00656A59" w:rsidP="00ED51AA">
      <w:pPr>
        <w:spacing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Dotyczy podmiotów wykonujących działalność leczniczą. Podmiot wykonujący działalność leczniczą – zgodnie z Ustawą o działalności leczniczej jest to jeden z poniższych podmiotów:</w:t>
      </w:r>
    </w:p>
    <w:p w14:paraId="18254AC6" w14:textId="77777777" w:rsidR="00656A59" w:rsidRPr="00193169" w:rsidRDefault="00656A59" w:rsidP="00ED51AA">
      <w:pPr>
        <w:numPr>
          <w:ilvl w:val="0"/>
          <w:numId w:val="74"/>
        </w:numPr>
        <w:spacing w:before="120"/>
        <w:ind w:left="714" w:hanging="357"/>
        <w:contextualSpacing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praktyka zawodowa lekarza lub lekarza dentysty,</w:t>
      </w:r>
    </w:p>
    <w:p w14:paraId="69B25735" w14:textId="77777777" w:rsidR="00656A59" w:rsidRPr="00193169" w:rsidRDefault="00656A59" w:rsidP="00ED51AA">
      <w:pPr>
        <w:numPr>
          <w:ilvl w:val="0"/>
          <w:numId w:val="74"/>
        </w:numPr>
        <w:spacing w:before="120"/>
        <w:ind w:left="714" w:hanging="357"/>
        <w:contextualSpacing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praktyka zawodowa pielęgniarki lub położnej,</w:t>
      </w:r>
    </w:p>
    <w:p w14:paraId="79C87ED1" w14:textId="77777777" w:rsidR="00656A59" w:rsidRPr="00193169" w:rsidRDefault="00656A59" w:rsidP="00ED51AA">
      <w:pPr>
        <w:numPr>
          <w:ilvl w:val="0"/>
          <w:numId w:val="74"/>
        </w:numPr>
        <w:spacing w:before="120"/>
        <w:ind w:left="714" w:hanging="357"/>
        <w:contextualSpacing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praktyka zawodowa fizjoterapeuty,</w:t>
      </w:r>
    </w:p>
    <w:p w14:paraId="1BB60DB7" w14:textId="77777777" w:rsidR="00656A59" w:rsidRPr="00193169" w:rsidRDefault="00656A59" w:rsidP="00ED51AA">
      <w:pPr>
        <w:numPr>
          <w:ilvl w:val="0"/>
          <w:numId w:val="74"/>
        </w:numPr>
        <w:spacing w:before="120"/>
        <w:ind w:left="714" w:hanging="357"/>
        <w:contextualSpacing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praktyka zawodowa diagnosty laboratoryjnego,</w:t>
      </w:r>
    </w:p>
    <w:p w14:paraId="3238EDA3" w14:textId="77777777" w:rsidR="00656A59" w:rsidRPr="00193169" w:rsidRDefault="00656A59" w:rsidP="00ED51AA">
      <w:pPr>
        <w:numPr>
          <w:ilvl w:val="0"/>
          <w:numId w:val="74"/>
        </w:numPr>
        <w:spacing w:before="120"/>
        <w:ind w:left="714" w:hanging="357"/>
        <w:contextualSpacing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podmiot leczniczy,</w:t>
      </w:r>
    </w:p>
    <w:p w14:paraId="4D015CFB" w14:textId="77777777" w:rsidR="00656A59" w:rsidRPr="00193169" w:rsidRDefault="00656A59" w:rsidP="00ED51AA">
      <w:pPr>
        <w:numPr>
          <w:ilvl w:val="0"/>
          <w:numId w:val="74"/>
        </w:numPr>
        <w:spacing w:before="120"/>
        <w:ind w:left="714" w:hanging="357"/>
        <w:contextualSpacing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zakład leczniczy.</w:t>
      </w:r>
    </w:p>
    <w:p w14:paraId="16FE585A" w14:textId="2E0DA7AC" w:rsidR="00656A59" w:rsidRPr="00193169" w:rsidRDefault="00656A59" w:rsidP="00ED51AA">
      <w:pPr>
        <w:pStyle w:val="Akapitzlist"/>
        <w:numPr>
          <w:ilvl w:val="0"/>
          <w:numId w:val="87"/>
        </w:numPr>
        <w:spacing w:before="240" w:after="120"/>
        <w:ind w:left="426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Ocena ryzyka</w:t>
      </w:r>
    </w:p>
    <w:p w14:paraId="36903390" w14:textId="77777777" w:rsidR="00656A59" w:rsidRPr="00193169" w:rsidRDefault="00656A59" w:rsidP="00ED51AA">
      <w:p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Ocena ryzyka we wszystkich podmiotach wykonujących działalność leczniczą opiera się na:</w:t>
      </w:r>
    </w:p>
    <w:p w14:paraId="5516DDFF" w14:textId="77777777" w:rsidR="00656A59" w:rsidRPr="00193169" w:rsidRDefault="00656A59" w:rsidP="00ED51AA">
      <w:pPr>
        <w:pStyle w:val="Akapitzlist"/>
        <w:numPr>
          <w:ilvl w:val="0"/>
          <w:numId w:val="75"/>
        </w:numPr>
        <w:spacing w:before="120" w:after="120"/>
        <w:ind w:left="357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skuteczności podejmowania działań zapobiegających szerzeniu się zakażeń i chorób zakaźnych, a w szczególności:</w:t>
      </w:r>
    </w:p>
    <w:p w14:paraId="694F72CD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ocena ryzyka wystąpienia zakażenia związanego z wykonywaniem świadczeń zdrowotnych;</w:t>
      </w:r>
    </w:p>
    <w:p w14:paraId="27F40348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monitorowanie czynników alarmowych i zakażeń związanych z udzielaniem świadczeń zdrowotnych w zakresie wykonywanych świadczeń;</w:t>
      </w:r>
    </w:p>
    <w:p w14:paraId="572EAEB5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opracowanie, wdrożenie i nadzór nad procedurami zapobiegającymi zakażeniom i chorobom zakaźnym związanym z udzielaniem świadczeń zdrowotnych, w tym dekontaminacji skóry i błon śluzowych lub innych tkanek, wyrobów medycznych oraz powierzchni pomieszczeń i urządzeń; </w:t>
      </w:r>
    </w:p>
    <w:p w14:paraId="34F12F85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stosowanie środków ochrony indywidualnej i zbiorowej w celu zapobieżenia przeniesieniu na inne osoby biologicznych czynników chorobotwórczych;</w:t>
      </w:r>
    </w:p>
    <w:p w14:paraId="23B8CC06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wykonywanie badań laboratoryjnych oraz analizę lokalnej sytuacji epidemiologicznej w celu optymalizacji profilaktyki i terapii antybiotykowej; </w:t>
      </w:r>
    </w:p>
    <w:p w14:paraId="0377B955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prowadzenie kontroli wewnętrznej w zakresie realizacji działań wymienionych powyżej;</w:t>
      </w:r>
    </w:p>
    <w:p w14:paraId="230D995E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120"/>
        <w:ind w:left="714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spełnienie szczegółowych wymagań, jakim powinny odpowiadać pomieszczenia i urządzenia podmiotu wykonującego działalność leczniczą.</w:t>
      </w:r>
    </w:p>
    <w:p w14:paraId="5BC17A6C" w14:textId="1B25E724" w:rsidR="00656A59" w:rsidRPr="00193169" w:rsidRDefault="00656A59" w:rsidP="00ED51AA">
      <w:pPr>
        <w:spacing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W przypadku podmiotów wykonujących działalność leczniczą w rodzaju świadczenia szpitalne ocena ryzyka</w:t>
      </w:r>
      <w:r w:rsidR="00FD155C" w:rsidRPr="00193169">
        <w:rPr>
          <w:rFonts w:ascii="Lato" w:hAnsi="Lato" w:cs="TimesNewRomanPSMT"/>
          <w:kern w:val="0"/>
          <w:sz w:val="21"/>
          <w:szCs w:val="21"/>
        </w:rPr>
        <w:t>,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</w:t>
      </w:r>
      <w:r w:rsidR="00FD155C" w:rsidRPr="00193169">
        <w:rPr>
          <w:rFonts w:ascii="Lato" w:hAnsi="Lato" w:cs="TimesNewRomanPSMT"/>
          <w:kern w:val="0"/>
          <w:sz w:val="21"/>
          <w:szCs w:val="21"/>
        </w:rPr>
        <w:t xml:space="preserve">poza kryteriami określonymi w pkt 1, </w:t>
      </w:r>
      <w:r w:rsidRPr="00193169">
        <w:rPr>
          <w:rFonts w:ascii="Lato" w:hAnsi="Lato" w:cs="TimesNewRomanPSMT"/>
          <w:kern w:val="0"/>
          <w:sz w:val="21"/>
          <w:szCs w:val="21"/>
        </w:rPr>
        <w:t>opiera się dodatkowo na:</w:t>
      </w:r>
    </w:p>
    <w:p w14:paraId="288261D2" w14:textId="77777777" w:rsidR="00656A59" w:rsidRPr="00193169" w:rsidRDefault="00656A59" w:rsidP="00ED51AA">
      <w:pPr>
        <w:pStyle w:val="Akapitzlist"/>
        <w:numPr>
          <w:ilvl w:val="0"/>
          <w:numId w:val="75"/>
        </w:numPr>
        <w:spacing w:after="120"/>
        <w:ind w:left="357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skuteczności wdrożenia i zapewnienia funkcjonowania systemu zapobiegania i zwalczania zakażeń szpitalnych i chorób zakaźnych, a w szczególności:</w:t>
      </w:r>
    </w:p>
    <w:p w14:paraId="2CEF6DF0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powołanie i nadzór nad działalnością zespołu i komitetu kontroli zakażeń szpitalnych; </w:t>
      </w:r>
    </w:p>
    <w:p w14:paraId="78594FF3" w14:textId="4A15BC45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ocena ryzyka i monitorowani</w:t>
      </w:r>
      <w:r w:rsidR="00FD155C" w:rsidRPr="00193169">
        <w:rPr>
          <w:rFonts w:ascii="Lato" w:hAnsi="Lato" w:cs="TimesNewRomanPSMT"/>
          <w:kern w:val="0"/>
          <w:sz w:val="21"/>
          <w:szCs w:val="21"/>
        </w:rPr>
        <w:t>e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występowania zakażeń szpitalnych i czynników alarmowych; </w:t>
      </w:r>
    </w:p>
    <w:p w14:paraId="155D0D39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organizacja udzielania świadczeń zdrowotnych, w sposób zapewniający: </w:t>
      </w:r>
    </w:p>
    <w:p w14:paraId="2DD10592" w14:textId="77777777" w:rsidR="00656A59" w:rsidRPr="00193169" w:rsidRDefault="00656A59" w:rsidP="00ED51AA">
      <w:pPr>
        <w:pStyle w:val="Akapitzlist"/>
        <w:numPr>
          <w:ilvl w:val="0"/>
          <w:numId w:val="76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zapobieganie zakażeniom szpitalnym i szerzeniu się czynników alarmowych,</w:t>
      </w:r>
    </w:p>
    <w:p w14:paraId="46CF7EEA" w14:textId="77777777" w:rsidR="00656A59" w:rsidRPr="00193169" w:rsidRDefault="00656A59" w:rsidP="00ED51AA">
      <w:pPr>
        <w:pStyle w:val="Akapitzlist"/>
        <w:numPr>
          <w:ilvl w:val="0"/>
          <w:numId w:val="76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warunki izolacji pacjentów z zakażeniem lub chorobą zakaźną oraz pacjentów szczególnie podatnych na zakażenia szpitalne,</w:t>
      </w:r>
    </w:p>
    <w:p w14:paraId="2144BEC9" w14:textId="77777777" w:rsidR="00656A59" w:rsidRPr="00193169" w:rsidRDefault="00656A59" w:rsidP="00ED51AA">
      <w:pPr>
        <w:pStyle w:val="Akapitzlist"/>
        <w:numPr>
          <w:ilvl w:val="0"/>
          <w:numId w:val="76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możliwość wykonywania badań laboratoryjnych w ciągu całej doby, </w:t>
      </w:r>
    </w:p>
    <w:p w14:paraId="6557EE73" w14:textId="77777777" w:rsidR="00656A59" w:rsidRPr="00193169" w:rsidRDefault="00656A59" w:rsidP="00ED51AA">
      <w:pPr>
        <w:pStyle w:val="Akapitzlist"/>
        <w:numPr>
          <w:ilvl w:val="0"/>
          <w:numId w:val="76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wykonywanie badań laboratoryjnych, umożliwiających identyfikację biologicznych czynników chorobotwórczych wywołujących zakażenia i choroby zakaźne,</w:t>
      </w:r>
    </w:p>
    <w:p w14:paraId="79638BEA" w14:textId="77777777" w:rsidR="00656A59" w:rsidRPr="00193169" w:rsidRDefault="00656A59" w:rsidP="00ED51AA">
      <w:pPr>
        <w:pStyle w:val="Akapitzlist"/>
        <w:numPr>
          <w:ilvl w:val="0"/>
          <w:numId w:val="76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ograniczenie narastania lekooporności biologicznych czynników chorobotwórczych w wyniku niewłaściwego stosowania profilaktyki i terapii antybiotykowej;</w:t>
      </w:r>
    </w:p>
    <w:p w14:paraId="7AFB7D8D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lastRenderedPageBreak/>
        <w:t>monitorowanie i rejestracja zakażeń szpitalnych i czynników alarmowych;</w:t>
      </w:r>
    </w:p>
    <w:p w14:paraId="1D0C79A5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sporządzanie i przekazywanie właściwemu państwowemu inspektorowi sanitarnemu raportów o bieżącej sytuacji epidemiologicznej szpitala; </w:t>
      </w:r>
    </w:p>
    <w:p w14:paraId="02A36651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120"/>
        <w:ind w:left="714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zgłaszanie w ciągu 24 godzin potwierdzonego epidemicznego wzrostu liczby zakażeń szpitalnych właściwemu państwowemu inspektorowi sanitarnemu. </w:t>
      </w:r>
    </w:p>
    <w:p w14:paraId="5198EDD1" w14:textId="50253F72" w:rsidR="00656A59" w:rsidRPr="00193169" w:rsidRDefault="00656A59" w:rsidP="00ED51AA">
      <w:pPr>
        <w:spacing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W przypadku podmiotów leczniczych realizujących Program Szczepień Ochronnych (PSO) ocena ryzyka</w:t>
      </w:r>
      <w:r w:rsidR="00FD155C" w:rsidRPr="00193169">
        <w:rPr>
          <w:rFonts w:ascii="Lato" w:hAnsi="Lato" w:cs="TimesNewRomanPSMT"/>
          <w:kern w:val="0"/>
          <w:sz w:val="21"/>
          <w:szCs w:val="21"/>
        </w:rPr>
        <w:t>,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</w:t>
      </w:r>
      <w:r w:rsidR="00FD155C" w:rsidRPr="00193169">
        <w:rPr>
          <w:rFonts w:ascii="Lato" w:hAnsi="Lato" w:cs="TimesNewRomanPSMT"/>
          <w:kern w:val="0"/>
          <w:sz w:val="21"/>
          <w:szCs w:val="21"/>
        </w:rPr>
        <w:t xml:space="preserve">poza kryteriami określonymi w pkt 1, </w:t>
      </w:r>
      <w:r w:rsidRPr="00193169">
        <w:rPr>
          <w:rFonts w:ascii="Lato" w:hAnsi="Lato" w:cs="TimesNewRomanPSMT"/>
          <w:kern w:val="0"/>
          <w:sz w:val="21"/>
          <w:szCs w:val="21"/>
        </w:rPr>
        <w:t>opiera się dodatkowo na:</w:t>
      </w:r>
    </w:p>
    <w:p w14:paraId="72E85433" w14:textId="77777777" w:rsidR="00656A59" w:rsidRPr="00193169" w:rsidRDefault="00656A59" w:rsidP="00ED51AA">
      <w:pPr>
        <w:pStyle w:val="Akapitzlist"/>
        <w:numPr>
          <w:ilvl w:val="0"/>
          <w:numId w:val="75"/>
        </w:numPr>
        <w:spacing w:after="120"/>
        <w:ind w:left="357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skuteczności działań podejmowanych podczas realizacji PSO, a w szczególności:</w:t>
      </w:r>
    </w:p>
    <w:p w14:paraId="55F3213C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sposób prowadzenia dokumentacji medycznej dotyczącej obowiązkowych szczepień ochronnych i zalecanych szczepień ochronnych i jej obiegu;</w:t>
      </w:r>
    </w:p>
    <w:p w14:paraId="6B4EEC9C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sporządzanie sprawozdań z przeprowadzonych obowiązkowych szczepień ochronnych;</w:t>
      </w:r>
    </w:p>
    <w:p w14:paraId="4DD81980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powiadamianie przez lekarza sprawującego profilaktyczną opiekę zdrowotną osoby obowiązanej do poddania się obowiązkowym szczepieniom ochronnym lub osoby sprawującej prawną pieczę nad osobą małoletnią lub bezradną o obowiązku poddania się tym szczepieniom, a także poinformowanie o szczepieniach zalecanych;</w:t>
      </w:r>
    </w:p>
    <w:p w14:paraId="76573503" w14:textId="7827B662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przeprowadzanie szczepień obowiązkowych zgodnie ze schematem szczepienia obejmujący</w:t>
      </w:r>
      <w:r w:rsidR="00995CE0" w:rsidRPr="00193169">
        <w:rPr>
          <w:rFonts w:ascii="Lato" w:hAnsi="Lato" w:cs="TimesNewRomanPSMT"/>
          <w:kern w:val="0"/>
          <w:sz w:val="21"/>
          <w:szCs w:val="21"/>
        </w:rPr>
        <w:t>m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liczbę dawek i terminy ich podania wymagane dla danego szczepienia</w:t>
      </w:r>
      <w:r w:rsidR="00995CE0" w:rsidRPr="00193169">
        <w:rPr>
          <w:rFonts w:ascii="Lato" w:hAnsi="Lato" w:cs="TimesNewRomanPSMT"/>
          <w:kern w:val="0"/>
          <w:sz w:val="21"/>
          <w:szCs w:val="21"/>
        </w:rPr>
        <w:t>,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uwzględniające wiek osoby objętej obowiązkiem szczepienia;</w:t>
      </w:r>
    </w:p>
    <w:p w14:paraId="0A99BB6A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przekazywanie przez lekarza sprawującego profilaktyczną opiekę zdrowotną nad osobą małoletnią raportu o przypadkach niewykonania obowiązkowych szczepień ochronnych;</w:t>
      </w:r>
    </w:p>
    <w:p w14:paraId="46B786C8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zgłaszanie przez lekarza, który podejrzewa lub rozpoznaje wystąpienie niepożądanego odczynu poszczepiennego, w ciągu 24 godzin od powzięcia podejrzenia jego wystąpienia, takiego przypadku do państwowego powiatowego inspektora sanitarnego właściwego dla miejsca powzięcia podejrzenia jego wystąpienia;</w:t>
      </w:r>
    </w:p>
    <w:p w14:paraId="09BA861E" w14:textId="7777777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transport i przechowywanie szczepionek z zachowaniem łańcucha chłodniczego oraz na zasadach określonych w przepisach prawa farmaceutycznego;</w:t>
      </w:r>
    </w:p>
    <w:p w14:paraId="53B7F01C" w14:textId="7FFFE957" w:rsidR="00656A59" w:rsidRPr="00193169" w:rsidRDefault="00656A59" w:rsidP="00ED51AA">
      <w:pPr>
        <w:pStyle w:val="Akapitzlist"/>
        <w:numPr>
          <w:ilvl w:val="1"/>
          <w:numId w:val="75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kwalifikacja osób przeprowadzających szczepienia ochronne</w:t>
      </w:r>
      <w:r w:rsidR="00995CE0" w:rsidRPr="00193169">
        <w:rPr>
          <w:rFonts w:ascii="Lato" w:hAnsi="Lato" w:cs="TimesNewRomanPSMT"/>
          <w:kern w:val="0"/>
          <w:sz w:val="21"/>
          <w:szCs w:val="21"/>
        </w:rPr>
        <w:t>.</w:t>
      </w:r>
    </w:p>
    <w:p w14:paraId="52833963" w14:textId="5697E736" w:rsidR="00656A59" w:rsidRPr="00193169" w:rsidRDefault="00995CE0" w:rsidP="00ED51AA">
      <w:pPr>
        <w:pStyle w:val="Akapitzlist"/>
        <w:numPr>
          <w:ilvl w:val="0"/>
          <w:numId w:val="87"/>
        </w:numPr>
        <w:spacing w:before="120" w:after="120"/>
        <w:ind w:left="426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Klasyfikacja ryzyka a częstotliwość kontroli planowanych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417"/>
        <w:gridCol w:w="5808"/>
        <w:gridCol w:w="1847"/>
      </w:tblGrid>
      <w:tr w:rsidR="00FF5572" w:rsidRPr="00193169" w14:paraId="27A4181F" w14:textId="77777777" w:rsidTr="00995CE0">
        <w:tc>
          <w:tcPr>
            <w:tcW w:w="1417" w:type="dxa"/>
            <w:vAlign w:val="center"/>
          </w:tcPr>
          <w:p w14:paraId="3BB3A555" w14:textId="5F58E47B" w:rsidR="0008464F" w:rsidRPr="00193169" w:rsidRDefault="0008464F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Kategoria ryzyka</w:t>
            </w:r>
          </w:p>
        </w:tc>
        <w:tc>
          <w:tcPr>
            <w:tcW w:w="5808" w:type="dxa"/>
            <w:vAlign w:val="center"/>
          </w:tcPr>
          <w:p w14:paraId="22DA98EE" w14:textId="22126D5A" w:rsidR="0008464F" w:rsidRPr="00193169" w:rsidRDefault="0008464F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Przykładowe obiekty / działalność</w:t>
            </w:r>
          </w:p>
        </w:tc>
        <w:tc>
          <w:tcPr>
            <w:tcW w:w="1847" w:type="dxa"/>
            <w:vAlign w:val="center"/>
          </w:tcPr>
          <w:p w14:paraId="6FB7C5A8" w14:textId="771D058B" w:rsidR="0008464F" w:rsidRPr="00193169" w:rsidRDefault="0008464F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Częstotliwość kontroli planowej</w:t>
            </w:r>
          </w:p>
        </w:tc>
      </w:tr>
      <w:tr w:rsidR="00FF5572" w:rsidRPr="00193169" w14:paraId="5BF9AE80" w14:textId="77777777" w:rsidTr="00995CE0">
        <w:tc>
          <w:tcPr>
            <w:tcW w:w="1417" w:type="dxa"/>
            <w:vAlign w:val="center"/>
          </w:tcPr>
          <w:p w14:paraId="5B0895DA" w14:textId="7042304D" w:rsidR="00987D89" w:rsidRPr="00193169" w:rsidRDefault="00987D89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Niskie</w:t>
            </w:r>
          </w:p>
        </w:tc>
        <w:tc>
          <w:tcPr>
            <w:tcW w:w="5808" w:type="dxa"/>
            <w:vAlign w:val="center"/>
          </w:tcPr>
          <w:p w14:paraId="56D92B44" w14:textId="3884FEA1" w:rsidR="00987D89" w:rsidRPr="00193169" w:rsidRDefault="00C415B6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przychodnie oraz praktyki lekarskie i pielęgniarskie (z wyjątkiem zabiegowych), fizjoterapia.</w:t>
            </w:r>
          </w:p>
        </w:tc>
        <w:tc>
          <w:tcPr>
            <w:tcW w:w="1847" w:type="dxa"/>
            <w:vAlign w:val="center"/>
          </w:tcPr>
          <w:p w14:paraId="7FB9286C" w14:textId="73203EB0" w:rsidR="00987D89" w:rsidRPr="00193169" w:rsidRDefault="00987D89" w:rsidP="00ED51AA">
            <w:pPr>
              <w:spacing w:before="120" w:after="120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 New Roman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5 lat</w:t>
            </w:r>
          </w:p>
        </w:tc>
      </w:tr>
      <w:tr w:rsidR="00FF5572" w:rsidRPr="00193169" w14:paraId="08DCB1C6" w14:textId="77777777" w:rsidTr="00995CE0">
        <w:tc>
          <w:tcPr>
            <w:tcW w:w="1417" w:type="dxa"/>
            <w:vAlign w:val="center"/>
          </w:tcPr>
          <w:p w14:paraId="38892821" w14:textId="3643F036" w:rsidR="00987D89" w:rsidRPr="00193169" w:rsidRDefault="00987D89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Średnie</w:t>
            </w:r>
          </w:p>
        </w:tc>
        <w:tc>
          <w:tcPr>
            <w:tcW w:w="5808" w:type="dxa"/>
            <w:vAlign w:val="center"/>
          </w:tcPr>
          <w:p w14:paraId="78384B6C" w14:textId="65FB93DC" w:rsidR="00987D89" w:rsidRPr="00193169" w:rsidRDefault="00C415B6" w:rsidP="00ED51AA">
            <w:pPr>
              <w:spacing w:before="120" w:after="120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podmioty lecznicze w rodzaju sanatoria, ośrodki rehabilitacji, punkty pobrań krwi.</w:t>
            </w:r>
          </w:p>
        </w:tc>
        <w:tc>
          <w:tcPr>
            <w:tcW w:w="1847" w:type="dxa"/>
            <w:vAlign w:val="center"/>
          </w:tcPr>
          <w:p w14:paraId="1BC55F02" w14:textId="15030C2D" w:rsidR="00987D89" w:rsidRPr="00193169" w:rsidRDefault="00987D89" w:rsidP="00ED51AA">
            <w:pPr>
              <w:spacing w:before="120" w:after="120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 New Roman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3 lat</w:t>
            </w:r>
          </w:p>
        </w:tc>
      </w:tr>
      <w:tr w:rsidR="00FF5572" w:rsidRPr="00193169" w14:paraId="49996428" w14:textId="77777777" w:rsidTr="00995CE0">
        <w:tc>
          <w:tcPr>
            <w:tcW w:w="1417" w:type="dxa"/>
            <w:vAlign w:val="center"/>
          </w:tcPr>
          <w:p w14:paraId="13203C23" w14:textId="6763135E" w:rsidR="00987D89" w:rsidRPr="00193169" w:rsidRDefault="00987D89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Wysokie</w:t>
            </w:r>
          </w:p>
        </w:tc>
        <w:tc>
          <w:tcPr>
            <w:tcW w:w="5808" w:type="dxa"/>
            <w:vAlign w:val="center"/>
          </w:tcPr>
          <w:p w14:paraId="336E82FC" w14:textId="154ABC23" w:rsidR="00987D89" w:rsidRPr="00193169" w:rsidRDefault="00ED51AA" w:rsidP="00ED51AA">
            <w:pPr>
              <w:spacing w:before="120" w:after="120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podmioty</w:t>
            </w:r>
            <w:r w:rsidR="00C415B6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lecznicze w rodzaju szpitale (w tym szpitale 1</w:t>
            </w:r>
            <w:r w:rsidR="00B91D2C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</w:t>
            </w:r>
            <w:r w:rsidR="00C415B6" w:rsidRPr="00193169">
              <w:rPr>
                <w:rFonts w:ascii="Lato" w:hAnsi="Lato" w:cs="TimesNewRomanPSMT"/>
                <w:kern w:val="0"/>
                <w:sz w:val="21"/>
                <w:szCs w:val="21"/>
              </w:rPr>
              <w:t>dniowe), zakłady opiekuńczo-lecznicze, opiekuńczo-pielęgnacyjne, podmioty lecznicze ambulatoryjne – zabiegowe tj. punkty szczepień, przychodnie i praktyki lekarskie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(np. chirurgiczne, stomatologiczne, ginekologiczne, laryngologiczne i wykonujące zabiegi endoskopowe), stacje krwiodawstwa, stacje dializ.</w:t>
            </w:r>
          </w:p>
        </w:tc>
        <w:tc>
          <w:tcPr>
            <w:tcW w:w="1847" w:type="dxa"/>
            <w:vAlign w:val="center"/>
          </w:tcPr>
          <w:p w14:paraId="439A6B8B" w14:textId="4F21EFE8" w:rsidR="00987D89" w:rsidRPr="00193169" w:rsidRDefault="00987D89" w:rsidP="00ED51AA">
            <w:pPr>
              <w:spacing w:before="120" w:after="12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Tak często, jak to jest konieczne dla zapewnienia skutecznego stosowania przepisów i ograniczenia ryzyka</w:t>
            </w:r>
          </w:p>
        </w:tc>
      </w:tr>
    </w:tbl>
    <w:p w14:paraId="138FFE98" w14:textId="77777777" w:rsidR="00656A59" w:rsidRPr="00193169" w:rsidRDefault="00656A59" w:rsidP="00ED51AA">
      <w:pPr>
        <w:spacing w:before="120" w:after="120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4D3F9159" w14:textId="526243A0" w:rsidR="00087901" w:rsidRPr="00193169" w:rsidRDefault="00087901" w:rsidP="00ED51AA">
      <w:p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br w:type="page"/>
      </w:r>
    </w:p>
    <w:p w14:paraId="1A2A65F4" w14:textId="57A49E92" w:rsidR="00631709" w:rsidRPr="00193169" w:rsidRDefault="00631709" w:rsidP="00FF5572">
      <w:pPr>
        <w:spacing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lastRenderedPageBreak/>
        <w:t xml:space="preserve">Załącznik </w:t>
      </w:r>
      <w:r w:rsidR="00A27955" w:rsidRPr="00193169">
        <w:rPr>
          <w:rFonts w:ascii="Lato" w:hAnsi="Lato" w:cs="Times New Roman"/>
          <w:sz w:val="21"/>
          <w:szCs w:val="21"/>
        </w:rPr>
        <w:t>n</w:t>
      </w:r>
      <w:r w:rsidRPr="00193169">
        <w:rPr>
          <w:rFonts w:ascii="Lato" w:hAnsi="Lato" w:cs="Times New Roman"/>
          <w:sz w:val="21"/>
          <w:szCs w:val="21"/>
        </w:rPr>
        <w:t>r 2</w:t>
      </w:r>
    </w:p>
    <w:p w14:paraId="05C603C0" w14:textId="58E98DEF" w:rsidR="00AA094B" w:rsidRPr="00193169" w:rsidRDefault="00AA094B" w:rsidP="00ED51AA">
      <w:pPr>
        <w:spacing w:after="0" w:line="240" w:lineRule="auto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 Procedury klasyfikacji ryzyka w działalności kontrolnej</w:t>
      </w:r>
    </w:p>
    <w:p w14:paraId="28D5B0E6" w14:textId="77777777" w:rsidR="00A27955" w:rsidRPr="00193169" w:rsidRDefault="00A27955" w:rsidP="00ED51AA">
      <w:pPr>
        <w:spacing w:after="0" w:line="240" w:lineRule="auto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3D1D205D" w14:textId="2F9AB9D8" w:rsidR="007435AB" w:rsidRPr="00193169" w:rsidRDefault="00C34F65" w:rsidP="00ED51AA">
      <w:pPr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OBSZAR </w:t>
      </w:r>
      <w:r w:rsidRPr="00193169">
        <w:rPr>
          <w:rFonts w:ascii="Lato" w:hAnsi="Lato" w:cs="Times New Roman"/>
          <w:b/>
          <w:bCs/>
          <w:sz w:val="21"/>
          <w:szCs w:val="21"/>
        </w:rPr>
        <w:t>HIGIENY DZIECI I MŁODZIEŻY</w:t>
      </w:r>
    </w:p>
    <w:p w14:paraId="561ABFD6" w14:textId="77777777" w:rsidR="00E96B9F" w:rsidRPr="00193169" w:rsidRDefault="00E96B9F" w:rsidP="00ED51AA">
      <w:pPr>
        <w:pStyle w:val="Akapitzlist"/>
        <w:numPr>
          <w:ilvl w:val="0"/>
          <w:numId w:val="39"/>
        </w:numPr>
        <w:spacing w:before="120" w:after="120"/>
        <w:ind w:left="284" w:hanging="284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Zakres</w:t>
      </w:r>
    </w:p>
    <w:p w14:paraId="3616977E" w14:textId="77777777" w:rsidR="001D2355" w:rsidRPr="00193169" w:rsidRDefault="001D2355" w:rsidP="00ED51AA">
      <w:pPr>
        <w:spacing w:before="120"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Dotyczy podmiotów prowadzących działalność:</w:t>
      </w:r>
    </w:p>
    <w:p w14:paraId="7A60E5A8" w14:textId="77777777" w:rsidR="001D2355" w:rsidRPr="00193169" w:rsidRDefault="001D2355" w:rsidP="00ED51AA">
      <w:pPr>
        <w:pStyle w:val="Akapitzlist"/>
        <w:numPr>
          <w:ilvl w:val="0"/>
          <w:numId w:val="52"/>
        </w:numPr>
        <w:ind w:left="777" w:hanging="357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oświatową, </w:t>
      </w:r>
    </w:p>
    <w:p w14:paraId="1C0EFDD3" w14:textId="77777777" w:rsidR="001D2355" w:rsidRPr="00193169" w:rsidRDefault="001D2355" w:rsidP="00ED51AA">
      <w:pPr>
        <w:pStyle w:val="Akapitzlist"/>
        <w:numPr>
          <w:ilvl w:val="0"/>
          <w:numId w:val="52"/>
        </w:numPr>
        <w:ind w:left="777" w:hanging="357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opiekuńczą, </w:t>
      </w:r>
    </w:p>
    <w:p w14:paraId="6A2A2F8E" w14:textId="77777777" w:rsidR="001D2355" w:rsidRPr="00193169" w:rsidRDefault="001D2355" w:rsidP="00ED51AA">
      <w:pPr>
        <w:pStyle w:val="Akapitzlist"/>
        <w:numPr>
          <w:ilvl w:val="0"/>
          <w:numId w:val="52"/>
        </w:numPr>
        <w:ind w:left="777" w:hanging="357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wychowawczą, </w:t>
      </w:r>
    </w:p>
    <w:p w14:paraId="1A96B01D" w14:textId="77777777" w:rsidR="001D2355" w:rsidRPr="00193169" w:rsidRDefault="001D2355" w:rsidP="00ED51AA">
      <w:pPr>
        <w:pStyle w:val="Akapitzlist"/>
        <w:numPr>
          <w:ilvl w:val="0"/>
          <w:numId w:val="52"/>
        </w:numPr>
        <w:ind w:left="777" w:hanging="357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zapewniającą zakwaterowanie w trakcie pobierania nauki poza miejscem zamieszkania, </w:t>
      </w:r>
    </w:p>
    <w:p w14:paraId="6ABF344F" w14:textId="77777777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terapeutyczną, </w:t>
      </w:r>
    </w:p>
    <w:p w14:paraId="64C86C44" w14:textId="77777777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wspomagającą, </w:t>
      </w:r>
    </w:p>
    <w:p w14:paraId="7873793E" w14:textId="77777777" w:rsidR="00830A8E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rozwijającą zainteresowania i uzdolnienia oraz kształtującą umiejętności spędzania wolnego czasu m.in. takich jak: placówki opieki nad dziećmi do lat 3, </w:t>
      </w:r>
    </w:p>
    <w:p w14:paraId="0D98F734" w14:textId="0DC5CDC3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szkoły wszystkich typów (w tym szkół wyższych), </w:t>
      </w:r>
    </w:p>
    <w:p w14:paraId="14D9FD94" w14:textId="77777777" w:rsidR="001F501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placówki praktycznej nauki zawodu, </w:t>
      </w:r>
    </w:p>
    <w:p w14:paraId="604E2179" w14:textId="68D6D5EE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internaty i bursy, </w:t>
      </w:r>
    </w:p>
    <w:p w14:paraId="7E4E8322" w14:textId="77777777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ośrodki szkolno-wychowawcze dla dzieci i młodzieży upośledzonej bądź niedostosowanej społecznie, </w:t>
      </w:r>
    </w:p>
    <w:p w14:paraId="7F44B078" w14:textId="77777777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placówki opiekuńczo-wychowawcze, </w:t>
      </w:r>
    </w:p>
    <w:p w14:paraId="7F4AFCEC" w14:textId="5CAE62B0" w:rsidR="001D2355" w:rsidRPr="00193169" w:rsidRDefault="001D2355" w:rsidP="00ED51AA">
      <w:pPr>
        <w:pStyle w:val="Akapitzlist"/>
        <w:numPr>
          <w:ilvl w:val="0"/>
          <w:numId w:val="52"/>
        </w:num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placówki wychowania pozaszkolnego</w:t>
      </w:r>
      <w:r w:rsidR="0094535D" w:rsidRPr="00193169">
        <w:rPr>
          <w:rFonts w:ascii="Lato" w:hAnsi="Lato" w:cs="TimesNewRomanPSMT"/>
          <w:kern w:val="0"/>
          <w:sz w:val="21"/>
          <w:szCs w:val="21"/>
        </w:rPr>
        <w:t>,</w:t>
      </w:r>
      <w:r w:rsidRPr="00193169">
        <w:rPr>
          <w:rFonts w:ascii="Lato" w:hAnsi="Lato" w:cs="TimesNewRomanPSMT"/>
          <w:kern w:val="0"/>
          <w:sz w:val="21"/>
          <w:szCs w:val="21"/>
        </w:rPr>
        <w:t xml:space="preserve"> </w:t>
      </w:r>
    </w:p>
    <w:p w14:paraId="5FDE4C8B" w14:textId="64C1602D" w:rsidR="001D2355" w:rsidRPr="00193169" w:rsidRDefault="001D2355" w:rsidP="00ED51AA">
      <w:pPr>
        <w:pStyle w:val="Akapitzlist"/>
        <w:numPr>
          <w:ilvl w:val="0"/>
          <w:numId w:val="52"/>
        </w:numPr>
        <w:spacing w:after="120"/>
        <w:ind w:left="777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turnusy sezonowego wypoczynku dzieci i młodzieży.</w:t>
      </w:r>
    </w:p>
    <w:p w14:paraId="5B3E685B" w14:textId="77777777" w:rsidR="00E96B9F" w:rsidRPr="00193169" w:rsidRDefault="00E96B9F" w:rsidP="00ED51AA">
      <w:pPr>
        <w:pStyle w:val="Akapitzlist"/>
        <w:numPr>
          <w:ilvl w:val="0"/>
          <w:numId w:val="39"/>
        </w:numPr>
        <w:spacing w:before="120" w:after="120"/>
        <w:ind w:left="284" w:hanging="284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Ocena ryzyka</w:t>
      </w:r>
    </w:p>
    <w:p w14:paraId="146F027D" w14:textId="77777777" w:rsidR="001F5015" w:rsidRPr="00193169" w:rsidRDefault="001F5015" w:rsidP="00ED51AA">
      <w:p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Ocena ryzyka opiera się na:</w:t>
      </w:r>
    </w:p>
    <w:p w14:paraId="01BF35C7" w14:textId="77777777" w:rsidR="001F5015" w:rsidRPr="00193169" w:rsidRDefault="001F5015" w:rsidP="00ED51AA">
      <w:pPr>
        <w:pStyle w:val="Akapitzlist"/>
        <w:numPr>
          <w:ilvl w:val="0"/>
          <w:numId w:val="53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wystąpieniu podejrzenia lub prawdopodobieństwa wystąpienia zagrożenia życia lub zdrowia człowieka,</w:t>
      </w:r>
    </w:p>
    <w:p w14:paraId="1F7EC7E5" w14:textId="77777777" w:rsidR="001F5015" w:rsidRPr="00193169" w:rsidRDefault="001F5015" w:rsidP="00ED51AA">
      <w:pPr>
        <w:pStyle w:val="Akapitzlist"/>
        <w:numPr>
          <w:ilvl w:val="0"/>
          <w:numId w:val="53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ocenach stanu sanitarno-technicznego obiektu i sprzętu wykorzystywanego w bieżącej działalności przedsiębiorcy,</w:t>
      </w:r>
    </w:p>
    <w:p w14:paraId="5DC7634D" w14:textId="77777777" w:rsidR="001F5015" w:rsidRPr="00193169" w:rsidRDefault="001F5015" w:rsidP="00ED51AA">
      <w:pPr>
        <w:pStyle w:val="Akapitzlist"/>
        <w:numPr>
          <w:ilvl w:val="0"/>
          <w:numId w:val="53"/>
        </w:num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wynikach kontroli stwierdzanych w trakcie ostatnich 3 kontroli planowych,</w:t>
      </w:r>
    </w:p>
    <w:p w14:paraId="37BA4DD8" w14:textId="2C5361DD" w:rsidR="00297D0F" w:rsidRPr="00193169" w:rsidRDefault="001F5015" w:rsidP="00ED51AA">
      <w:pPr>
        <w:pStyle w:val="Akapitzlist"/>
        <w:numPr>
          <w:ilvl w:val="0"/>
          <w:numId w:val="53"/>
        </w:numPr>
        <w:spacing w:after="120"/>
        <w:ind w:left="714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liczbie </w:t>
      </w:r>
      <w:r w:rsidR="00087901" w:rsidRPr="00193169">
        <w:rPr>
          <w:rFonts w:ascii="Lato" w:hAnsi="Lato" w:cs="Times New Roman"/>
          <w:sz w:val="21"/>
          <w:szCs w:val="21"/>
        </w:rPr>
        <w:t xml:space="preserve">otrzymanych zgłoszeń o </w:t>
      </w:r>
      <w:r w:rsidRPr="00193169">
        <w:rPr>
          <w:rFonts w:ascii="Lato" w:hAnsi="Lato" w:cs="Times New Roman"/>
          <w:sz w:val="21"/>
          <w:szCs w:val="21"/>
        </w:rPr>
        <w:t>interwencj</w:t>
      </w:r>
      <w:r w:rsidR="00087901" w:rsidRPr="00193169">
        <w:rPr>
          <w:rFonts w:ascii="Lato" w:hAnsi="Lato" w:cs="Times New Roman"/>
          <w:sz w:val="21"/>
          <w:szCs w:val="21"/>
        </w:rPr>
        <w:t xml:space="preserve">ę </w:t>
      </w:r>
      <w:r w:rsidRPr="00193169">
        <w:rPr>
          <w:rFonts w:ascii="Lato" w:hAnsi="Lato" w:cs="Times New Roman"/>
          <w:sz w:val="21"/>
          <w:szCs w:val="21"/>
        </w:rPr>
        <w:t xml:space="preserve">w stosunku do działalności przedsiębiorcy oraz ocenie </w:t>
      </w:r>
      <w:r w:rsidR="00087901" w:rsidRPr="00193169">
        <w:rPr>
          <w:rFonts w:ascii="Lato" w:hAnsi="Lato" w:cs="Times New Roman"/>
          <w:sz w:val="21"/>
          <w:szCs w:val="21"/>
        </w:rPr>
        <w:t xml:space="preserve">ich </w:t>
      </w:r>
      <w:r w:rsidRPr="00193169">
        <w:rPr>
          <w:rFonts w:ascii="Lato" w:hAnsi="Lato" w:cs="Times New Roman"/>
          <w:sz w:val="21"/>
          <w:szCs w:val="21"/>
        </w:rPr>
        <w:t>zasadności.</w:t>
      </w:r>
    </w:p>
    <w:p w14:paraId="2F2C9422" w14:textId="2E107BE8" w:rsidR="00297D0F" w:rsidRPr="00193169" w:rsidRDefault="00297D0F" w:rsidP="00ED51AA">
      <w:pPr>
        <w:pStyle w:val="Akapitzlist"/>
        <w:numPr>
          <w:ilvl w:val="0"/>
          <w:numId w:val="39"/>
        </w:numPr>
        <w:spacing w:before="120" w:after="120"/>
        <w:ind w:left="284" w:hanging="284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Kryteria oceny ryzyka</w:t>
      </w:r>
    </w:p>
    <w:p w14:paraId="0251BED8" w14:textId="700FA394" w:rsidR="00297D0F" w:rsidRPr="00193169" w:rsidRDefault="00297D0F" w:rsidP="00ED51AA">
      <w:pPr>
        <w:spacing w:before="120" w:after="12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Przed sporządzaniem rocznych planów kontroli, dla każdego typu nadzorowanego obiektu dokonuje się analizy prawdopodobieństwa naruszeń prawa i skutków wystąpienia tych naruszeń.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FF5572" w:rsidRPr="00193169" w14:paraId="06A15F50" w14:textId="77777777" w:rsidTr="00297D0F">
        <w:trPr>
          <w:trHeight w:val="316"/>
        </w:trPr>
        <w:tc>
          <w:tcPr>
            <w:tcW w:w="2405" w:type="dxa"/>
            <w:vAlign w:val="center"/>
          </w:tcPr>
          <w:p w14:paraId="15132523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Kryterium</w:t>
            </w:r>
          </w:p>
        </w:tc>
        <w:tc>
          <w:tcPr>
            <w:tcW w:w="5245" w:type="dxa"/>
            <w:vAlign w:val="center"/>
          </w:tcPr>
          <w:p w14:paraId="1A8459D4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Opis</w:t>
            </w:r>
          </w:p>
        </w:tc>
        <w:tc>
          <w:tcPr>
            <w:tcW w:w="1412" w:type="dxa"/>
            <w:vAlign w:val="center"/>
          </w:tcPr>
          <w:p w14:paraId="6276E7A4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Punktacja</w:t>
            </w:r>
          </w:p>
        </w:tc>
      </w:tr>
      <w:tr w:rsidR="00FF5572" w:rsidRPr="00193169" w14:paraId="5BC3F91B" w14:textId="77777777" w:rsidTr="00951B40">
        <w:tc>
          <w:tcPr>
            <w:tcW w:w="2405" w:type="dxa"/>
            <w:vAlign w:val="center"/>
          </w:tcPr>
          <w:p w14:paraId="77D246A4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Prawdopodobieństwo naruszenia prawa</w:t>
            </w:r>
          </w:p>
        </w:tc>
        <w:tc>
          <w:tcPr>
            <w:tcW w:w="5245" w:type="dxa"/>
            <w:vAlign w:val="center"/>
          </w:tcPr>
          <w:p w14:paraId="58ED05D3" w14:textId="684DFD49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Ocena oparta na historii przedsiębiorcy, wcześniejszych wynikach kontroli, rodzaju działalności i jej wpływu na zdrowie publiczne, skala działalności oraz grupa docelowa (dzieci i młodzież), liczbie otrzymanych zgłoszeń o interwencję w stosunku do działalności przedsiębiorcy oraz ocenie ich zasadności, liczbie i częstotliwości stwierdzonych nieprawidłowości,</w:t>
            </w:r>
          </w:p>
        </w:tc>
        <w:tc>
          <w:tcPr>
            <w:tcW w:w="1412" w:type="dxa"/>
            <w:vAlign w:val="center"/>
          </w:tcPr>
          <w:p w14:paraId="1805606C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1 – niskie </w:t>
            </w:r>
          </w:p>
          <w:p w14:paraId="2150D0E0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2 – średnie </w:t>
            </w:r>
          </w:p>
          <w:p w14:paraId="3469D959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3 – wysokie</w:t>
            </w:r>
          </w:p>
        </w:tc>
      </w:tr>
      <w:tr w:rsidR="00FF5572" w:rsidRPr="00193169" w14:paraId="2C40DA91" w14:textId="77777777" w:rsidTr="00951B40">
        <w:tc>
          <w:tcPr>
            <w:tcW w:w="2405" w:type="dxa"/>
            <w:vAlign w:val="center"/>
          </w:tcPr>
          <w:p w14:paraId="08386F7B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Skutek naruszenia</w:t>
            </w:r>
          </w:p>
        </w:tc>
        <w:tc>
          <w:tcPr>
            <w:tcW w:w="5245" w:type="dxa"/>
            <w:vAlign w:val="center"/>
          </w:tcPr>
          <w:p w14:paraId="78198005" w14:textId="143E60C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Skala potencjalnych konsekwencji naruszenia przepisów prawa (zagrożenie dla życia lub zdrowia oraz środowiska).</w:t>
            </w:r>
          </w:p>
        </w:tc>
        <w:tc>
          <w:tcPr>
            <w:tcW w:w="1412" w:type="dxa"/>
            <w:vAlign w:val="center"/>
          </w:tcPr>
          <w:p w14:paraId="055144D1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1 – niski</w:t>
            </w:r>
          </w:p>
          <w:p w14:paraId="19C9C94A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2 – średni</w:t>
            </w:r>
          </w:p>
          <w:p w14:paraId="6D3BDAAC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3 – wysoki</w:t>
            </w:r>
          </w:p>
        </w:tc>
      </w:tr>
    </w:tbl>
    <w:p w14:paraId="4E235C28" w14:textId="77777777" w:rsidR="00193169" w:rsidRDefault="00193169" w:rsidP="00193169">
      <w:pPr>
        <w:pStyle w:val="Akapitzlist"/>
        <w:spacing w:before="240" w:after="120"/>
        <w:ind w:left="425"/>
        <w:rPr>
          <w:rFonts w:ascii="Lato" w:hAnsi="Lato" w:cs="Times New Roman"/>
          <w:b/>
          <w:bCs/>
          <w:sz w:val="21"/>
          <w:szCs w:val="21"/>
        </w:rPr>
      </w:pPr>
    </w:p>
    <w:p w14:paraId="5D3256E2" w14:textId="32D91C67" w:rsidR="00297D0F" w:rsidRPr="00193169" w:rsidRDefault="00297D0F" w:rsidP="00ED51AA">
      <w:pPr>
        <w:pStyle w:val="Akapitzlist"/>
        <w:numPr>
          <w:ilvl w:val="0"/>
          <w:numId w:val="39"/>
        </w:numPr>
        <w:spacing w:before="240" w:after="120"/>
        <w:ind w:left="425" w:hanging="357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lastRenderedPageBreak/>
        <w:t xml:space="preserve">Macierz oceny ryzyka </w:t>
      </w:r>
    </w:p>
    <w:p w14:paraId="6F3C0F6A" w14:textId="23AF4379" w:rsidR="00297D0F" w:rsidRPr="00193169" w:rsidRDefault="00297D0F" w:rsidP="00ED51AA">
      <w:p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Punktacja końcowa służy przypisaniu obiektu do jednej z kategorii ryzyka</w:t>
      </w:r>
      <w:r w:rsidR="00945406" w:rsidRPr="00193169">
        <w:rPr>
          <w:rFonts w:ascii="Lato" w:hAnsi="Lato" w:cs="Times New Roman"/>
          <w:sz w:val="21"/>
          <w:szCs w:val="21"/>
        </w:rPr>
        <w:t>, zgodnie z pkt 5</w:t>
      </w:r>
      <w:r w:rsidRPr="00193169">
        <w:rPr>
          <w:rFonts w:ascii="Lato" w:hAnsi="Lato" w:cs="Times New Roman"/>
          <w:sz w:val="21"/>
          <w:szCs w:val="21"/>
        </w:rPr>
        <w:t>.</w:t>
      </w:r>
    </w:p>
    <w:tbl>
      <w:tblPr>
        <w:tblStyle w:val="Tabela-Siatka"/>
        <w:tblW w:w="4438" w:type="pct"/>
        <w:tblLook w:val="04A0" w:firstRow="1" w:lastRow="0" w:firstColumn="1" w:lastColumn="0" w:noHBand="0" w:noVBand="1"/>
      </w:tblPr>
      <w:tblGrid>
        <w:gridCol w:w="3856"/>
        <w:gridCol w:w="1211"/>
        <w:gridCol w:w="1485"/>
        <w:gridCol w:w="1491"/>
      </w:tblGrid>
      <w:tr w:rsidR="00FF5572" w:rsidRPr="00193169" w14:paraId="57F9879A" w14:textId="77777777" w:rsidTr="00951B40">
        <w:trPr>
          <w:trHeight w:val="1098"/>
        </w:trPr>
        <w:tc>
          <w:tcPr>
            <w:tcW w:w="2397" w:type="pct"/>
            <w:vAlign w:val="center"/>
          </w:tcPr>
          <w:p w14:paraId="6E284440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Skutek </w:t>
            </w:r>
            <w:r w:rsidRPr="00193169">
              <w:rPr>
                <w:rFonts w:ascii="Arial" w:hAnsi="Arial" w:cs="Arial"/>
                <w:b/>
                <w:bCs/>
                <w:sz w:val="21"/>
                <w:szCs w:val="21"/>
              </w:rPr>
              <w:t>↓</w:t>
            </w: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 / Prawdopodobie</w:t>
            </w:r>
            <w:r w:rsidRPr="00193169">
              <w:rPr>
                <w:rFonts w:ascii="Lato" w:hAnsi="Lato" w:cs="Lato"/>
                <w:b/>
                <w:bCs/>
                <w:sz w:val="21"/>
                <w:szCs w:val="21"/>
              </w:rPr>
              <w:t>ń</w:t>
            </w: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 xml:space="preserve">stwo </w:t>
            </w:r>
            <w:r w:rsidRPr="00193169">
              <w:rPr>
                <w:rFonts w:ascii="Arial" w:hAnsi="Arial" w:cs="Arial"/>
                <w:b/>
                <w:bCs/>
                <w:sz w:val="21"/>
                <w:szCs w:val="21"/>
              </w:rPr>
              <w:t>→</w:t>
            </w:r>
          </w:p>
        </w:tc>
        <w:tc>
          <w:tcPr>
            <w:tcW w:w="753" w:type="pct"/>
            <w:vAlign w:val="center"/>
          </w:tcPr>
          <w:p w14:paraId="19CF3713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1 (niskie)</w:t>
            </w:r>
          </w:p>
        </w:tc>
        <w:tc>
          <w:tcPr>
            <w:tcW w:w="923" w:type="pct"/>
            <w:vAlign w:val="center"/>
          </w:tcPr>
          <w:p w14:paraId="3D809611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2 (średnie)</w:t>
            </w:r>
          </w:p>
        </w:tc>
        <w:tc>
          <w:tcPr>
            <w:tcW w:w="927" w:type="pct"/>
            <w:vAlign w:val="center"/>
          </w:tcPr>
          <w:p w14:paraId="0909CC91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3 (wysokie)</w:t>
            </w:r>
          </w:p>
        </w:tc>
      </w:tr>
      <w:tr w:rsidR="00FF5572" w:rsidRPr="00193169" w14:paraId="40C29C4B" w14:textId="77777777" w:rsidTr="00951B40">
        <w:trPr>
          <w:trHeight w:val="365"/>
        </w:trPr>
        <w:tc>
          <w:tcPr>
            <w:tcW w:w="2397" w:type="pct"/>
            <w:vAlign w:val="center"/>
          </w:tcPr>
          <w:p w14:paraId="1AD4103D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1 (niski)</w:t>
            </w:r>
          </w:p>
        </w:tc>
        <w:tc>
          <w:tcPr>
            <w:tcW w:w="753" w:type="pct"/>
            <w:vAlign w:val="center"/>
          </w:tcPr>
          <w:p w14:paraId="547FC036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1</w:t>
            </w:r>
          </w:p>
        </w:tc>
        <w:tc>
          <w:tcPr>
            <w:tcW w:w="923" w:type="pct"/>
            <w:vAlign w:val="center"/>
          </w:tcPr>
          <w:p w14:paraId="43FDBF78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2</w:t>
            </w:r>
          </w:p>
        </w:tc>
        <w:tc>
          <w:tcPr>
            <w:tcW w:w="927" w:type="pct"/>
            <w:vAlign w:val="center"/>
          </w:tcPr>
          <w:p w14:paraId="78A72EFD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3</w:t>
            </w:r>
          </w:p>
        </w:tc>
      </w:tr>
      <w:tr w:rsidR="00FF5572" w:rsidRPr="00193169" w14:paraId="03790780" w14:textId="77777777" w:rsidTr="00951B40">
        <w:trPr>
          <w:trHeight w:val="349"/>
        </w:trPr>
        <w:tc>
          <w:tcPr>
            <w:tcW w:w="2397" w:type="pct"/>
            <w:vAlign w:val="center"/>
          </w:tcPr>
          <w:p w14:paraId="04F2B0CE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2 (średni)</w:t>
            </w:r>
          </w:p>
        </w:tc>
        <w:tc>
          <w:tcPr>
            <w:tcW w:w="753" w:type="pct"/>
            <w:vAlign w:val="center"/>
          </w:tcPr>
          <w:p w14:paraId="6D759438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2</w:t>
            </w:r>
          </w:p>
        </w:tc>
        <w:tc>
          <w:tcPr>
            <w:tcW w:w="923" w:type="pct"/>
            <w:vAlign w:val="center"/>
          </w:tcPr>
          <w:p w14:paraId="52C409D3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4</w:t>
            </w:r>
          </w:p>
        </w:tc>
        <w:tc>
          <w:tcPr>
            <w:tcW w:w="927" w:type="pct"/>
            <w:vAlign w:val="center"/>
          </w:tcPr>
          <w:p w14:paraId="45B9C9A1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6</w:t>
            </w:r>
          </w:p>
        </w:tc>
      </w:tr>
      <w:tr w:rsidR="00FF5572" w:rsidRPr="00193169" w14:paraId="22876272" w14:textId="77777777" w:rsidTr="00951B40">
        <w:trPr>
          <w:trHeight w:val="365"/>
        </w:trPr>
        <w:tc>
          <w:tcPr>
            <w:tcW w:w="2397" w:type="pct"/>
            <w:vAlign w:val="center"/>
          </w:tcPr>
          <w:p w14:paraId="55215D17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3 (wysoki)</w:t>
            </w:r>
          </w:p>
        </w:tc>
        <w:tc>
          <w:tcPr>
            <w:tcW w:w="753" w:type="pct"/>
            <w:vAlign w:val="center"/>
          </w:tcPr>
          <w:p w14:paraId="7BFD1FE8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3</w:t>
            </w:r>
          </w:p>
        </w:tc>
        <w:tc>
          <w:tcPr>
            <w:tcW w:w="923" w:type="pct"/>
            <w:vAlign w:val="center"/>
          </w:tcPr>
          <w:p w14:paraId="38BDFE58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6</w:t>
            </w:r>
          </w:p>
        </w:tc>
        <w:tc>
          <w:tcPr>
            <w:tcW w:w="927" w:type="pct"/>
            <w:vAlign w:val="center"/>
          </w:tcPr>
          <w:p w14:paraId="6BD34192" w14:textId="77777777" w:rsidR="00297D0F" w:rsidRPr="00193169" w:rsidRDefault="00297D0F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9</w:t>
            </w:r>
          </w:p>
        </w:tc>
      </w:tr>
    </w:tbl>
    <w:p w14:paraId="40C44312" w14:textId="0791D3E4" w:rsidR="00297D0F" w:rsidRPr="00193169" w:rsidRDefault="00297D0F" w:rsidP="00ED51AA">
      <w:pPr>
        <w:pStyle w:val="Akapitzlist"/>
        <w:numPr>
          <w:ilvl w:val="0"/>
          <w:numId w:val="39"/>
        </w:numPr>
        <w:spacing w:before="240" w:after="120"/>
        <w:ind w:left="426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Klasyfikacja ryzyka</w:t>
      </w:r>
      <w:r w:rsidR="00945406" w:rsidRPr="00193169">
        <w:rPr>
          <w:rFonts w:ascii="Lato" w:hAnsi="Lato" w:cs="Times New Roman"/>
          <w:b/>
          <w:bCs/>
          <w:sz w:val="21"/>
          <w:szCs w:val="21"/>
        </w:rPr>
        <w:t xml:space="preserve"> a częstotliwość kontroli planowanych</w:t>
      </w:r>
    </w:p>
    <w:p w14:paraId="276738BC" w14:textId="61C52F1F" w:rsidR="00945406" w:rsidRPr="00193169" w:rsidRDefault="00945406" w:rsidP="00ED51AA">
      <w:pPr>
        <w:spacing w:before="120" w:after="24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Ryzyko to prawdopodobieństwo wystąpienia szczególnego zagrożenia obniżenia bezpieczeństwa dla ochrony zdrowia lub życia oraz ochrony środowiska. </w:t>
      </w:r>
    </w:p>
    <w:p w14:paraId="31A48EB9" w14:textId="164C6DA6" w:rsidR="001F5015" w:rsidRPr="00193169" w:rsidRDefault="00945406" w:rsidP="00ED51AA">
      <w:pPr>
        <w:spacing w:before="120" w:after="24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Kategorię ryzyka stanowi wynik punktowy określony na podstawie iloczynu skutku naruszenia przepisów i prawdopodobieństwa wystąpienia naruszenia przepisów sanitarnych.</w:t>
      </w:r>
    </w:p>
    <w:tbl>
      <w:tblPr>
        <w:tblStyle w:val="Tabela-Siatka"/>
        <w:tblW w:w="9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1848"/>
      </w:tblGrid>
      <w:tr w:rsidR="00FF5572" w:rsidRPr="00193169" w14:paraId="6E24B6EC" w14:textId="77777777" w:rsidTr="00995CE0">
        <w:tc>
          <w:tcPr>
            <w:tcW w:w="1418" w:type="dxa"/>
            <w:vAlign w:val="center"/>
          </w:tcPr>
          <w:p w14:paraId="5F93340D" w14:textId="2AE51B83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Kategoria ryzyka</w:t>
            </w:r>
            <w:r w:rsidR="00945406"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 xml:space="preserve"> </w:t>
            </w:r>
            <w:r w:rsidR="00945406" w:rsidRPr="00193169">
              <w:rPr>
                <w:rFonts w:ascii="Lato" w:hAnsi="Lato" w:cs="Times New Roman"/>
                <w:b/>
                <w:bCs/>
                <w:sz w:val="21"/>
                <w:szCs w:val="21"/>
              </w:rPr>
              <w:t>wynikająca z uzyskanej punktacji / wynik punktowy</w:t>
            </w:r>
          </w:p>
        </w:tc>
        <w:tc>
          <w:tcPr>
            <w:tcW w:w="5953" w:type="dxa"/>
            <w:vAlign w:val="center"/>
          </w:tcPr>
          <w:p w14:paraId="2D40B97B" w14:textId="7706D6ED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Przykładowe obiekty / działalność</w:t>
            </w:r>
          </w:p>
        </w:tc>
        <w:tc>
          <w:tcPr>
            <w:tcW w:w="1848" w:type="dxa"/>
            <w:vAlign w:val="center"/>
          </w:tcPr>
          <w:p w14:paraId="27186699" w14:textId="5C703988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Częstotliwość kontroli planowej</w:t>
            </w:r>
          </w:p>
        </w:tc>
      </w:tr>
      <w:tr w:rsidR="00FF5572" w:rsidRPr="00193169" w14:paraId="46550294" w14:textId="77777777" w:rsidTr="00995CE0">
        <w:tc>
          <w:tcPr>
            <w:tcW w:w="1418" w:type="dxa"/>
            <w:vAlign w:val="center"/>
          </w:tcPr>
          <w:p w14:paraId="3F8FF48C" w14:textId="77777777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Niskie</w:t>
            </w:r>
          </w:p>
          <w:p w14:paraId="6EF724EA" w14:textId="253C8E6D" w:rsidR="00945406" w:rsidRPr="00193169" w:rsidRDefault="00945406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 xml:space="preserve">ryzyko </w:t>
            </w:r>
          </w:p>
          <w:p w14:paraId="118A768C" w14:textId="6BF9F349" w:rsidR="00945406" w:rsidRPr="00193169" w:rsidRDefault="00945406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(1 – 2 pkt)</w:t>
            </w:r>
          </w:p>
        </w:tc>
        <w:tc>
          <w:tcPr>
            <w:tcW w:w="5953" w:type="dxa"/>
            <w:vAlign w:val="center"/>
          </w:tcPr>
          <w:p w14:paraId="07F28140" w14:textId="7D4F3139" w:rsidR="00074DBF" w:rsidRPr="00193169" w:rsidRDefault="0047157E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p</w:t>
            </w:r>
            <w:r w:rsidR="00074DBF" w:rsidRPr="00193169">
              <w:rPr>
                <w:rFonts w:ascii="Lato" w:hAnsi="Lato" w:cs="Times New Roman"/>
                <w:sz w:val="21"/>
                <w:szCs w:val="21"/>
              </w:rPr>
              <w:t>lacówki wsparcia dziennego; młodzieżowe domy kultury i pałace młodzieży; ogniska pracy pozaszkolnej; ogrody jordanowskie; placówki zajmujące się wspomaganiem terapeutycznym dzieci i młodzieży (poradnie</w:t>
            </w:r>
            <w:r w:rsidR="000A3219" w:rsidRPr="00193169">
              <w:rPr>
                <w:rFonts w:ascii="Lato" w:hAnsi="Lato" w:cs="Times New Roman"/>
                <w:sz w:val="21"/>
                <w:szCs w:val="21"/>
              </w:rPr>
              <w:t xml:space="preserve"> </w:t>
            </w:r>
            <w:r w:rsidR="00074DBF" w:rsidRPr="00193169">
              <w:rPr>
                <w:rFonts w:ascii="Lato" w:hAnsi="Lato" w:cs="Times New Roman"/>
                <w:sz w:val="21"/>
                <w:szCs w:val="21"/>
              </w:rPr>
              <w:t>psychologiczno-pedagogiczne, centra pomocy psychologiczno-pedagogicznej, centra wspierania edukacji, itp.); szkoły muzyczne realizujące wyłącznie kształcenie artystyczne</w:t>
            </w:r>
            <w:r w:rsidR="000A3219" w:rsidRPr="00193169">
              <w:rPr>
                <w:rFonts w:ascii="Lato" w:hAnsi="Lato" w:cs="Times New Roman"/>
                <w:sz w:val="21"/>
                <w:szCs w:val="21"/>
              </w:rPr>
              <w:t>.</w:t>
            </w:r>
          </w:p>
        </w:tc>
        <w:tc>
          <w:tcPr>
            <w:tcW w:w="1848" w:type="dxa"/>
            <w:vAlign w:val="center"/>
          </w:tcPr>
          <w:p w14:paraId="7D55240D" w14:textId="55409B1F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5 lat</w:t>
            </w:r>
          </w:p>
        </w:tc>
      </w:tr>
      <w:tr w:rsidR="00FF5572" w:rsidRPr="00193169" w14:paraId="5083D5FD" w14:textId="77777777" w:rsidTr="00995CE0">
        <w:tc>
          <w:tcPr>
            <w:tcW w:w="1418" w:type="dxa"/>
            <w:vAlign w:val="center"/>
          </w:tcPr>
          <w:p w14:paraId="63F48985" w14:textId="77777777" w:rsidR="00945406" w:rsidRPr="00193169" w:rsidRDefault="00074DBF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Średnie</w:t>
            </w:r>
            <w:r w:rsidR="00945406"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 xml:space="preserve"> ryzyko</w:t>
            </w:r>
          </w:p>
          <w:p w14:paraId="4650CB58" w14:textId="04F103E5" w:rsidR="00945406" w:rsidRPr="00193169" w:rsidRDefault="00945406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(3 – 5 pkt)</w:t>
            </w:r>
          </w:p>
        </w:tc>
        <w:tc>
          <w:tcPr>
            <w:tcW w:w="5953" w:type="dxa"/>
            <w:vAlign w:val="center"/>
          </w:tcPr>
          <w:p w14:paraId="06D6A5CA" w14:textId="550D1B43" w:rsidR="000A3219" w:rsidRPr="00193169" w:rsidRDefault="0047157E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s</w:t>
            </w:r>
            <w:r w:rsidR="00074DBF" w:rsidRPr="00193169">
              <w:rPr>
                <w:rFonts w:ascii="Lato" w:hAnsi="Lato" w:cs="Times New Roman"/>
                <w:sz w:val="21"/>
                <w:szCs w:val="21"/>
              </w:rPr>
              <w:t>zkoły wszystkich typów oraz szkoły wyższe, które nie posiadają niebezpiecznych substancji chemicznych i ich mieszanin i nie prowadzą z nimi doświadczeń – do tej grupy zalicza się również szkoły artystyczne, które realizują podstawę programową w danym zakresie; miejsca zakwaterowania, w których przybywają dzieci i młodzież (samodzielne domy studenckie, internaty i bursy, schroniska młodzieżowe); domy wczasów dziecięcych; specjalne ośrodki wychowawcze; specjalne ośrodki szkolno-wychowawcze; młodzieżowe ośrodki wychowawcze; młodzieżowe ośrodki socjoterapii; placówki opiekuńczo-wychowawcze; domy pomocy społecznej; sale/salony zabaw; tzw. „małpie gaje”</w:t>
            </w:r>
            <w:r w:rsidR="00B66823"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0A3219" w:rsidRPr="00193169">
              <w:rPr>
                <w:rFonts w:ascii="Lato" w:hAnsi="Lato" w:cs="Times New Roman"/>
                <w:sz w:val="21"/>
                <w:szCs w:val="21"/>
              </w:rPr>
              <w:t xml:space="preserve"> turnusy sezonowego wypoczynku dzieci i młodzieży (wypoczynek w miejscu</w:t>
            </w:r>
          </w:p>
          <w:p w14:paraId="2495D82C" w14:textId="6220586F" w:rsidR="00074DBF" w:rsidRPr="00193169" w:rsidRDefault="000A3219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zamieszkania); zielone/białe szkoły.</w:t>
            </w:r>
          </w:p>
        </w:tc>
        <w:tc>
          <w:tcPr>
            <w:tcW w:w="1848" w:type="dxa"/>
            <w:vAlign w:val="center"/>
          </w:tcPr>
          <w:p w14:paraId="2392C45C" w14:textId="4F301F8B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3 lat</w:t>
            </w:r>
          </w:p>
        </w:tc>
      </w:tr>
      <w:tr w:rsidR="00FF5572" w:rsidRPr="00193169" w14:paraId="48C4B433" w14:textId="77777777" w:rsidTr="00995CE0">
        <w:tc>
          <w:tcPr>
            <w:tcW w:w="1418" w:type="dxa"/>
            <w:vAlign w:val="center"/>
          </w:tcPr>
          <w:p w14:paraId="3ADBD36B" w14:textId="77777777" w:rsidR="00074DBF" w:rsidRPr="00193169" w:rsidRDefault="00074DBF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Wysokie</w:t>
            </w:r>
            <w:r w:rsidR="000A3219"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 xml:space="preserve"> ryzyko </w:t>
            </w:r>
          </w:p>
          <w:p w14:paraId="6CB51935" w14:textId="72BAE7C4" w:rsidR="000A3219" w:rsidRPr="00193169" w:rsidRDefault="000A3219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 xml:space="preserve">(6 – 9 pkt) </w:t>
            </w:r>
          </w:p>
        </w:tc>
        <w:tc>
          <w:tcPr>
            <w:tcW w:w="5953" w:type="dxa"/>
            <w:vAlign w:val="center"/>
          </w:tcPr>
          <w:p w14:paraId="7A94FF56" w14:textId="0194849E" w:rsidR="00074DBF" w:rsidRPr="00193169" w:rsidRDefault="0047157E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p</w:t>
            </w:r>
            <w:r w:rsidR="00074DBF" w:rsidRPr="00193169">
              <w:rPr>
                <w:rFonts w:ascii="Lato" w:hAnsi="Lato" w:cs="Times New Roman"/>
                <w:sz w:val="21"/>
                <w:szCs w:val="21"/>
              </w:rPr>
              <w:t xml:space="preserve">lacówki opieki nad dziećmi do lat 3 (żłobki, kluby dziecięce); placówki wychowania przedszkolnego (przedszkola, punkty przedszkolne, zespoły wychowania przedszkolnego); szkoły wszystkich typów, w których obecne są szkodliwe substancje chemiczne wykorzystywane w trakcie doświadczeń </w:t>
            </w:r>
            <w:r w:rsidR="00074DBF" w:rsidRPr="00193169">
              <w:rPr>
                <w:rFonts w:ascii="Lato" w:hAnsi="Lato" w:cs="Times New Roman"/>
                <w:sz w:val="21"/>
                <w:szCs w:val="21"/>
              </w:rPr>
              <w:lastRenderedPageBreak/>
              <w:t>wykonywanych zarówno przez uczniów, jak również w ramach pokazu przez nauczyciela; szkoły wyższe w których obecne są szkodliwe substancje chemiczne wykorzystywane w trakcie doświadczeń wykonywanych zarówno przez studentów, jak również w ramach pokazu przez wykładowców; szkoły wszystkich typów oraz szkoły wyższe kształcące w kierunkach na których może dojść do zakażeń materiałem biologicznym uczniów, studentów, nauczycieli wykładowców (technika weterynaryjne, szkoły kształcące w kierunkach weterynaryjnych i medycznych); placówki praktycznej nauki zawodu, w których prowadzona jest nauka praktycznej nauki zawodu, gdzie występują czynniki szkodliwe (bez względu na wysokość najwyższych stężeń i natężeń występujących w tym środowisku); placówki praktycznej nauki zawodu, w których w ramach programu nauczania może dojść do przerwania ciągłości ludzkich tkanek (np. kosmetyczki); turnusy sezonowego wypoczynku dzieci i młodzieży</w:t>
            </w:r>
            <w:r w:rsidR="000A3219" w:rsidRPr="00193169">
              <w:rPr>
                <w:rFonts w:ascii="Lato" w:hAnsi="Lato" w:cs="Times New Roman"/>
                <w:sz w:val="21"/>
                <w:szCs w:val="21"/>
              </w:rPr>
              <w:t xml:space="preserve"> (wypoczynek w formie wyjazdowej).</w:t>
            </w:r>
          </w:p>
        </w:tc>
        <w:tc>
          <w:tcPr>
            <w:tcW w:w="1848" w:type="dxa"/>
            <w:vAlign w:val="center"/>
          </w:tcPr>
          <w:p w14:paraId="41147476" w14:textId="704FC368" w:rsidR="00074DBF" w:rsidRPr="00193169" w:rsidRDefault="00074DBF" w:rsidP="00ED51AA">
            <w:pPr>
              <w:pStyle w:val="Akapitzlist"/>
              <w:spacing w:before="120" w:after="120"/>
              <w:ind w:left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lastRenderedPageBreak/>
              <w:t xml:space="preserve">Tak często jak jest to konieczne dla zapewnienia skutecznego 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lastRenderedPageBreak/>
              <w:t>stosowania odpowiednich przepisów, z uwzględnieniem wysokiego ryzyka wystąpienia nieprawidłowości oraz środków niezbędnych do jego ograniczania</w:t>
            </w:r>
          </w:p>
        </w:tc>
      </w:tr>
    </w:tbl>
    <w:p w14:paraId="10D0E2F2" w14:textId="77777777" w:rsidR="00074DBF" w:rsidRPr="00193169" w:rsidRDefault="00074DBF" w:rsidP="00ED51AA">
      <w:pPr>
        <w:pStyle w:val="Akapitzlist"/>
        <w:spacing w:before="120" w:after="120"/>
        <w:ind w:left="284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20A97257" w14:textId="77777777" w:rsidR="00BB6B6F" w:rsidRPr="00193169" w:rsidRDefault="00BB6B6F" w:rsidP="00ED51AA">
      <w:pPr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453E339A" w14:textId="75F381D2" w:rsidR="000A3219" w:rsidRPr="00193169" w:rsidRDefault="000A3219" w:rsidP="00ED51AA">
      <w:pPr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br w:type="page"/>
      </w:r>
    </w:p>
    <w:p w14:paraId="5B11DCA1" w14:textId="23267B95" w:rsidR="007435AB" w:rsidRPr="00193169" w:rsidRDefault="007435AB" w:rsidP="00FF5572">
      <w:pPr>
        <w:spacing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lastRenderedPageBreak/>
        <w:t xml:space="preserve">Załącznik </w:t>
      </w:r>
      <w:r w:rsidR="00A27955" w:rsidRPr="00193169">
        <w:rPr>
          <w:rFonts w:ascii="Lato" w:hAnsi="Lato" w:cs="Times New Roman"/>
          <w:sz w:val="21"/>
          <w:szCs w:val="21"/>
        </w:rPr>
        <w:t>n</w:t>
      </w:r>
      <w:r w:rsidRPr="00193169">
        <w:rPr>
          <w:rFonts w:ascii="Lato" w:hAnsi="Lato" w:cs="Times New Roman"/>
          <w:sz w:val="21"/>
          <w:szCs w:val="21"/>
        </w:rPr>
        <w:t xml:space="preserve">r </w:t>
      </w:r>
      <w:r w:rsidR="00696A3A" w:rsidRPr="00193169">
        <w:rPr>
          <w:rFonts w:ascii="Lato" w:hAnsi="Lato" w:cs="Times New Roman"/>
          <w:sz w:val="21"/>
          <w:szCs w:val="21"/>
        </w:rPr>
        <w:t>3</w:t>
      </w:r>
    </w:p>
    <w:p w14:paraId="493B5482" w14:textId="165FC8D1" w:rsidR="007435AB" w:rsidRPr="00193169" w:rsidRDefault="007435AB" w:rsidP="00ED51AA">
      <w:pPr>
        <w:spacing w:after="0" w:line="240" w:lineRule="auto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 Procedury klasyfikacji ryzyka w działalności kontrolnej</w:t>
      </w:r>
      <w:r w:rsidRPr="00193169">
        <w:rPr>
          <w:rFonts w:ascii="Lato" w:hAnsi="Lato" w:cs="TimesNewRomanPSMT"/>
          <w:kern w:val="0"/>
          <w:sz w:val="21"/>
          <w:szCs w:val="21"/>
        </w:rPr>
        <w:br/>
      </w:r>
    </w:p>
    <w:p w14:paraId="59405B5E" w14:textId="2A22063E" w:rsidR="00AA094B" w:rsidRPr="00193169" w:rsidRDefault="00FA33A3" w:rsidP="00ED51AA">
      <w:pPr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OBSZAR </w:t>
      </w:r>
      <w:r w:rsidRPr="00193169">
        <w:rPr>
          <w:rFonts w:ascii="Lato" w:hAnsi="Lato" w:cs="Times New Roman"/>
          <w:b/>
          <w:bCs/>
          <w:sz w:val="21"/>
          <w:szCs w:val="21"/>
        </w:rPr>
        <w:t>HIGIENY PRACY ORAZ NADZORU NAD CHEMIKALIAMI, PRODUKTAMI BIOBÓJCZYMI I PRODUKTAMI KOSMETYCZNYMI</w:t>
      </w:r>
    </w:p>
    <w:p w14:paraId="40BC7BC8" w14:textId="44F898B6" w:rsidR="0084459C" w:rsidRPr="00193169" w:rsidRDefault="00B91D2C" w:rsidP="00B91D2C">
      <w:pPr>
        <w:pStyle w:val="Akapitzlist"/>
        <w:numPr>
          <w:ilvl w:val="2"/>
          <w:numId w:val="47"/>
        </w:numPr>
        <w:spacing w:before="120" w:after="120"/>
        <w:ind w:left="284" w:hanging="142"/>
        <w:contextualSpacing w:val="0"/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 New Roman"/>
          <w:b/>
          <w:bCs/>
          <w:sz w:val="21"/>
          <w:szCs w:val="21"/>
        </w:rPr>
        <w:t>HIGIENA PRACY</w:t>
      </w:r>
    </w:p>
    <w:p w14:paraId="60D85043" w14:textId="503E0BB9" w:rsidR="00E96B9F" w:rsidRPr="00193169" w:rsidRDefault="00E96B9F" w:rsidP="00ED51AA">
      <w:pPr>
        <w:pStyle w:val="Akapitzlist"/>
        <w:numPr>
          <w:ilvl w:val="0"/>
          <w:numId w:val="40"/>
        </w:numPr>
        <w:spacing w:before="120" w:after="120"/>
        <w:ind w:left="426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Zakres</w:t>
      </w:r>
      <w:r w:rsidR="00985347"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: </w:t>
      </w:r>
      <w:r w:rsidR="00985347" w:rsidRPr="00193169">
        <w:rPr>
          <w:rFonts w:ascii="Lato" w:hAnsi="Lato" w:cs="TimesNewRomanPSMT"/>
          <w:kern w:val="0"/>
          <w:sz w:val="21"/>
          <w:szCs w:val="21"/>
        </w:rPr>
        <w:t>dotyczy higieny pracy</w:t>
      </w:r>
    </w:p>
    <w:p w14:paraId="658C0662" w14:textId="77777777" w:rsidR="00E96B9F" w:rsidRPr="00193169" w:rsidRDefault="00E96B9F" w:rsidP="00ED51AA">
      <w:pPr>
        <w:pStyle w:val="Akapitzlist"/>
        <w:numPr>
          <w:ilvl w:val="0"/>
          <w:numId w:val="40"/>
        </w:numPr>
        <w:spacing w:before="120" w:after="120"/>
        <w:ind w:left="426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Ocena ryzyka</w:t>
      </w:r>
    </w:p>
    <w:p w14:paraId="27901A9A" w14:textId="77777777" w:rsidR="00985347" w:rsidRPr="00193169" w:rsidRDefault="00985347" w:rsidP="00ED51AA">
      <w:p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Ocena ryzyka opiera się na:</w:t>
      </w:r>
    </w:p>
    <w:p w14:paraId="5E593BAB" w14:textId="77777777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wielkości zatrudnienia,</w:t>
      </w:r>
    </w:p>
    <w:p w14:paraId="2052F207" w14:textId="4FA87C04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występowani</w:t>
      </w:r>
      <w:r w:rsidR="00FA33A3" w:rsidRPr="00193169">
        <w:rPr>
          <w:rFonts w:ascii="Lato" w:hAnsi="Lato" w:cs="Times New Roman"/>
          <w:sz w:val="21"/>
          <w:szCs w:val="21"/>
        </w:rPr>
        <w:t>u</w:t>
      </w:r>
      <w:r w:rsidRPr="00193169">
        <w:rPr>
          <w:rFonts w:ascii="Lato" w:hAnsi="Lato" w:cs="Times New Roman"/>
          <w:sz w:val="21"/>
          <w:szCs w:val="21"/>
        </w:rPr>
        <w:t xml:space="preserve"> czynników szkodliwych dla zdrowia i uciążliwych w środowisku pracy,</w:t>
      </w:r>
    </w:p>
    <w:p w14:paraId="291BC764" w14:textId="60B433FC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 występowani</w:t>
      </w:r>
      <w:r w:rsidR="00FA33A3" w:rsidRPr="00193169">
        <w:rPr>
          <w:rFonts w:ascii="Lato" w:hAnsi="Lato" w:cs="Times New Roman"/>
          <w:sz w:val="21"/>
          <w:szCs w:val="21"/>
        </w:rPr>
        <w:t>u</w:t>
      </w:r>
      <w:r w:rsidRPr="00193169">
        <w:rPr>
          <w:rFonts w:ascii="Lato" w:hAnsi="Lato" w:cs="Times New Roman"/>
          <w:sz w:val="21"/>
          <w:szCs w:val="21"/>
        </w:rPr>
        <w:t xml:space="preserve"> przekroczeń najwyższych dopuszczalnych stężeń (NDS) i najwyższych dopuszczalnych natężeń (NDN) czynników szkodliwych dla zdrowia w środowisku pracy, </w:t>
      </w:r>
    </w:p>
    <w:p w14:paraId="29BD20CB" w14:textId="4344B2EF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naraż</w:t>
      </w:r>
      <w:r w:rsidR="00FA33A3" w:rsidRPr="00193169">
        <w:rPr>
          <w:rFonts w:ascii="Lato" w:hAnsi="Lato" w:cs="Times New Roman"/>
          <w:sz w:val="21"/>
          <w:szCs w:val="21"/>
        </w:rPr>
        <w:t>e</w:t>
      </w:r>
      <w:r w:rsidRPr="00193169">
        <w:rPr>
          <w:rFonts w:ascii="Lato" w:hAnsi="Lato" w:cs="Times New Roman"/>
          <w:sz w:val="21"/>
          <w:szCs w:val="21"/>
        </w:rPr>
        <w:t>ni</w:t>
      </w:r>
      <w:r w:rsidR="00FA33A3" w:rsidRPr="00193169">
        <w:rPr>
          <w:rFonts w:ascii="Lato" w:hAnsi="Lato" w:cs="Times New Roman"/>
          <w:sz w:val="21"/>
          <w:szCs w:val="21"/>
        </w:rPr>
        <w:t>u</w:t>
      </w:r>
      <w:r w:rsidRPr="00193169">
        <w:rPr>
          <w:rFonts w:ascii="Lato" w:hAnsi="Lato" w:cs="Times New Roman"/>
          <w:sz w:val="21"/>
          <w:szCs w:val="21"/>
        </w:rPr>
        <w:t xml:space="preserve"> na czynniki rakotwórcze, mutagenne lub </w:t>
      </w:r>
      <w:proofErr w:type="spellStart"/>
      <w:r w:rsidRPr="00193169">
        <w:rPr>
          <w:rFonts w:ascii="Lato" w:hAnsi="Lato" w:cs="Times New Roman"/>
          <w:sz w:val="21"/>
          <w:szCs w:val="21"/>
        </w:rPr>
        <w:t>reprotoksyczne</w:t>
      </w:r>
      <w:proofErr w:type="spellEnd"/>
      <w:r w:rsidRPr="00193169">
        <w:rPr>
          <w:rFonts w:ascii="Lato" w:hAnsi="Lato" w:cs="Times New Roman"/>
          <w:sz w:val="21"/>
          <w:szCs w:val="21"/>
        </w:rPr>
        <w:t>,</w:t>
      </w:r>
    </w:p>
    <w:p w14:paraId="579FE0F0" w14:textId="77777777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częstotliwości stwierdzanych nieprawidłowości, </w:t>
      </w:r>
    </w:p>
    <w:p w14:paraId="2B85452F" w14:textId="77777777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wzmożonym występowaniu chorób zawodowych, </w:t>
      </w:r>
    </w:p>
    <w:p w14:paraId="32BBE86D" w14:textId="77777777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stosowaniu substancji chemicznych i ich mieszanin stwarzających zagrożenie dla zdrowia, </w:t>
      </w:r>
    </w:p>
    <w:p w14:paraId="6DD07AF5" w14:textId="77777777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stosowaniu produktów biobójczych,</w:t>
      </w:r>
    </w:p>
    <w:p w14:paraId="7209EF47" w14:textId="77777777" w:rsidR="00985347" w:rsidRPr="00193169" w:rsidRDefault="00985347" w:rsidP="00ED51AA">
      <w:pPr>
        <w:pStyle w:val="Akapitzlist"/>
        <w:numPr>
          <w:ilvl w:val="0"/>
          <w:numId w:val="8"/>
        </w:numPr>
        <w:ind w:left="426" w:hanging="284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stosowaniu prekursorów narkotyków,</w:t>
      </w:r>
    </w:p>
    <w:p w14:paraId="00B05C57" w14:textId="31F0BDD4" w:rsidR="00985347" w:rsidRPr="00193169" w:rsidRDefault="00985347" w:rsidP="00ED51AA">
      <w:pPr>
        <w:pStyle w:val="Akapitzlist"/>
        <w:numPr>
          <w:ilvl w:val="0"/>
          <w:numId w:val="8"/>
        </w:numPr>
        <w:spacing w:after="120"/>
        <w:ind w:left="426" w:hanging="284"/>
        <w:contextualSpacing w:val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występowani</w:t>
      </w:r>
      <w:r w:rsidR="00FA33A3" w:rsidRPr="00193169">
        <w:rPr>
          <w:rFonts w:ascii="Lato" w:hAnsi="Lato" w:cs="Times New Roman"/>
          <w:sz w:val="21"/>
          <w:szCs w:val="21"/>
        </w:rPr>
        <w:t>u</w:t>
      </w:r>
      <w:r w:rsidRPr="00193169">
        <w:rPr>
          <w:rFonts w:ascii="Lato" w:hAnsi="Lato" w:cs="Times New Roman"/>
          <w:sz w:val="21"/>
          <w:szCs w:val="21"/>
        </w:rPr>
        <w:t xml:space="preserve"> szkodliwych czynników biologicznych</w:t>
      </w:r>
      <w:r w:rsidR="00FA33A3" w:rsidRPr="00193169">
        <w:rPr>
          <w:rFonts w:ascii="Lato" w:hAnsi="Lato" w:cs="Times New Roman"/>
          <w:sz w:val="21"/>
          <w:szCs w:val="21"/>
        </w:rPr>
        <w:t>.</w:t>
      </w:r>
    </w:p>
    <w:p w14:paraId="5F0E6BDD" w14:textId="21D623FD" w:rsidR="00FA33A3" w:rsidRPr="00193169" w:rsidRDefault="00FA33A3" w:rsidP="00ED51AA">
      <w:pPr>
        <w:pStyle w:val="Akapitzlist"/>
        <w:numPr>
          <w:ilvl w:val="0"/>
          <w:numId w:val="40"/>
        </w:numPr>
        <w:spacing w:before="120"/>
        <w:ind w:left="425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Kategorie ryzyka a częstotliwość kontroli planowanych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5817"/>
        <w:gridCol w:w="1984"/>
      </w:tblGrid>
      <w:tr w:rsidR="00FF5572" w:rsidRPr="00193169" w14:paraId="6AE08995" w14:textId="77777777" w:rsidTr="00995CE0">
        <w:tc>
          <w:tcPr>
            <w:tcW w:w="1271" w:type="dxa"/>
            <w:vAlign w:val="center"/>
          </w:tcPr>
          <w:p w14:paraId="63BDB039" w14:textId="77777777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Kategoria ryzyka</w:t>
            </w:r>
          </w:p>
        </w:tc>
        <w:tc>
          <w:tcPr>
            <w:tcW w:w="5817" w:type="dxa"/>
            <w:vAlign w:val="center"/>
          </w:tcPr>
          <w:p w14:paraId="7F1E6314" w14:textId="3D9F7F7A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 xml:space="preserve">Przykładowe </w:t>
            </w:r>
            <w:r w:rsidR="005661FB"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zakłady</w:t>
            </w:r>
          </w:p>
        </w:tc>
        <w:tc>
          <w:tcPr>
            <w:tcW w:w="1984" w:type="dxa"/>
            <w:vAlign w:val="center"/>
          </w:tcPr>
          <w:p w14:paraId="4BCBF771" w14:textId="77777777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Częstotliwość kontroli planowej</w:t>
            </w:r>
          </w:p>
        </w:tc>
      </w:tr>
      <w:tr w:rsidR="00FF5572" w:rsidRPr="00193169" w14:paraId="597D7BAA" w14:textId="77777777" w:rsidTr="00995CE0">
        <w:tc>
          <w:tcPr>
            <w:tcW w:w="1271" w:type="dxa"/>
            <w:vAlign w:val="center"/>
          </w:tcPr>
          <w:p w14:paraId="430B09AC" w14:textId="77777777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Niskie</w:t>
            </w:r>
          </w:p>
        </w:tc>
        <w:tc>
          <w:tcPr>
            <w:tcW w:w="5817" w:type="dxa"/>
            <w:vAlign w:val="center"/>
          </w:tcPr>
          <w:p w14:paraId="197EDEBB" w14:textId="3C756FB6" w:rsidR="00FA33A3" w:rsidRPr="00193169" w:rsidRDefault="005661FB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zakłady, w których podczas wstępnej oceny nie stwierdzono występowania czynników szkodliwych dla zdrowia;</w:t>
            </w:r>
          </w:p>
        </w:tc>
        <w:tc>
          <w:tcPr>
            <w:tcW w:w="1984" w:type="dxa"/>
            <w:vAlign w:val="center"/>
          </w:tcPr>
          <w:p w14:paraId="33337E35" w14:textId="6AE638FF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5 lat</w:t>
            </w:r>
          </w:p>
        </w:tc>
      </w:tr>
      <w:tr w:rsidR="00FF5572" w:rsidRPr="00193169" w14:paraId="3C87CFC2" w14:textId="77777777" w:rsidTr="00995CE0">
        <w:tc>
          <w:tcPr>
            <w:tcW w:w="1271" w:type="dxa"/>
            <w:vAlign w:val="center"/>
          </w:tcPr>
          <w:p w14:paraId="3DFDFC61" w14:textId="77777777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Średnie</w:t>
            </w:r>
          </w:p>
        </w:tc>
        <w:tc>
          <w:tcPr>
            <w:tcW w:w="5817" w:type="dxa"/>
            <w:vAlign w:val="center"/>
          </w:tcPr>
          <w:p w14:paraId="53C7E3FD" w14:textId="40EDCD16" w:rsidR="00FA33A3" w:rsidRPr="00193169" w:rsidRDefault="005661FB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zakłady, w których występują czynniki szkodliwe, 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ale ich stężenia i natężenia nie przekraczają dopuszczalnych poziomów; zakłady stosujące substancje chemiczne i ich mieszaniny, produkty biobójcze, prekursory narkotyków, zakłady, w których stwierdza się występowanie szkodliwych czynników biologicznych zaliczanych do 2 grupy zagrożenia;</w:t>
            </w:r>
          </w:p>
        </w:tc>
        <w:tc>
          <w:tcPr>
            <w:tcW w:w="1984" w:type="dxa"/>
            <w:vAlign w:val="center"/>
          </w:tcPr>
          <w:p w14:paraId="36823714" w14:textId="68C2F119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3 lat</w:t>
            </w:r>
          </w:p>
        </w:tc>
      </w:tr>
      <w:tr w:rsidR="00FF5572" w:rsidRPr="00193169" w14:paraId="49FE8A7D" w14:textId="77777777" w:rsidTr="00995CE0">
        <w:tc>
          <w:tcPr>
            <w:tcW w:w="1271" w:type="dxa"/>
            <w:vAlign w:val="center"/>
          </w:tcPr>
          <w:p w14:paraId="413A28FB" w14:textId="77777777" w:rsidR="00FA33A3" w:rsidRPr="00193169" w:rsidRDefault="00FA33A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Wysokie</w:t>
            </w:r>
          </w:p>
        </w:tc>
        <w:tc>
          <w:tcPr>
            <w:tcW w:w="5817" w:type="dxa"/>
            <w:vAlign w:val="center"/>
          </w:tcPr>
          <w:p w14:paraId="6F430769" w14:textId="7C68B72F" w:rsidR="00FA33A3" w:rsidRPr="00193169" w:rsidRDefault="005661FB" w:rsidP="00ED51AA">
            <w:pPr>
              <w:pStyle w:val="Akapitzlist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zakłady, w których stwierdza się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przekroczenia dopuszczalnych poziomów czynników szkodliwych dla zdrowia, występują w zakładach czynniki rakotwórcze, mutagenne lub </w:t>
            </w:r>
            <w:proofErr w:type="spellStart"/>
            <w:r w:rsidRPr="00193169">
              <w:rPr>
                <w:rFonts w:ascii="Lato" w:hAnsi="Lato" w:cs="Times New Roman"/>
                <w:sz w:val="21"/>
                <w:szCs w:val="21"/>
              </w:rPr>
              <w:t>reprotoksyczne</w:t>
            </w:r>
            <w:proofErr w:type="spellEnd"/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oraz szkodliwe czynniki biologiczne zaliczone do 3 grupy zagrożenia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, zakłady, w których stwierdzono istotne nieprawidłowości.</w:t>
            </w:r>
          </w:p>
        </w:tc>
        <w:tc>
          <w:tcPr>
            <w:tcW w:w="1984" w:type="dxa"/>
            <w:vAlign w:val="center"/>
          </w:tcPr>
          <w:p w14:paraId="79804C5D" w14:textId="77777777" w:rsidR="00FA33A3" w:rsidRPr="00193169" w:rsidRDefault="00FA33A3" w:rsidP="00ED51AA">
            <w:pPr>
              <w:pStyle w:val="Akapitzlist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47DDDAF5" w14:textId="474CED74" w:rsidR="00E96B9F" w:rsidRDefault="00E96B9F" w:rsidP="00ED51AA">
      <w:pPr>
        <w:spacing w:before="120" w:after="120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5556C652" w14:textId="77777777" w:rsidR="00193169" w:rsidRPr="00193169" w:rsidRDefault="00193169" w:rsidP="00ED51AA">
      <w:pPr>
        <w:spacing w:before="120" w:after="120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4BF3A4FA" w14:textId="588C2646" w:rsidR="007D6B59" w:rsidRPr="00193169" w:rsidRDefault="00B91D2C" w:rsidP="00B91D2C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lastRenderedPageBreak/>
        <w:t>NADZÓR NAD CHEMIKALIAMI, PRODUKTAMI BIOBÓJCZYMI I PRODUKTAMI KOSMETYCZNYMI</w:t>
      </w:r>
    </w:p>
    <w:p w14:paraId="5D0CEA47" w14:textId="50A2E6E5" w:rsidR="007D6B59" w:rsidRPr="00193169" w:rsidRDefault="007D6B59" w:rsidP="00ED51AA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Zakres: </w:t>
      </w:r>
      <w:r w:rsidRPr="00193169">
        <w:rPr>
          <w:rFonts w:ascii="Lato" w:hAnsi="Lato" w:cs="TimesNewRomanPSMT"/>
          <w:kern w:val="0"/>
          <w:sz w:val="21"/>
          <w:szCs w:val="21"/>
        </w:rPr>
        <w:t>dotyczy nadzoru nad chemikaliami</w:t>
      </w:r>
      <w:r w:rsidR="005661FB" w:rsidRPr="00193169">
        <w:rPr>
          <w:rFonts w:ascii="Lato" w:hAnsi="Lato" w:cs="TimesNewRomanPSMT"/>
          <w:kern w:val="0"/>
          <w:sz w:val="21"/>
          <w:szCs w:val="21"/>
        </w:rPr>
        <w:t>, produktami biobójczymi i produktami kosmetycznymi</w:t>
      </w:r>
    </w:p>
    <w:p w14:paraId="53848F5E" w14:textId="1601FDA0" w:rsidR="007D6B59" w:rsidRPr="00193169" w:rsidRDefault="007D6B59" w:rsidP="00ED51AA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Ocena ryzyka</w:t>
      </w:r>
    </w:p>
    <w:p w14:paraId="1F7CE05E" w14:textId="77777777" w:rsidR="007D6B59" w:rsidRPr="00193169" w:rsidRDefault="007D6B59" w:rsidP="00ED51AA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Ocena ryzyka opiera się na:</w:t>
      </w:r>
    </w:p>
    <w:p w14:paraId="14B83A1D" w14:textId="740D7415" w:rsidR="007D6B59" w:rsidRPr="00193169" w:rsidRDefault="007D6B59" w:rsidP="00ED51AA">
      <w:pPr>
        <w:pStyle w:val="Akapitzlist"/>
        <w:numPr>
          <w:ilvl w:val="0"/>
          <w:numId w:val="23"/>
        </w:num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roli podmiotu w łańcuchu dostaw</w:t>
      </w:r>
      <w:r w:rsidR="0013108F" w:rsidRPr="00193169">
        <w:rPr>
          <w:rFonts w:ascii="Lato" w:hAnsi="Lato" w:cs="Times New Roman"/>
          <w:sz w:val="21"/>
          <w:szCs w:val="21"/>
        </w:rPr>
        <w:t>,</w:t>
      </w:r>
    </w:p>
    <w:p w14:paraId="7A9A1458" w14:textId="655D4749" w:rsidR="007D6B59" w:rsidRPr="00193169" w:rsidRDefault="007D6B59" w:rsidP="00ED51AA">
      <w:pPr>
        <w:pStyle w:val="Akapitzlist"/>
        <w:numPr>
          <w:ilvl w:val="0"/>
          <w:numId w:val="23"/>
        </w:num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 xml:space="preserve">ilości i rodzaju </w:t>
      </w:r>
      <w:r w:rsidR="005661FB" w:rsidRPr="00193169">
        <w:rPr>
          <w:rFonts w:ascii="Lato" w:hAnsi="Lato" w:cs="Times New Roman"/>
          <w:sz w:val="21"/>
          <w:szCs w:val="21"/>
        </w:rPr>
        <w:t xml:space="preserve">produktów </w:t>
      </w:r>
      <w:r w:rsidRPr="00193169">
        <w:rPr>
          <w:rFonts w:ascii="Lato" w:hAnsi="Lato" w:cs="Times New Roman"/>
          <w:sz w:val="21"/>
          <w:szCs w:val="21"/>
        </w:rPr>
        <w:t>wprowadzanych do obrotu i udostępnianych na rynku</w:t>
      </w:r>
      <w:r w:rsidR="0013108F" w:rsidRPr="00193169">
        <w:rPr>
          <w:rFonts w:ascii="Lato" w:hAnsi="Lato" w:cs="Times New Roman"/>
          <w:sz w:val="21"/>
          <w:szCs w:val="21"/>
        </w:rPr>
        <w:t>,</w:t>
      </w:r>
      <w:r w:rsidRPr="00193169">
        <w:rPr>
          <w:rFonts w:ascii="Lato" w:hAnsi="Lato" w:cs="Times New Roman"/>
          <w:sz w:val="21"/>
          <w:szCs w:val="21"/>
        </w:rPr>
        <w:t xml:space="preserve"> </w:t>
      </w:r>
    </w:p>
    <w:p w14:paraId="040B5B73" w14:textId="6FAAD777" w:rsidR="007D6B59" w:rsidRPr="00193169" w:rsidRDefault="007D6B59" w:rsidP="00ED51AA">
      <w:pPr>
        <w:pStyle w:val="Akapitzlist"/>
        <w:numPr>
          <w:ilvl w:val="0"/>
          <w:numId w:val="23"/>
        </w:num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klasyfikacji produktów ze względu na klasy zagrożeń</w:t>
      </w:r>
      <w:r w:rsidR="0013108F" w:rsidRPr="00193169">
        <w:rPr>
          <w:rFonts w:ascii="Lato" w:hAnsi="Lato" w:cs="Times New Roman"/>
          <w:sz w:val="21"/>
          <w:szCs w:val="21"/>
        </w:rPr>
        <w:t>,</w:t>
      </w:r>
    </w:p>
    <w:p w14:paraId="42BFF869" w14:textId="0818DAC8" w:rsidR="007D6B59" w:rsidRPr="00193169" w:rsidRDefault="007D6B59" w:rsidP="00ED51AA">
      <w:pPr>
        <w:pStyle w:val="Akapitzlist"/>
        <w:numPr>
          <w:ilvl w:val="0"/>
          <w:numId w:val="23"/>
        </w:num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analizy GMP – Dobre Praktyki Produkcji w wytwórniach produktów kosmetycznych</w:t>
      </w:r>
      <w:r w:rsidR="0013108F" w:rsidRPr="00193169">
        <w:rPr>
          <w:rFonts w:ascii="Lato" w:hAnsi="Lato" w:cs="Times New Roman"/>
          <w:sz w:val="21"/>
          <w:szCs w:val="21"/>
        </w:rPr>
        <w:t>,</w:t>
      </w:r>
    </w:p>
    <w:p w14:paraId="59A99F5F" w14:textId="2B447C5E" w:rsidR="007D6B59" w:rsidRPr="00193169" w:rsidRDefault="007D6B59" w:rsidP="00ED51AA">
      <w:pPr>
        <w:pStyle w:val="Akapitzlist"/>
        <w:numPr>
          <w:ilvl w:val="0"/>
          <w:numId w:val="23"/>
        </w:numPr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wielkości produkcji</w:t>
      </w:r>
      <w:r w:rsidR="0013108F" w:rsidRPr="00193169">
        <w:rPr>
          <w:rFonts w:ascii="Lato" w:hAnsi="Lato" w:cs="Times New Roman"/>
          <w:sz w:val="21"/>
          <w:szCs w:val="21"/>
        </w:rPr>
        <w:t>,</w:t>
      </w:r>
    </w:p>
    <w:p w14:paraId="3CE28B0E" w14:textId="7D63EEF2" w:rsidR="007D6B59" w:rsidRPr="00193169" w:rsidRDefault="007D6B59" w:rsidP="00ED51AA">
      <w:pPr>
        <w:pStyle w:val="Akapitzlist"/>
        <w:numPr>
          <w:ilvl w:val="0"/>
          <w:numId w:val="23"/>
        </w:numPr>
        <w:spacing w:after="120"/>
        <w:ind w:left="714" w:hanging="357"/>
        <w:contextualSpacing w:val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wynikach ostatniej kontroli</w:t>
      </w:r>
      <w:r w:rsidR="0013108F" w:rsidRPr="00193169">
        <w:rPr>
          <w:rFonts w:ascii="Lato" w:hAnsi="Lato" w:cs="Times New Roman"/>
          <w:sz w:val="21"/>
          <w:szCs w:val="21"/>
        </w:rPr>
        <w:t>.</w:t>
      </w:r>
    </w:p>
    <w:p w14:paraId="68FAE70C" w14:textId="77777777" w:rsidR="007D04E7" w:rsidRPr="00193169" w:rsidRDefault="007D04E7" w:rsidP="00B91D2C">
      <w:pPr>
        <w:pStyle w:val="Akapitzlist"/>
        <w:numPr>
          <w:ilvl w:val="0"/>
          <w:numId w:val="81"/>
        </w:numPr>
        <w:spacing w:before="120"/>
        <w:ind w:left="425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Kategorie ryzyka a częstotliwość kontroli planowanych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5959"/>
        <w:gridCol w:w="1984"/>
      </w:tblGrid>
      <w:tr w:rsidR="00FF5572" w:rsidRPr="00193169" w14:paraId="21C7D7B4" w14:textId="77777777" w:rsidTr="00995CE0">
        <w:tc>
          <w:tcPr>
            <w:tcW w:w="1271" w:type="dxa"/>
            <w:vAlign w:val="center"/>
          </w:tcPr>
          <w:p w14:paraId="28CCFA5D" w14:textId="77777777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Kategoria ryzyka</w:t>
            </w:r>
          </w:p>
        </w:tc>
        <w:tc>
          <w:tcPr>
            <w:tcW w:w="5959" w:type="dxa"/>
            <w:vAlign w:val="center"/>
          </w:tcPr>
          <w:p w14:paraId="5AAD9601" w14:textId="77777777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Przykładowe zakłady</w:t>
            </w:r>
          </w:p>
        </w:tc>
        <w:tc>
          <w:tcPr>
            <w:tcW w:w="1984" w:type="dxa"/>
            <w:vAlign w:val="center"/>
          </w:tcPr>
          <w:p w14:paraId="5060847F" w14:textId="77777777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Częstotliwość kontroli planowej</w:t>
            </w:r>
          </w:p>
        </w:tc>
      </w:tr>
      <w:tr w:rsidR="00FF5572" w:rsidRPr="00193169" w14:paraId="6044EF49" w14:textId="77777777" w:rsidTr="00995CE0">
        <w:tc>
          <w:tcPr>
            <w:tcW w:w="1271" w:type="dxa"/>
            <w:vAlign w:val="center"/>
          </w:tcPr>
          <w:p w14:paraId="0AAAC685" w14:textId="77777777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Niskie</w:t>
            </w:r>
          </w:p>
        </w:tc>
        <w:tc>
          <w:tcPr>
            <w:tcW w:w="5959" w:type="dxa"/>
            <w:vAlign w:val="center"/>
          </w:tcPr>
          <w:p w14:paraId="74EE8AE7" w14:textId="2FEAB8D8" w:rsidR="001A6EF4" w:rsidRPr="00193169" w:rsidRDefault="001A6EF4" w:rsidP="00ED51AA">
            <w:pPr>
              <w:pStyle w:val="Akapitzlist"/>
              <w:numPr>
                <w:ilvl w:val="0"/>
                <w:numId w:val="84"/>
              </w:numPr>
              <w:ind w:left="463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handel detaliczny, </w:t>
            </w:r>
          </w:p>
          <w:p w14:paraId="7E53AB23" w14:textId="60380C8B" w:rsidR="001A6EF4" w:rsidRPr="00193169" w:rsidRDefault="001A6EF4" w:rsidP="00ED51AA">
            <w:pPr>
              <w:pStyle w:val="Akapitzlist"/>
              <w:numPr>
                <w:ilvl w:val="0"/>
                <w:numId w:val="84"/>
              </w:numPr>
              <w:ind w:left="463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sklepy </w:t>
            </w:r>
            <w:proofErr w:type="spellStart"/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małopowierzchniowe</w:t>
            </w:r>
            <w:proofErr w:type="spellEnd"/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, </w:t>
            </w:r>
          </w:p>
          <w:p w14:paraId="548EA3A6" w14:textId="5B516583" w:rsidR="001A6EF4" w:rsidRPr="00193169" w:rsidRDefault="001A6EF4" w:rsidP="00ED51AA">
            <w:pPr>
              <w:pStyle w:val="Akapitzlist"/>
              <w:numPr>
                <w:ilvl w:val="0"/>
                <w:numId w:val="84"/>
              </w:numPr>
              <w:ind w:left="463"/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sklepy z niewielkim rodzajem asortymentu;</w:t>
            </w:r>
          </w:p>
        </w:tc>
        <w:tc>
          <w:tcPr>
            <w:tcW w:w="1984" w:type="dxa"/>
            <w:vAlign w:val="center"/>
          </w:tcPr>
          <w:p w14:paraId="7F28EE25" w14:textId="38D857BF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5 lat</w:t>
            </w:r>
          </w:p>
        </w:tc>
      </w:tr>
      <w:tr w:rsidR="00FF5572" w:rsidRPr="00193169" w14:paraId="2A1E8C68" w14:textId="77777777" w:rsidTr="00995CE0">
        <w:tc>
          <w:tcPr>
            <w:tcW w:w="1271" w:type="dxa"/>
            <w:vAlign w:val="center"/>
          </w:tcPr>
          <w:p w14:paraId="4F9CA873" w14:textId="77777777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Średnie</w:t>
            </w:r>
          </w:p>
        </w:tc>
        <w:tc>
          <w:tcPr>
            <w:tcW w:w="5959" w:type="dxa"/>
            <w:vAlign w:val="center"/>
          </w:tcPr>
          <w:p w14:paraId="20BF306A" w14:textId="18ADB5F2" w:rsidR="001A6EF4" w:rsidRPr="00193169" w:rsidRDefault="001A6EF4" w:rsidP="00ED51AA">
            <w:pPr>
              <w:pStyle w:val="Akapitzlist"/>
              <w:numPr>
                <w:ilvl w:val="0"/>
                <w:numId w:val="85"/>
              </w:numPr>
              <w:ind w:left="463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sprzedaż hurtowa, dystrybutorzy,</w:t>
            </w:r>
          </w:p>
          <w:p w14:paraId="61B10DED" w14:textId="6BDB5741" w:rsidR="001A6EF4" w:rsidRPr="00193169" w:rsidRDefault="001A6EF4" w:rsidP="00ED51AA">
            <w:pPr>
              <w:pStyle w:val="Akapitzlist"/>
              <w:numPr>
                <w:ilvl w:val="0"/>
                <w:numId w:val="85"/>
              </w:numPr>
              <w:ind w:left="463"/>
              <w:rPr>
                <w:rFonts w:ascii="Lato" w:hAnsi="Lato" w:cs="TimesNewRomanPSMT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sklepy wielopowierzchniowe, </w:t>
            </w:r>
          </w:p>
          <w:p w14:paraId="47F710F4" w14:textId="5873ACBE" w:rsidR="001A6EF4" w:rsidRPr="00193169" w:rsidRDefault="001A6EF4" w:rsidP="00ED51AA">
            <w:pPr>
              <w:pStyle w:val="Akapitzlist"/>
              <w:numPr>
                <w:ilvl w:val="0"/>
                <w:numId w:val="85"/>
              </w:numPr>
              <w:ind w:left="463"/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sklepy z dużą ilością różnorodnego asortymentu,</w:t>
            </w:r>
          </w:p>
        </w:tc>
        <w:tc>
          <w:tcPr>
            <w:tcW w:w="1984" w:type="dxa"/>
            <w:vAlign w:val="center"/>
          </w:tcPr>
          <w:p w14:paraId="6C523DED" w14:textId="49D39109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3 lat</w:t>
            </w:r>
          </w:p>
        </w:tc>
      </w:tr>
      <w:tr w:rsidR="00FF5572" w:rsidRPr="00193169" w14:paraId="056E3251" w14:textId="77777777" w:rsidTr="00995CE0">
        <w:tc>
          <w:tcPr>
            <w:tcW w:w="1271" w:type="dxa"/>
            <w:vAlign w:val="center"/>
          </w:tcPr>
          <w:p w14:paraId="70FD4D6A" w14:textId="77777777" w:rsidR="001A6EF4" w:rsidRPr="00193169" w:rsidRDefault="001A6EF4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Wysokie</w:t>
            </w:r>
          </w:p>
        </w:tc>
        <w:tc>
          <w:tcPr>
            <w:tcW w:w="5959" w:type="dxa"/>
            <w:vAlign w:val="center"/>
          </w:tcPr>
          <w:p w14:paraId="0E32C30B" w14:textId="59DA11D0" w:rsidR="001A6EF4" w:rsidRPr="00193169" w:rsidRDefault="001A6EF4" w:rsidP="00ED51AA">
            <w:pPr>
              <w:pStyle w:val="Akapitzlist"/>
              <w:numPr>
                <w:ilvl w:val="0"/>
                <w:numId w:val="86"/>
              </w:numPr>
              <w:ind w:left="463"/>
              <w:rPr>
                <w:rFonts w:ascii="Lato" w:hAnsi="Lato" w:cs="Times New Roman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wytwórcy/producenci/importerzy/konfekcjonerzy/ podmioty odpowiedzialne produktów kosmetycznych,</w:t>
            </w:r>
          </w:p>
          <w:p w14:paraId="4C71460D" w14:textId="1DEA4968" w:rsidR="001A6EF4" w:rsidRPr="00193169" w:rsidRDefault="001A6EF4" w:rsidP="00ED51AA">
            <w:pPr>
              <w:pStyle w:val="Akapitzlist"/>
              <w:numPr>
                <w:ilvl w:val="0"/>
                <w:numId w:val="86"/>
              </w:numPr>
              <w:ind w:left="463"/>
              <w:rPr>
                <w:rFonts w:ascii="Lato" w:hAnsi="Lato" w:cs="Times New Roman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 xml:space="preserve">producent/importer/wyłączny przedstawiciel/ </w:t>
            </w:r>
            <w:proofErr w:type="spellStart"/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formulator</w:t>
            </w:r>
            <w:proofErr w:type="spellEnd"/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/konfekcjoner produktów chemicznych,</w:t>
            </w:r>
          </w:p>
          <w:p w14:paraId="30993E62" w14:textId="0BBD4CD9" w:rsidR="001A6EF4" w:rsidRPr="00193169" w:rsidRDefault="001A6EF4" w:rsidP="00ED51AA">
            <w:pPr>
              <w:pStyle w:val="Akapitzlist"/>
              <w:numPr>
                <w:ilvl w:val="0"/>
                <w:numId w:val="86"/>
              </w:numPr>
              <w:ind w:left="463"/>
              <w:rPr>
                <w:rFonts w:ascii="Lato" w:hAnsi="Lato" w:cs="Times New Roman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posiadacz pozwolenia/ podmiot odpowiedzialny produktów biobójczych,</w:t>
            </w:r>
          </w:p>
          <w:p w14:paraId="01FB1165" w14:textId="7DF36A93" w:rsidR="001A6EF4" w:rsidRPr="00193169" w:rsidRDefault="001A6EF4" w:rsidP="00ED51AA">
            <w:pPr>
              <w:pStyle w:val="Akapitzlist"/>
              <w:numPr>
                <w:ilvl w:val="0"/>
                <w:numId w:val="86"/>
              </w:numPr>
              <w:ind w:left="463"/>
              <w:rPr>
                <w:rFonts w:ascii="Lato" w:hAnsi="Lato" w:cs="Times New Roman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podmioty wprowadzające do obrotu prekursory narkotyków kat. 2 i 3,</w:t>
            </w:r>
          </w:p>
          <w:p w14:paraId="17D6F05D" w14:textId="78336732" w:rsidR="001A6EF4" w:rsidRPr="00193169" w:rsidRDefault="001A6EF4" w:rsidP="00ED51AA">
            <w:pPr>
              <w:pStyle w:val="Akapitzlist"/>
              <w:numPr>
                <w:ilvl w:val="0"/>
                <w:numId w:val="86"/>
              </w:numPr>
              <w:ind w:left="463"/>
              <w:rPr>
                <w:rFonts w:ascii="Lato" w:hAnsi="Lato" w:cs="Times New Roman"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podmioty uczestniczące w przywozie, wywozie i pośrednictwie do i z krajów trzecich prekursorów narkotyków kat. 2 i 3,</w:t>
            </w:r>
          </w:p>
          <w:p w14:paraId="408FE154" w14:textId="136747BE" w:rsidR="001A6EF4" w:rsidRPr="00193169" w:rsidRDefault="001A6EF4" w:rsidP="00ED51AA">
            <w:pPr>
              <w:pStyle w:val="Akapitzlist"/>
              <w:numPr>
                <w:ilvl w:val="0"/>
                <w:numId w:val="86"/>
              </w:numPr>
              <w:ind w:left="463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kern w:val="0"/>
                <w:sz w:val="21"/>
                <w:szCs w:val="21"/>
              </w:rPr>
              <w:t>podmioty, u których podczas ostatniej kontroli wystąpiły nieprawidłowości lub stwierdzono zgłoszenie niepożądanych działań produktu kosmetycznego.</w:t>
            </w:r>
          </w:p>
        </w:tc>
        <w:tc>
          <w:tcPr>
            <w:tcW w:w="1984" w:type="dxa"/>
            <w:vAlign w:val="center"/>
          </w:tcPr>
          <w:p w14:paraId="6AC43D3D" w14:textId="77777777" w:rsidR="001A6EF4" w:rsidRPr="00193169" w:rsidRDefault="001A6EF4" w:rsidP="00ED51AA">
            <w:pPr>
              <w:pStyle w:val="Akapitzlist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33356FC3" w14:textId="77777777" w:rsidR="001A6EF4" w:rsidRPr="00193169" w:rsidRDefault="001A6EF4" w:rsidP="00ED51AA">
      <w:pPr>
        <w:rPr>
          <w:rFonts w:ascii="Lato" w:hAnsi="Lato" w:cs="Times New Roman"/>
          <w:sz w:val="21"/>
          <w:szCs w:val="21"/>
        </w:rPr>
      </w:pPr>
    </w:p>
    <w:p w14:paraId="371B7123" w14:textId="77777777" w:rsidR="001A6EF4" w:rsidRPr="00193169" w:rsidRDefault="001A6EF4" w:rsidP="00ED51AA">
      <w:pPr>
        <w:rPr>
          <w:rFonts w:ascii="Lato" w:hAnsi="Lato" w:cs="Times New Roman"/>
          <w:sz w:val="21"/>
          <w:szCs w:val="21"/>
        </w:rPr>
      </w:pPr>
    </w:p>
    <w:p w14:paraId="74719EF2" w14:textId="77777777" w:rsidR="001A6EF4" w:rsidRPr="00193169" w:rsidRDefault="001A6EF4" w:rsidP="00ED51AA">
      <w:pPr>
        <w:rPr>
          <w:rFonts w:ascii="Lato" w:hAnsi="Lato" w:cs="Times New Roman"/>
          <w:sz w:val="21"/>
          <w:szCs w:val="21"/>
        </w:rPr>
      </w:pPr>
    </w:p>
    <w:p w14:paraId="18763763" w14:textId="77777777" w:rsidR="0071349B" w:rsidRPr="00193169" w:rsidRDefault="0071349B" w:rsidP="00ED51AA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7573767A" w14:textId="5936FA60" w:rsidR="00EA4E35" w:rsidRPr="00193169" w:rsidRDefault="00EA4E35" w:rsidP="00ED51AA">
      <w:p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br w:type="page"/>
      </w:r>
    </w:p>
    <w:p w14:paraId="6B0F2D34" w14:textId="0246DF02" w:rsidR="00631709" w:rsidRPr="00193169" w:rsidRDefault="00631709" w:rsidP="00FF5572">
      <w:pPr>
        <w:spacing w:after="0"/>
        <w:rPr>
          <w:rFonts w:ascii="Lato" w:hAnsi="Lato" w:cs="Times New Roman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lastRenderedPageBreak/>
        <w:t xml:space="preserve">Załącznik </w:t>
      </w:r>
      <w:r w:rsidR="00A27955" w:rsidRPr="00193169">
        <w:rPr>
          <w:rFonts w:ascii="Lato" w:hAnsi="Lato" w:cs="Times New Roman"/>
          <w:sz w:val="21"/>
          <w:szCs w:val="21"/>
        </w:rPr>
        <w:t>n</w:t>
      </w:r>
      <w:r w:rsidRPr="00193169">
        <w:rPr>
          <w:rFonts w:ascii="Lato" w:hAnsi="Lato" w:cs="Times New Roman"/>
          <w:sz w:val="21"/>
          <w:szCs w:val="21"/>
        </w:rPr>
        <w:t xml:space="preserve">r </w:t>
      </w:r>
      <w:r w:rsidR="00696A3A" w:rsidRPr="00193169">
        <w:rPr>
          <w:rFonts w:ascii="Lato" w:hAnsi="Lato" w:cs="Times New Roman"/>
          <w:sz w:val="21"/>
          <w:szCs w:val="21"/>
        </w:rPr>
        <w:t>4</w:t>
      </w:r>
    </w:p>
    <w:p w14:paraId="3CA31255" w14:textId="0F7D6FD9" w:rsidR="007435AB" w:rsidRPr="00193169" w:rsidRDefault="007435AB" w:rsidP="00ED51AA">
      <w:pPr>
        <w:spacing w:after="0" w:line="240" w:lineRule="auto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 Procedury klasyfikacji ryzyka w działalności kontrolnej</w:t>
      </w:r>
      <w:r w:rsidRPr="00193169">
        <w:rPr>
          <w:rFonts w:ascii="Lato" w:hAnsi="Lato" w:cs="TimesNewRomanPSMT"/>
          <w:kern w:val="0"/>
          <w:sz w:val="21"/>
          <w:szCs w:val="21"/>
        </w:rPr>
        <w:br/>
      </w:r>
    </w:p>
    <w:p w14:paraId="46B51219" w14:textId="6A5A4C8A" w:rsidR="007435AB" w:rsidRPr="00193169" w:rsidRDefault="000A3219" w:rsidP="00ED51AA">
      <w:pPr>
        <w:rPr>
          <w:rFonts w:ascii="Lato" w:hAnsi="Lato" w:cs="Times New Roman"/>
          <w:b/>
          <w:bCs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OBSZAR </w:t>
      </w:r>
      <w:r w:rsidRPr="00193169">
        <w:rPr>
          <w:rFonts w:ascii="Lato" w:hAnsi="Lato" w:cs="Times New Roman"/>
          <w:b/>
          <w:bCs/>
          <w:sz w:val="21"/>
          <w:szCs w:val="21"/>
        </w:rPr>
        <w:t>HIGIENY KOMUNALNEJ</w:t>
      </w:r>
      <w:r w:rsidR="00EA4E35" w:rsidRPr="00193169">
        <w:rPr>
          <w:rFonts w:ascii="Lato" w:hAnsi="Lato" w:cs="Times New Roman"/>
          <w:b/>
          <w:bCs/>
          <w:sz w:val="21"/>
          <w:szCs w:val="21"/>
        </w:rPr>
        <w:t>, W TYM BEZPIECZEŃSTWA ZDROWOTNEGO WODY</w:t>
      </w:r>
    </w:p>
    <w:p w14:paraId="3886F5BF" w14:textId="77777777" w:rsidR="00E96B9F" w:rsidRPr="00193169" w:rsidRDefault="00E96B9F" w:rsidP="00ED51AA">
      <w:pPr>
        <w:pStyle w:val="Akapitzlist"/>
        <w:numPr>
          <w:ilvl w:val="0"/>
          <w:numId w:val="41"/>
        </w:numPr>
        <w:spacing w:before="120" w:after="120"/>
        <w:ind w:left="426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Zakres</w:t>
      </w:r>
    </w:p>
    <w:p w14:paraId="4C006664" w14:textId="77777777" w:rsidR="00403F82" w:rsidRPr="00193169" w:rsidRDefault="00403F82" w:rsidP="00ED51AA">
      <w:p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Dotyczy grup obiektów:</w:t>
      </w:r>
    </w:p>
    <w:p w14:paraId="4664D9FA" w14:textId="2028A79A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podmioty lecznicze,</w:t>
      </w:r>
    </w:p>
    <w:p w14:paraId="260B28E2" w14:textId="55BD1687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wodociągi zbiorowego zaopatrzenia w wodę i inne podmioty zaopatrzenia w wodę nadzorowane corocznie w zakresie jakości wody,</w:t>
      </w:r>
    </w:p>
    <w:p w14:paraId="152C3082" w14:textId="750CD412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zakłady odnowy biologicznej, w tym wykonujące zabiegi z naruszeniem ciągłości tkanek,</w:t>
      </w:r>
    </w:p>
    <w:p w14:paraId="5B4DACDD" w14:textId="1E560039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usługi noclegowe,</w:t>
      </w:r>
    </w:p>
    <w:p w14:paraId="4DED789F" w14:textId="7DA35450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usługi funeralne,</w:t>
      </w:r>
    </w:p>
    <w:p w14:paraId="2A39398A" w14:textId="7B041BBD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jednostki organizacyjne pomocy społecznej,</w:t>
      </w:r>
    </w:p>
    <w:p w14:paraId="70612B70" w14:textId="071D8158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obiekty rekreacji wodnej,</w:t>
      </w:r>
    </w:p>
    <w:p w14:paraId="5ACC4C64" w14:textId="528A3ACA" w:rsidR="00403F82" w:rsidRPr="00193169" w:rsidRDefault="00403F82" w:rsidP="00ED51AA">
      <w:pPr>
        <w:pStyle w:val="Akapitzlist"/>
        <w:numPr>
          <w:ilvl w:val="0"/>
          <w:numId w:val="67"/>
        </w:numPr>
        <w:spacing w:before="120" w:after="12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zakłady karne,</w:t>
      </w:r>
    </w:p>
    <w:p w14:paraId="48DCEA73" w14:textId="34D38C16" w:rsidR="00FA33A3" w:rsidRPr="00193169" w:rsidRDefault="00403F82" w:rsidP="00ED51AA">
      <w:pPr>
        <w:pStyle w:val="Akapitzlist"/>
        <w:numPr>
          <w:ilvl w:val="0"/>
          <w:numId w:val="67"/>
        </w:numPr>
        <w:spacing w:after="120"/>
        <w:ind w:left="714" w:hanging="357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>inne obiekty użyteczności publicznej.</w:t>
      </w:r>
    </w:p>
    <w:p w14:paraId="43438618" w14:textId="06588FD9" w:rsidR="00FA33A3" w:rsidRPr="00193169" w:rsidRDefault="00FA33A3" w:rsidP="00ED51AA">
      <w:pPr>
        <w:pStyle w:val="Akapitzlist"/>
        <w:numPr>
          <w:ilvl w:val="0"/>
          <w:numId w:val="41"/>
        </w:numPr>
        <w:spacing w:before="120" w:after="120"/>
        <w:ind w:left="426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>Ocena ryzyka opiera się na:</w:t>
      </w:r>
    </w:p>
    <w:p w14:paraId="3804AB14" w14:textId="77777777" w:rsidR="00FA33A3" w:rsidRPr="00193169" w:rsidRDefault="00FA33A3" w:rsidP="00ED51AA">
      <w:pPr>
        <w:pStyle w:val="Akapitzlist"/>
        <w:numPr>
          <w:ilvl w:val="0"/>
          <w:numId w:val="80"/>
        </w:numPr>
        <w:spacing w:after="0"/>
        <w:ind w:left="709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wystąpieniu podejrzenia lub prawdopodobieństwa wystąpienia zagrożenia życia lub zdrowia człowieka,</w:t>
      </w:r>
    </w:p>
    <w:p w14:paraId="26240212" w14:textId="553BBA6E" w:rsidR="00FA33A3" w:rsidRPr="00193169" w:rsidRDefault="00FA33A3" w:rsidP="00ED51AA">
      <w:pPr>
        <w:pStyle w:val="Akapitzlist"/>
        <w:numPr>
          <w:ilvl w:val="0"/>
          <w:numId w:val="80"/>
        </w:numPr>
        <w:spacing w:after="0"/>
        <w:ind w:left="709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ocenach stanu sanitarno-technicznego obiektu,</w:t>
      </w:r>
    </w:p>
    <w:p w14:paraId="4E704448" w14:textId="77777777" w:rsidR="00FA33A3" w:rsidRPr="00193169" w:rsidRDefault="00FA33A3" w:rsidP="00ED51AA">
      <w:pPr>
        <w:pStyle w:val="Akapitzlist"/>
        <w:numPr>
          <w:ilvl w:val="0"/>
          <w:numId w:val="80"/>
        </w:numPr>
        <w:spacing w:after="0"/>
        <w:ind w:left="709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wynikach kontroli stwierdzanych w trakcie ostatnich 3 kontroli planowych,</w:t>
      </w:r>
    </w:p>
    <w:p w14:paraId="43F84C88" w14:textId="56591478" w:rsidR="00FA33A3" w:rsidRPr="00193169" w:rsidRDefault="00FA33A3" w:rsidP="00ED51AA">
      <w:pPr>
        <w:pStyle w:val="Akapitzlist"/>
        <w:numPr>
          <w:ilvl w:val="0"/>
          <w:numId w:val="80"/>
        </w:numPr>
        <w:spacing w:after="120"/>
        <w:ind w:left="709"/>
        <w:contextualSpacing w:val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 New Roman"/>
          <w:sz w:val="21"/>
          <w:szCs w:val="21"/>
        </w:rPr>
        <w:t>liczbie otrzymanych zgłoszeń o interwencję w odniesieniu do danego obiektu oraz ich zasadności.</w:t>
      </w:r>
    </w:p>
    <w:p w14:paraId="722D26A5" w14:textId="62005ED9" w:rsidR="00E96B9F" w:rsidRPr="00193169" w:rsidRDefault="00E96B9F" w:rsidP="00ED51AA">
      <w:pPr>
        <w:pStyle w:val="Akapitzlist"/>
        <w:numPr>
          <w:ilvl w:val="0"/>
          <w:numId w:val="41"/>
        </w:numPr>
        <w:spacing w:before="120" w:after="120"/>
        <w:ind w:left="426" w:hanging="357"/>
        <w:contextualSpacing w:val="0"/>
        <w:rPr>
          <w:rFonts w:ascii="Lato" w:hAnsi="Lato" w:cs="TimesNewRomanPSMT"/>
          <w:b/>
          <w:bCs/>
          <w:kern w:val="0"/>
          <w:sz w:val="21"/>
          <w:szCs w:val="21"/>
        </w:rPr>
      </w:pPr>
      <w:bookmarkStart w:id="0" w:name="_Hlk216874400"/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Kategorie ryzyka </w:t>
      </w:r>
      <w:r w:rsidR="00EA4E35" w:rsidRPr="00193169">
        <w:rPr>
          <w:rFonts w:ascii="Lato" w:hAnsi="Lato" w:cs="TimesNewRomanPSMT"/>
          <w:b/>
          <w:bCs/>
          <w:kern w:val="0"/>
          <w:sz w:val="21"/>
          <w:szCs w:val="21"/>
        </w:rPr>
        <w:t>a</w:t>
      </w:r>
      <w:r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 częstotliwość kontroli</w:t>
      </w:r>
      <w:r w:rsidR="00EA4E35" w:rsidRPr="00193169">
        <w:rPr>
          <w:rFonts w:ascii="Lato" w:hAnsi="Lato" w:cs="TimesNewRomanPSMT"/>
          <w:b/>
          <w:bCs/>
          <w:kern w:val="0"/>
          <w:sz w:val="21"/>
          <w:szCs w:val="21"/>
        </w:rPr>
        <w:t xml:space="preserve"> planowanych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5817"/>
        <w:gridCol w:w="1984"/>
      </w:tblGrid>
      <w:tr w:rsidR="00FF5572" w:rsidRPr="00193169" w14:paraId="6FF25ECB" w14:textId="77777777" w:rsidTr="0047157E">
        <w:tc>
          <w:tcPr>
            <w:tcW w:w="1271" w:type="dxa"/>
            <w:vAlign w:val="center"/>
          </w:tcPr>
          <w:bookmarkEnd w:id="0"/>
          <w:p w14:paraId="4AAD5C79" w14:textId="2B1603AE" w:rsidR="00C77E41" w:rsidRPr="00193169" w:rsidRDefault="00C77E41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Kategoria ryzyka</w:t>
            </w:r>
          </w:p>
        </w:tc>
        <w:tc>
          <w:tcPr>
            <w:tcW w:w="5817" w:type="dxa"/>
            <w:vAlign w:val="center"/>
          </w:tcPr>
          <w:p w14:paraId="77C16CD0" w14:textId="0697FEF5" w:rsidR="00C77E41" w:rsidRPr="00193169" w:rsidRDefault="00C77E41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Przykładowe obiekty / działalność</w:t>
            </w:r>
          </w:p>
        </w:tc>
        <w:tc>
          <w:tcPr>
            <w:tcW w:w="1984" w:type="dxa"/>
            <w:vAlign w:val="center"/>
          </w:tcPr>
          <w:p w14:paraId="5278661E" w14:textId="101CC131" w:rsidR="00C77E41" w:rsidRPr="00193169" w:rsidRDefault="00C77E41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Częstotliwość kontroli planowej</w:t>
            </w:r>
          </w:p>
        </w:tc>
      </w:tr>
      <w:tr w:rsidR="00FF5572" w:rsidRPr="00193169" w14:paraId="3C170CE3" w14:textId="77777777" w:rsidTr="0047157E">
        <w:tc>
          <w:tcPr>
            <w:tcW w:w="1271" w:type="dxa"/>
            <w:vAlign w:val="center"/>
          </w:tcPr>
          <w:p w14:paraId="402B800A" w14:textId="4AE5D917" w:rsidR="002E7F33" w:rsidRPr="00193169" w:rsidRDefault="002E7F3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Niskie</w:t>
            </w:r>
          </w:p>
        </w:tc>
        <w:tc>
          <w:tcPr>
            <w:tcW w:w="5817" w:type="dxa"/>
            <w:vAlign w:val="center"/>
          </w:tcPr>
          <w:p w14:paraId="5FDBE7DB" w14:textId="63F8A35A" w:rsidR="002E7F33" w:rsidRPr="00193169" w:rsidRDefault="0047157E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d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om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przedpogrzebow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/zakład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pogrzebow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e (świadczące usługi inne niż wskazane w wysokiej grupie ryzyka)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 xml:space="preserve"> cmentarze; zakłady fryzjerskie, zakłady kosmetyczne bez przerywania ciągłości tkanek; solaria; zakłady odnowy biologicznej bez przerywania ciągłości tkanek;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inne obiekty użyteczności publicznej tj.: dworzec autobusowy, dworzec kolejowy, port lotniczy, port morski, przejścia graniczne, obiekty sportowe, tereny rekreacyjne (parki, zieleńce, ogrody botaniczne, place zabaw)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ustępy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 xml:space="preserve"> publiczne i ogólnodostępne; plaże przy kąpieliskach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zakłady karne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areszty śledcze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vAlign w:val="center"/>
          </w:tcPr>
          <w:p w14:paraId="125AAFCD" w14:textId="6279C967" w:rsidR="002E7F33" w:rsidRPr="00193169" w:rsidRDefault="002E7F3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5 lat</w:t>
            </w:r>
          </w:p>
        </w:tc>
      </w:tr>
      <w:tr w:rsidR="00FF5572" w:rsidRPr="00193169" w14:paraId="606AB2B7" w14:textId="77777777" w:rsidTr="0047157E">
        <w:tc>
          <w:tcPr>
            <w:tcW w:w="1271" w:type="dxa"/>
            <w:vAlign w:val="center"/>
          </w:tcPr>
          <w:p w14:paraId="5B5629E5" w14:textId="2700AC88" w:rsidR="002E7F33" w:rsidRPr="00193169" w:rsidRDefault="002E7F3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Średnie</w:t>
            </w:r>
          </w:p>
        </w:tc>
        <w:tc>
          <w:tcPr>
            <w:tcW w:w="5817" w:type="dxa"/>
            <w:vAlign w:val="center"/>
          </w:tcPr>
          <w:p w14:paraId="13921055" w14:textId="64213E16" w:rsidR="002E7F33" w:rsidRPr="00193169" w:rsidRDefault="0047157E" w:rsidP="00ED51AA">
            <w:pPr>
              <w:rPr>
                <w:rFonts w:ascii="Lato" w:hAnsi="Lato" w:cs="Times New Roman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t>j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ednostki organizacyjne pomocy społecznej tj.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 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noclegowni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e, schroniska dla bezdomnych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 p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ralnie świadczące usługi podmiotom innym niż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 xml:space="preserve"> wykonujące działalność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lecznicz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ą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 o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biekty świadczące usługi noclegowe (hotel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, motel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, pensjonat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, kemping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i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, dom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wycieczkow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, schronisk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a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młodzieżowe, schronisk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a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, pol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a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biwakowe, agroturystyka)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 xml:space="preserve">; 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>kąpieliska i miejsca okazjonalnie wykorzystywane do kąpieli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pływalnie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strzeżone ośrodki i areszty dla cudzoziemców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izb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 New Roman"/>
                <w:sz w:val="21"/>
                <w:szCs w:val="21"/>
              </w:rPr>
              <w:t xml:space="preserve"> wytrzeźwień</w:t>
            </w:r>
            <w:r w:rsidR="00456536" w:rsidRPr="00193169">
              <w:rPr>
                <w:rFonts w:ascii="Lato" w:hAnsi="Lato" w:cs="Times New Roman"/>
                <w:sz w:val="21"/>
                <w:szCs w:val="21"/>
              </w:rPr>
              <w:t>.</w:t>
            </w:r>
          </w:p>
        </w:tc>
        <w:tc>
          <w:tcPr>
            <w:tcW w:w="1984" w:type="dxa"/>
            <w:vAlign w:val="center"/>
          </w:tcPr>
          <w:p w14:paraId="6589540F" w14:textId="27515CC4" w:rsidR="002E7F33" w:rsidRPr="00193169" w:rsidRDefault="002E7F3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Nie częściej niż raz </w:t>
            </w:r>
            <w:r w:rsidR="00995CE0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 ciągu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3 lat</w:t>
            </w:r>
          </w:p>
        </w:tc>
      </w:tr>
      <w:tr w:rsidR="00FF5572" w:rsidRPr="00193169" w14:paraId="629AF983" w14:textId="77777777" w:rsidTr="00496DA8">
        <w:tc>
          <w:tcPr>
            <w:tcW w:w="1271" w:type="dxa"/>
            <w:vAlign w:val="center"/>
          </w:tcPr>
          <w:p w14:paraId="78570C90" w14:textId="33718F4D" w:rsidR="002E7F33" w:rsidRPr="00193169" w:rsidRDefault="002E7F33" w:rsidP="00ED51AA">
            <w:pPr>
              <w:pStyle w:val="Akapitzlist"/>
              <w:spacing w:before="120" w:after="120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  <w:t>Wysokie</w:t>
            </w:r>
          </w:p>
        </w:tc>
        <w:tc>
          <w:tcPr>
            <w:tcW w:w="5817" w:type="dxa"/>
            <w:vAlign w:val="center"/>
          </w:tcPr>
          <w:p w14:paraId="3E89FAB5" w14:textId="0AF9576D" w:rsidR="002E7F33" w:rsidRPr="00193169" w:rsidRDefault="0047157E" w:rsidP="00ED51AA">
            <w:pPr>
              <w:pStyle w:val="Akapitzlist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p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>odmioty lecznicze (szpital, zakład opiekuńczo-leczniczy, zakład pielęgnacyjno-opiekuńczy, zakład rehabilitacji leczniczej, hospicjum, zakład lecznictwa uzdrowiskowego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– 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lastRenderedPageBreak/>
              <w:t>sanatorium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>)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wodociągi zbiorowego zaopatrzenia w wodę i inne podmioty zaopatrzenia w wodę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; 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>zakład/salon wykonujący zabiegi z naruszeniem ciągłości tkanek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(m.in. kosmetyczny, tatuażu </w:t>
            </w:r>
            <w:proofErr w:type="spellStart"/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piercingu</w:t>
            </w:r>
            <w:proofErr w:type="spellEnd"/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)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dom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przedpogrzebow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>/zakład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pogrzebow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świadcząc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inwazyjne usługi związane z przygotowaniem zwłok do pochowania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m.in. tj.: </w:t>
            </w:r>
            <w:proofErr w:type="spellStart"/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balsamacja</w:t>
            </w:r>
            <w:proofErr w:type="spellEnd"/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, konserwacja, usuwanie elektrod/rozruszników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pralni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świadcząc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usługi dla podmiotów 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wykonujących działalność leczniczą</w:t>
            </w:r>
            <w:r w:rsidRPr="00193169">
              <w:rPr>
                <w:rFonts w:ascii="Lato" w:hAnsi="Lato" w:cs="TimesNewRomanPSMT"/>
                <w:kern w:val="0"/>
                <w:sz w:val="21"/>
                <w:szCs w:val="21"/>
              </w:rPr>
              <w:t>;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jednostki organizacyjne pomocy społecznej (dom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y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pomocy społecznej, placówk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i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zapewniając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e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całodobową opiekę, 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ogrzewalnie, 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>schronisk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a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dla bezdomnych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 xml:space="preserve"> z usługami opiekuńczymi</w:t>
            </w:r>
            <w:r w:rsidR="002E7F33" w:rsidRPr="00193169">
              <w:rPr>
                <w:rFonts w:ascii="Lato" w:hAnsi="Lato" w:cs="TimesNewRomanPSMT"/>
                <w:kern w:val="0"/>
                <w:sz w:val="21"/>
                <w:szCs w:val="21"/>
              </w:rPr>
              <w:t>)</w:t>
            </w:r>
            <w:r w:rsidR="00496DA8" w:rsidRPr="00193169">
              <w:rPr>
                <w:rFonts w:ascii="Lato" w:hAnsi="Lato" w:cs="TimesNewRomanPSMT"/>
                <w:kern w:val="0"/>
                <w:sz w:val="21"/>
                <w:szCs w:val="21"/>
              </w:rPr>
              <w:t>.</w:t>
            </w:r>
          </w:p>
        </w:tc>
        <w:tc>
          <w:tcPr>
            <w:tcW w:w="1984" w:type="dxa"/>
            <w:vAlign w:val="center"/>
          </w:tcPr>
          <w:p w14:paraId="4E63B81C" w14:textId="7B1A9664" w:rsidR="002E7F33" w:rsidRPr="00193169" w:rsidRDefault="002E7F33" w:rsidP="00ED51AA">
            <w:pPr>
              <w:pStyle w:val="Akapitzlist"/>
              <w:ind w:left="0"/>
              <w:contextualSpacing w:val="0"/>
              <w:rPr>
                <w:rFonts w:ascii="Lato" w:hAnsi="Lato" w:cs="TimesNewRomanPSMT"/>
                <w:b/>
                <w:bCs/>
                <w:kern w:val="0"/>
                <w:sz w:val="21"/>
                <w:szCs w:val="21"/>
              </w:rPr>
            </w:pPr>
            <w:r w:rsidRPr="00193169">
              <w:rPr>
                <w:rFonts w:ascii="Lato" w:hAnsi="Lato" w:cs="Times New Roman"/>
                <w:sz w:val="21"/>
                <w:szCs w:val="21"/>
              </w:rPr>
              <w:lastRenderedPageBreak/>
              <w:t xml:space="preserve">Tak często jak jest to konieczne dla zapewnienia </w:t>
            </w:r>
            <w:r w:rsidRPr="00193169">
              <w:rPr>
                <w:rFonts w:ascii="Lato" w:hAnsi="Lato" w:cs="Times New Roman"/>
                <w:sz w:val="21"/>
                <w:szCs w:val="21"/>
              </w:rPr>
              <w:lastRenderedPageBreak/>
              <w:t>skutecznego stosowania odpowiednich przepisów, z uwzględnieniem wysokiego ryzyka wystąpienia nieprawidłowości oraz środków niezbędnych do jego ograniczania</w:t>
            </w:r>
          </w:p>
        </w:tc>
      </w:tr>
    </w:tbl>
    <w:p w14:paraId="6CF7C701" w14:textId="77777777" w:rsidR="00491642" w:rsidRPr="00193169" w:rsidRDefault="00491642" w:rsidP="00491642">
      <w:pPr>
        <w:rPr>
          <w:rFonts w:ascii="Lato" w:hAnsi="Lato" w:cs="TimesNewRomanPSMT"/>
          <w:kern w:val="0"/>
          <w:sz w:val="21"/>
          <w:szCs w:val="21"/>
        </w:rPr>
      </w:pPr>
    </w:p>
    <w:p w14:paraId="463C87C2" w14:textId="77777777" w:rsidR="00A27955" w:rsidRPr="00193169" w:rsidRDefault="00491642" w:rsidP="00A27955">
      <w:pPr>
        <w:spacing w:after="0"/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Pobór próbek wody planuje się zgodnie z przepisami szczegółowymi w tym zakresie. </w:t>
      </w:r>
    </w:p>
    <w:p w14:paraId="31AED074" w14:textId="5A388B15" w:rsidR="00491642" w:rsidRPr="00193169" w:rsidRDefault="00491642" w:rsidP="00491642">
      <w:pPr>
        <w:rPr>
          <w:rFonts w:ascii="Lato" w:hAnsi="Lato" w:cs="TimesNewRomanPSMT"/>
          <w:kern w:val="0"/>
          <w:sz w:val="21"/>
          <w:szCs w:val="21"/>
        </w:rPr>
      </w:pPr>
      <w:r w:rsidRPr="00193169">
        <w:rPr>
          <w:rFonts w:ascii="Lato" w:hAnsi="Lato" w:cs="TimesNewRomanPSMT"/>
          <w:kern w:val="0"/>
          <w:sz w:val="21"/>
          <w:szCs w:val="21"/>
        </w:rPr>
        <w:t xml:space="preserve">W odniesieniu do wody do spożycia, w sytuacji, gdy dla wodociągu wydawano oceny o warunkowej lub braku przydatności wody do spożycia, PPIS może zdecydować o wzmożeniu nadzoru nad jakością wody z danego wodociągu. </w:t>
      </w:r>
    </w:p>
    <w:p w14:paraId="7A94E102" w14:textId="7DBE9E2A" w:rsidR="00E96B9F" w:rsidRPr="00193169" w:rsidRDefault="00E96B9F" w:rsidP="00491642">
      <w:pPr>
        <w:spacing w:before="120" w:after="120"/>
        <w:rPr>
          <w:rFonts w:ascii="Lato" w:hAnsi="Lato" w:cs="TimesNewRomanPSMT"/>
          <w:b/>
          <w:bCs/>
          <w:kern w:val="0"/>
          <w:sz w:val="21"/>
          <w:szCs w:val="21"/>
        </w:rPr>
      </w:pPr>
    </w:p>
    <w:p w14:paraId="2C6F5B32" w14:textId="77777777" w:rsidR="00CE09A2" w:rsidRPr="00193169" w:rsidRDefault="00CE09A2" w:rsidP="00ED51AA">
      <w:pPr>
        <w:rPr>
          <w:rFonts w:ascii="Lato" w:hAnsi="Lato" w:cs="Times New Roman"/>
          <w:sz w:val="21"/>
          <w:szCs w:val="21"/>
        </w:rPr>
      </w:pPr>
    </w:p>
    <w:p w14:paraId="6B9A5136" w14:textId="77777777" w:rsidR="00631709" w:rsidRPr="00193169" w:rsidRDefault="00631709" w:rsidP="00ED51AA">
      <w:pPr>
        <w:rPr>
          <w:rFonts w:ascii="Lato" w:hAnsi="Lato" w:cs="Times New Roman"/>
          <w:sz w:val="21"/>
          <w:szCs w:val="21"/>
        </w:rPr>
      </w:pPr>
    </w:p>
    <w:sectPr w:rsidR="00631709" w:rsidRPr="001931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6B48" w14:textId="77777777" w:rsidR="00326567" w:rsidRDefault="00326567" w:rsidP="00087901">
      <w:pPr>
        <w:spacing w:after="0" w:line="240" w:lineRule="auto"/>
      </w:pPr>
      <w:r>
        <w:separator/>
      </w:r>
    </w:p>
  </w:endnote>
  <w:endnote w:type="continuationSeparator" w:id="0">
    <w:p w14:paraId="2EF49B66" w14:textId="77777777" w:rsidR="00326567" w:rsidRDefault="00326567" w:rsidP="0008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20"/>
        <w:szCs w:val="20"/>
      </w:rPr>
      <w:id w:val="1387371671"/>
      <w:docPartObj>
        <w:docPartGallery w:val="Page Numbers (Bottom of Page)"/>
        <w:docPartUnique/>
      </w:docPartObj>
    </w:sdtPr>
    <w:sdtContent>
      <w:p w14:paraId="087AFA1A" w14:textId="49ADB6D6" w:rsidR="00087901" w:rsidRPr="00087901" w:rsidRDefault="00087901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087901">
          <w:rPr>
            <w:rFonts w:ascii="Lato" w:hAnsi="Lato"/>
            <w:sz w:val="20"/>
            <w:szCs w:val="20"/>
          </w:rPr>
          <w:fldChar w:fldCharType="begin"/>
        </w:r>
        <w:r w:rsidRPr="00087901">
          <w:rPr>
            <w:rFonts w:ascii="Lato" w:hAnsi="Lato"/>
            <w:sz w:val="20"/>
            <w:szCs w:val="20"/>
          </w:rPr>
          <w:instrText>PAGE   \* MERGEFORMAT</w:instrText>
        </w:r>
        <w:r w:rsidRPr="00087901">
          <w:rPr>
            <w:rFonts w:ascii="Lato" w:hAnsi="Lato"/>
            <w:sz w:val="20"/>
            <w:szCs w:val="20"/>
          </w:rPr>
          <w:fldChar w:fldCharType="separate"/>
        </w:r>
        <w:r w:rsidRPr="00087901">
          <w:rPr>
            <w:rFonts w:ascii="Lato" w:hAnsi="Lato"/>
            <w:sz w:val="20"/>
            <w:szCs w:val="20"/>
          </w:rPr>
          <w:t>2</w:t>
        </w:r>
        <w:r w:rsidRPr="00087901">
          <w:rPr>
            <w:rFonts w:ascii="Lato" w:hAnsi="Lato"/>
            <w:sz w:val="20"/>
            <w:szCs w:val="20"/>
          </w:rPr>
          <w:fldChar w:fldCharType="end"/>
        </w:r>
      </w:p>
    </w:sdtContent>
  </w:sdt>
  <w:p w14:paraId="514D6C38" w14:textId="77777777" w:rsidR="00087901" w:rsidRDefault="000879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EDA6" w14:textId="77777777" w:rsidR="00326567" w:rsidRDefault="00326567" w:rsidP="00087901">
      <w:pPr>
        <w:spacing w:after="0" w:line="240" w:lineRule="auto"/>
      </w:pPr>
      <w:r>
        <w:separator/>
      </w:r>
    </w:p>
  </w:footnote>
  <w:footnote w:type="continuationSeparator" w:id="0">
    <w:p w14:paraId="7F2FF3BE" w14:textId="77777777" w:rsidR="00326567" w:rsidRDefault="00326567" w:rsidP="0008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79C"/>
    <w:multiLevelType w:val="hybridMultilevel"/>
    <w:tmpl w:val="8E16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C3A30"/>
    <w:multiLevelType w:val="hybridMultilevel"/>
    <w:tmpl w:val="1B96A4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TimesNewRomanPS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106E"/>
    <w:multiLevelType w:val="multilevel"/>
    <w:tmpl w:val="1D7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4139F"/>
    <w:multiLevelType w:val="multilevel"/>
    <w:tmpl w:val="F22E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960E3"/>
    <w:multiLevelType w:val="hybridMultilevel"/>
    <w:tmpl w:val="56C4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E5D8F"/>
    <w:multiLevelType w:val="multilevel"/>
    <w:tmpl w:val="0F30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F789C"/>
    <w:multiLevelType w:val="multilevel"/>
    <w:tmpl w:val="AC14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8456C"/>
    <w:multiLevelType w:val="multilevel"/>
    <w:tmpl w:val="148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402DAC"/>
    <w:multiLevelType w:val="hybridMultilevel"/>
    <w:tmpl w:val="BDF28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F3B28"/>
    <w:multiLevelType w:val="hybridMultilevel"/>
    <w:tmpl w:val="389E82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DB62559"/>
    <w:multiLevelType w:val="multilevel"/>
    <w:tmpl w:val="BF1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6B5B50"/>
    <w:multiLevelType w:val="hybridMultilevel"/>
    <w:tmpl w:val="720E0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C6B8C"/>
    <w:multiLevelType w:val="hybridMultilevel"/>
    <w:tmpl w:val="596C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7534D9"/>
    <w:multiLevelType w:val="hybridMultilevel"/>
    <w:tmpl w:val="2794DFA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0F805065"/>
    <w:multiLevelType w:val="hybridMultilevel"/>
    <w:tmpl w:val="F5AEBF80"/>
    <w:lvl w:ilvl="0" w:tplc="819E0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B58A1"/>
    <w:multiLevelType w:val="hybridMultilevel"/>
    <w:tmpl w:val="C5D0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21ECE"/>
    <w:multiLevelType w:val="hybridMultilevel"/>
    <w:tmpl w:val="FA403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B758B"/>
    <w:multiLevelType w:val="hybridMultilevel"/>
    <w:tmpl w:val="8DAC9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9E68C3"/>
    <w:multiLevelType w:val="multilevel"/>
    <w:tmpl w:val="7B9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E84C42"/>
    <w:multiLevelType w:val="hybridMultilevel"/>
    <w:tmpl w:val="6B7A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3C571E"/>
    <w:multiLevelType w:val="hybridMultilevel"/>
    <w:tmpl w:val="C43CD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86851"/>
    <w:multiLevelType w:val="hybridMultilevel"/>
    <w:tmpl w:val="8DE06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2BB0D76"/>
    <w:multiLevelType w:val="hybridMultilevel"/>
    <w:tmpl w:val="0F50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931E7"/>
    <w:multiLevelType w:val="hybridMultilevel"/>
    <w:tmpl w:val="4AAAE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E17561"/>
    <w:multiLevelType w:val="hybridMultilevel"/>
    <w:tmpl w:val="A3628D40"/>
    <w:lvl w:ilvl="0" w:tplc="9C3629B2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ED4D66"/>
    <w:multiLevelType w:val="hybridMultilevel"/>
    <w:tmpl w:val="1BE0EB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624714"/>
    <w:multiLevelType w:val="hybridMultilevel"/>
    <w:tmpl w:val="39BC4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D13482"/>
    <w:multiLevelType w:val="hybridMultilevel"/>
    <w:tmpl w:val="5E902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7DC5805"/>
    <w:multiLevelType w:val="hybridMultilevel"/>
    <w:tmpl w:val="B88E9AD0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28312379"/>
    <w:multiLevelType w:val="multilevel"/>
    <w:tmpl w:val="090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7C467E"/>
    <w:multiLevelType w:val="hybridMultilevel"/>
    <w:tmpl w:val="3048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51F19"/>
    <w:multiLevelType w:val="hybridMultilevel"/>
    <w:tmpl w:val="76701B2A"/>
    <w:lvl w:ilvl="0" w:tplc="16D690D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2" w15:restartNumberingAfterBreak="0">
    <w:nsid w:val="29915F31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222601"/>
    <w:multiLevelType w:val="multilevel"/>
    <w:tmpl w:val="DD3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FB64F6"/>
    <w:multiLevelType w:val="hybridMultilevel"/>
    <w:tmpl w:val="00CE6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00747E"/>
    <w:multiLevelType w:val="multilevel"/>
    <w:tmpl w:val="A2C8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BE177C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336A68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901564"/>
    <w:multiLevelType w:val="multilevel"/>
    <w:tmpl w:val="BC6E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641479"/>
    <w:multiLevelType w:val="multilevel"/>
    <w:tmpl w:val="1368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E015BE"/>
    <w:multiLevelType w:val="hybridMultilevel"/>
    <w:tmpl w:val="BE38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C417C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1F4B7C"/>
    <w:multiLevelType w:val="hybridMultilevel"/>
    <w:tmpl w:val="0BB69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8110AA"/>
    <w:multiLevelType w:val="hybridMultilevel"/>
    <w:tmpl w:val="ED3C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801D65"/>
    <w:multiLevelType w:val="hybridMultilevel"/>
    <w:tmpl w:val="AFCA544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40BC2088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C220F2"/>
    <w:multiLevelType w:val="hybridMultilevel"/>
    <w:tmpl w:val="31BE92D2"/>
    <w:lvl w:ilvl="0" w:tplc="819E0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6E500A"/>
    <w:multiLevelType w:val="multilevel"/>
    <w:tmpl w:val="8F5E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FF0AE7"/>
    <w:multiLevelType w:val="hybridMultilevel"/>
    <w:tmpl w:val="E396B54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8" w15:restartNumberingAfterBreak="0">
    <w:nsid w:val="421010DF"/>
    <w:multiLevelType w:val="hybridMultilevel"/>
    <w:tmpl w:val="FF1A13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6CB21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78D2301"/>
    <w:multiLevelType w:val="hybridMultilevel"/>
    <w:tmpl w:val="2D240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E83C92"/>
    <w:multiLevelType w:val="hybridMultilevel"/>
    <w:tmpl w:val="BF3A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D06610"/>
    <w:multiLevelType w:val="hybridMultilevel"/>
    <w:tmpl w:val="913A0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206E22"/>
    <w:multiLevelType w:val="hybridMultilevel"/>
    <w:tmpl w:val="DFDE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4C6471"/>
    <w:multiLevelType w:val="multilevel"/>
    <w:tmpl w:val="022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1D28AA"/>
    <w:multiLevelType w:val="hybridMultilevel"/>
    <w:tmpl w:val="1B96A4EE"/>
    <w:lvl w:ilvl="0" w:tplc="A62C8C7C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3C32C6"/>
    <w:multiLevelType w:val="hybridMultilevel"/>
    <w:tmpl w:val="D52A490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51500C"/>
    <w:multiLevelType w:val="multilevel"/>
    <w:tmpl w:val="5432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9F7359"/>
    <w:multiLevelType w:val="hybridMultilevel"/>
    <w:tmpl w:val="58402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F12F81"/>
    <w:multiLevelType w:val="multilevel"/>
    <w:tmpl w:val="3E0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3E7358"/>
    <w:multiLevelType w:val="hybridMultilevel"/>
    <w:tmpl w:val="7DA49076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521063DA"/>
    <w:multiLevelType w:val="multilevel"/>
    <w:tmpl w:val="E53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015EE0"/>
    <w:multiLevelType w:val="hybridMultilevel"/>
    <w:tmpl w:val="19C4F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5C22AF4"/>
    <w:multiLevelType w:val="hybridMultilevel"/>
    <w:tmpl w:val="0D6EBB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5AE70EA2"/>
    <w:multiLevelType w:val="hybridMultilevel"/>
    <w:tmpl w:val="E4427C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BD2EC8"/>
    <w:multiLevelType w:val="hybridMultilevel"/>
    <w:tmpl w:val="55FE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091CEB"/>
    <w:multiLevelType w:val="hybridMultilevel"/>
    <w:tmpl w:val="4FAAB554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5C2129D5"/>
    <w:multiLevelType w:val="hybridMultilevel"/>
    <w:tmpl w:val="2D20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E5A65FB"/>
    <w:multiLevelType w:val="hybridMultilevel"/>
    <w:tmpl w:val="A5427B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EF94F9A"/>
    <w:multiLevelType w:val="hybridMultilevel"/>
    <w:tmpl w:val="532878F6"/>
    <w:lvl w:ilvl="0" w:tplc="9A7E7A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01A0C9A"/>
    <w:multiLevelType w:val="hybridMultilevel"/>
    <w:tmpl w:val="5B7E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4D2AF5"/>
    <w:multiLevelType w:val="hybridMultilevel"/>
    <w:tmpl w:val="67DA88C6"/>
    <w:lvl w:ilvl="0" w:tplc="A044C51E">
      <w:start w:val="1"/>
      <w:numFmt w:val="decimal"/>
      <w:lvlText w:val="%1."/>
      <w:lvlJc w:val="left"/>
      <w:pPr>
        <w:ind w:left="72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FC751F"/>
    <w:multiLevelType w:val="hybridMultilevel"/>
    <w:tmpl w:val="E65874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3" w15:restartNumberingAfterBreak="0">
    <w:nsid w:val="616A7120"/>
    <w:multiLevelType w:val="multilevel"/>
    <w:tmpl w:val="798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3A87B84"/>
    <w:multiLevelType w:val="hybridMultilevel"/>
    <w:tmpl w:val="AB0C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B958F2"/>
    <w:multiLevelType w:val="hybridMultilevel"/>
    <w:tmpl w:val="72303A7E"/>
    <w:lvl w:ilvl="0" w:tplc="A044C51E">
      <w:start w:val="1"/>
      <w:numFmt w:val="decimal"/>
      <w:lvlText w:val="%1."/>
      <w:lvlJc w:val="left"/>
      <w:pPr>
        <w:ind w:left="72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6" w15:restartNumberingAfterBreak="0">
    <w:nsid w:val="65617B5F"/>
    <w:multiLevelType w:val="multilevel"/>
    <w:tmpl w:val="8668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502419"/>
    <w:multiLevelType w:val="hybridMultilevel"/>
    <w:tmpl w:val="A6F45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BE32D7"/>
    <w:multiLevelType w:val="hybridMultilevel"/>
    <w:tmpl w:val="509003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6A271C36"/>
    <w:multiLevelType w:val="hybridMultilevel"/>
    <w:tmpl w:val="E5CA3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E76149"/>
    <w:multiLevelType w:val="multilevel"/>
    <w:tmpl w:val="140E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620C72"/>
    <w:multiLevelType w:val="hybridMultilevel"/>
    <w:tmpl w:val="5F5A890A"/>
    <w:lvl w:ilvl="0" w:tplc="A044C51E">
      <w:start w:val="1"/>
      <w:numFmt w:val="decimal"/>
      <w:lvlText w:val="%1."/>
      <w:lvlJc w:val="left"/>
      <w:pPr>
        <w:ind w:left="72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D26A3C"/>
    <w:multiLevelType w:val="multilevel"/>
    <w:tmpl w:val="934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A44E9D"/>
    <w:multiLevelType w:val="hybridMultilevel"/>
    <w:tmpl w:val="F7507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7B02FE"/>
    <w:multiLevelType w:val="hybridMultilevel"/>
    <w:tmpl w:val="2DD240E0"/>
    <w:lvl w:ilvl="0" w:tplc="819E0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C87633"/>
    <w:multiLevelType w:val="hybridMultilevel"/>
    <w:tmpl w:val="CA489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87E6F"/>
    <w:multiLevelType w:val="hybridMultilevel"/>
    <w:tmpl w:val="089A4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224D63"/>
    <w:multiLevelType w:val="hybridMultilevel"/>
    <w:tmpl w:val="1BCCA000"/>
    <w:lvl w:ilvl="0" w:tplc="DFE4E5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813049"/>
    <w:multiLevelType w:val="multilevel"/>
    <w:tmpl w:val="368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94782C"/>
    <w:multiLevelType w:val="hybridMultilevel"/>
    <w:tmpl w:val="99F4B332"/>
    <w:lvl w:ilvl="0" w:tplc="13EEF3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980656"/>
    <w:multiLevelType w:val="hybridMultilevel"/>
    <w:tmpl w:val="AD5E6E7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CF3C56"/>
    <w:multiLevelType w:val="hybridMultilevel"/>
    <w:tmpl w:val="D69007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7C9825DA"/>
    <w:multiLevelType w:val="multilevel"/>
    <w:tmpl w:val="C3A88F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D2B35C0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631525">
    <w:abstractNumId w:val="38"/>
  </w:num>
  <w:num w:numId="2" w16cid:durableId="224797572">
    <w:abstractNumId w:val="80"/>
  </w:num>
  <w:num w:numId="3" w16cid:durableId="678696657">
    <w:abstractNumId w:val="46"/>
  </w:num>
  <w:num w:numId="4" w16cid:durableId="580480670">
    <w:abstractNumId w:val="5"/>
  </w:num>
  <w:num w:numId="5" w16cid:durableId="1036546741">
    <w:abstractNumId w:val="59"/>
  </w:num>
  <w:num w:numId="6" w16cid:durableId="1992371562">
    <w:abstractNumId w:val="54"/>
  </w:num>
  <w:num w:numId="7" w16cid:durableId="786898394">
    <w:abstractNumId w:val="2"/>
  </w:num>
  <w:num w:numId="8" w16cid:durableId="1858274145">
    <w:abstractNumId w:val="65"/>
  </w:num>
  <w:num w:numId="9" w16cid:durableId="1099523135">
    <w:abstractNumId w:val="4"/>
  </w:num>
  <w:num w:numId="10" w16cid:durableId="492837006">
    <w:abstractNumId w:val="41"/>
  </w:num>
  <w:num w:numId="11" w16cid:durableId="1163198477">
    <w:abstractNumId w:val="16"/>
  </w:num>
  <w:num w:numId="12" w16cid:durableId="1301763479">
    <w:abstractNumId w:val="52"/>
  </w:num>
  <w:num w:numId="13" w16cid:durableId="2004237336">
    <w:abstractNumId w:val="22"/>
  </w:num>
  <w:num w:numId="14" w16cid:durableId="700132167">
    <w:abstractNumId w:val="12"/>
  </w:num>
  <w:num w:numId="15" w16cid:durableId="301733887">
    <w:abstractNumId w:val="69"/>
  </w:num>
  <w:num w:numId="16" w16cid:durableId="1658800177">
    <w:abstractNumId w:val="48"/>
  </w:num>
  <w:num w:numId="17" w16cid:durableId="526718326">
    <w:abstractNumId w:val="13"/>
  </w:num>
  <w:num w:numId="18" w16cid:durableId="139078928">
    <w:abstractNumId w:val="91"/>
  </w:num>
  <w:num w:numId="19" w16cid:durableId="19859606">
    <w:abstractNumId w:val="9"/>
  </w:num>
  <w:num w:numId="20" w16cid:durableId="1758212763">
    <w:abstractNumId w:val="58"/>
  </w:num>
  <w:num w:numId="21" w16cid:durableId="1954169329">
    <w:abstractNumId w:val="85"/>
  </w:num>
  <w:num w:numId="22" w16cid:durableId="156121372">
    <w:abstractNumId w:val="34"/>
  </w:num>
  <w:num w:numId="23" w16cid:durableId="2093892724">
    <w:abstractNumId w:val="74"/>
  </w:num>
  <w:num w:numId="24" w16cid:durableId="1746948173">
    <w:abstractNumId w:val="66"/>
  </w:num>
  <w:num w:numId="25" w16cid:durableId="524749638">
    <w:abstractNumId w:val="31"/>
  </w:num>
  <w:num w:numId="26" w16cid:durableId="1355425092">
    <w:abstractNumId w:val="60"/>
  </w:num>
  <w:num w:numId="27" w16cid:durableId="410543626">
    <w:abstractNumId w:val="82"/>
  </w:num>
  <w:num w:numId="28" w16cid:durableId="798768558">
    <w:abstractNumId w:val="3"/>
  </w:num>
  <w:num w:numId="29" w16cid:durableId="1096439268">
    <w:abstractNumId w:val="88"/>
  </w:num>
  <w:num w:numId="30" w16cid:durableId="292373568">
    <w:abstractNumId w:val="57"/>
  </w:num>
  <w:num w:numId="31" w16cid:durableId="1335836705">
    <w:abstractNumId w:val="39"/>
  </w:num>
  <w:num w:numId="32" w16cid:durableId="1222517852">
    <w:abstractNumId w:val="18"/>
  </w:num>
  <w:num w:numId="33" w16cid:durableId="1858157116">
    <w:abstractNumId w:val="47"/>
  </w:num>
  <w:num w:numId="34" w16cid:durableId="1785690467">
    <w:abstractNumId w:val="26"/>
  </w:num>
  <w:num w:numId="35" w16cid:durableId="1273591015">
    <w:abstractNumId w:val="19"/>
  </w:num>
  <w:num w:numId="36" w16cid:durableId="455678423">
    <w:abstractNumId w:val="83"/>
  </w:num>
  <w:num w:numId="37" w16cid:durableId="1010986828">
    <w:abstractNumId w:val="93"/>
  </w:num>
  <w:num w:numId="38" w16cid:durableId="1227951920">
    <w:abstractNumId w:val="44"/>
  </w:num>
  <w:num w:numId="39" w16cid:durableId="1130975756">
    <w:abstractNumId w:val="86"/>
  </w:num>
  <w:num w:numId="40" w16cid:durableId="1965384437">
    <w:abstractNumId w:val="37"/>
  </w:num>
  <w:num w:numId="41" w16cid:durableId="933321831">
    <w:abstractNumId w:val="32"/>
  </w:num>
  <w:num w:numId="42" w16cid:durableId="1225486209">
    <w:abstractNumId w:val="8"/>
  </w:num>
  <w:num w:numId="43" w16cid:durableId="580337175">
    <w:abstractNumId w:val="29"/>
  </w:num>
  <w:num w:numId="44" w16cid:durableId="141241625">
    <w:abstractNumId w:val="73"/>
  </w:num>
  <w:num w:numId="45" w16cid:durableId="1092553733">
    <w:abstractNumId w:val="6"/>
  </w:num>
  <w:num w:numId="46" w16cid:durableId="717896123">
    <w:abstractNumId w:val="76"/>
  </w:num>
  <w:num w:numId="47" w16cid:durableId="482310265">
    <w:abstractNumId w:val="61"/>
  </w:num>
  <w:num w:numId="48" w16cid:durableId="1206480639">
    <w:abstractNumId w:val="79"/>
  </w:num>
  <w:num w:numId="49" w16cid:durableId="1117213045">
    <w:abstractNumId w:val="35"/>
  </w:num>
  <w:num w:numId="50" w16cid:durableId="1070078874">
    <w:abstractNumId w:val="33"/>
  </w:num>
  <w:num w:numId="51" w16cid:durableId="473957867">
    <w:abstractNumId w:val="7"/>
  </w:num>
  <w:num w:numId="52" w16cid:durableId="2035885182">
    <w:abstractNumId w:val="43"/>
  </w:num>
  <w:num w:numId="53" w16cid:durableId="1930578172">
    <w:abstractNumId w:val="42"/>
  </w:num>
  <w:num w:numId="54" w16cid:durableId="429813990">
    <w:abstractNumId w:val="87"/>
  </w:num>
  <w:num w:numId="55" w16cid:durableId="417100536">
    <w:abstractNumId w:val="64"/>
  </w:num>
  <w:num w:numId="56" w16cid:durableId="1409577657">
    <w:abstractNumId w:val="92"/>
  </w:num>
  <w:num w:numId="57" w16cid:durableId="1671131447">
    <w:abstractNumId w:val="21"/>
  </w:num>
  <w:num w:numId="58" w16cid:durableId="1606771272">
    <w:abstractNumId w:val="27"/>
  </w:num>
  <w:num w:numId="59" w16cid:durableId="236478983">
    <w:abstractNumId w:val="77"/>
  </w:num>
  <w:num w:numId="60" w16cid:durableId="359862517">
    <w:abstractNumId w:val="50"/>
  </w:num>
  <w:num w:numId="61" w16cid:durableId="1649476662">
    <w:abstractNumId w:val="89"/>
  </w:num>
  <w:num w:numId="62" w16cid:durableId="840465068">
    <w:abstractNumId w:val="67"/>
  </w:num>
  <w:num w:numId="63" w16cid:durableId="2020739437">
    <w:abstractNumId w:val="63"/>
  </w:num>
  <w:num w:numId="64" w16cid:durableId="459540132">
    <w:abstractNumId w:val="72"/>
  </w:num>
  <w:num w:numId="65" w16cid:durableId="1221794462">
    <w:abstractNumId w:val="17"/>
  </w:num>
  <w:num w:numId="66" w16cid:durableId="665282011">
    <w:abstractNumId w:val="23"/>
  </w:num>
  <w:num w:numId="67" w16cid:durableId="1398897148">
    <w:abstractNumId w:val="15"/>
  </w:num>
  <w:num w:numId="68" w16cid:durableId="1137648835">
    <w:abstractNumId w:val="0"/>
  </w:num>
  <w:num w:numId="69" w16cid:durableId="897013529">
    <w:abstractNumId w:val="36"/>
  </w:num>
  <w:num w:numId="70" w16cid:durableId="1823237198">
    <w:abstractNumId w:val="51"/>
  </w:num>
  <w:num w:numId="71" w16cid:durableId="615450529">
    <w:abstractNumId w:val="53"/>
  </w:num>
  <w:num w:numId="72" w16cid:durableId="152109334">
    <w:abstractNumId w:val="55"/>
  </w:num>
  <w:num w:numId="73" w16cid:durableId="1369066659">
    <w:abstractNumId w:val="62"/>
  </w:num>
  <w:num w:numId="74" w16cid:durableId="1981567669">
    <w:abstractNumId w:val="10"/>
  </w:num>
  <w:num w:numId="75" w16cid:durableId="191234065">
    <w:abstractNumId w:val="49"/>
  </w:num>
  <w:num w:numId="76" w16cid:durableId="420763162">
    <w:abstractNumId w:val="78"/>
  </w:num>
  <w:num w:numId="77" w16cid:durableId="154146369">
    <w:abstractNumId w:val="40"/>
  </w:num>
  <w:num w:numId="78" w16cid:durableId="593250212">
    <w:abstractNumId w:val="30"/>
  </w:num>
  <w:num w:numId="79" w16cid:durableId="250282032">
    <w:abstractNumId w:val="70"/>
  </w:num>
  <w:num w:numId="80" w16cid:durableId="1759713516">
    <w:abstractNumId w:val="68"/>
  </w:num>
  <w:num w:numId="81" w16cid:durableId="1814103492">
    <w:abstractNumId w:val="75"/>
  </w:num>
  <w:num w:numId="82" w16cid:durableId="517159204">
    <w:abstractNumId w:val="71"/>
  </w:num>
  <w:num w:numId="83" w16cid:durableId="1219247200">
    <w:abstractNumId w:val="81"/>
  </w:num>
  <w:num w:numId="84" w16cid:durableId="382412003">
    <w:abstractNumId w:val="45"/>
  </w:num>
  <w:num w:numId="85" w16cid:durableId="1474330395">
    <w:abstractNumId w:val="14"/>
  </w:num>
  <w:num w:numId="86" w16cid:durableId="1188905437">
    <w:abstractNumId w:val="84"/>
  </w:num>
  <w:num w:numId="87" w16cid:durableId="1711615372">
    <w:abstractNumId w:val="11"/>
  </w:num>
  <w:num w:numId="88" w16cid:durableId="1773547259">
    <w:abstractNumId w:val="20"/>
  </w:num>
  <w:num w:numId="89" w16cid:durableId="238907233">
    <w:abstractNumId w:val="1"/>
  </w:num>
  <w:num w:numId="90" w16cid:durableId="1787000470">
    <w:abstractNumId w:val="28"/>
  </w:num>
  <w:num w:numId="91" w16cid:durableId="483666156">
    <w:abstractNumId w:val="25"/>
  </w:num>
  <w:num w:numId="92" w16cid:durableId="1597136230">
    <w:abstractNumId w:val="56"/>
  </w:num>
  <w:num w:numId="93" w16cid:durableId="1685091592">
    <w:abstractNumId w:val="90"/>
  </w:num>
  <w:num w:numId="94" w16cid:durableId="19260628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4A"/>
    <w:rsid w:val="0000154A"/>
    <w:rsid w:val="00007997"/>
    <w:rsid w:val="00010573"/>
    <w:rsid w:val="00012DC6"/>
    <w:rsid w:val="00014183"/>
    <w:rsid w:val="000164E5"/>
    <w:rsid w:val="000167B9"/>
    <w:rsid w:val="00022A02"/>
    <w:rsid w:val="00024CC6"/>
    <w:rsid w:val="00026B95"/>
    <w:rsid w:val="0003011F"/>
    <w:rsid w:val="00030587"/>
    <w:rsid w:val="00034D7B"/>
    <w:rsid w:val="00035878"/>
    <w:rsid w:val="00042E73"/>
    <w:rsid w:val="000448BD"/>
    <w:rsid w:val="00046D28"/>
    <w:rsid w:val="00065E09"/>
    <w:rsid w:val="00074DBF"/>
    <w:rsid w:val="0008464F"/>
    <w:rsid w:val="0008564B"/>
    <w:rsid w:val="00087901"/>
    <w:rsid w:val="000912DE"/>
    <w:rsid w:val="0009493A"/>
    <w:rsid w:val="000A3219"/>
    <w:rsid w:val="000A583D"/>
    <w:rsid w:val="000A7189"/>
    <w:rsid w:val="000B7F07"/>
    <w:rsid w:val="000C4470"/>
    <w:rsid w:val="000D3774"/>
    <w:rsid w:val="000D4719"/>
    <w:rsid w:val="000F471E"/>
    <w:rsid w:val="000F67AB"/>
    <w:rsid w:val="00100A35"/>
    <w:rsid w:val="00117304"/>
    <w:rsid w:val="001174BA"/>
    <w:rsid w:val="00117E61"/>
    <w:rsid w:val="001300B0"/>
    <w:rsid w:val="0013108F"/>
    <w:rsid w:val="001334E3"/>
    <w:rsid w:val="001345E4"/>
    <w:rsid w:val="00136411"/>
    <w:rsid w:val="0014020C"/>
    <w:rsid w:val="0014057A"/>
    <w:rsid w:val="00147585"/>
    <w:rsid w:val="0015173C"/>
    <w:rsid w:val="00151A65"/>
    <w:rsid w:val="00151F15"/>
    <w:rsid w:val="0015447B"/>
    <w:rsid w:val="001707CD"/>
    <w:rsid w:val="0017348D"/>
    <w:rsid w:val="0017620D"/>
    <w:rsid w:val="001860D8"/>
    <w:rsid w:val="00193169"/>
    <w:rsid w:val="00196735"/>
    <w:rsid w:val="001A634F"/>
    <w:rsid w:val="001A6EF4"/>
    <w:rsid w:val="001B09C0"/>
    <w:rsid w:val="001B18C2"/>
    <w:rsid w:val="001B6327"/>
    <w:rsid w:val="001C4101"/>
    <w:rsid w:val="001C5002"/>
    <w:rsid w:val="001D2355"/>
    <w:rsid w:val="001D5A56"/>
    <w:rsid w:val="001F5015"/>
    <w:rsid w:val="00200A4F"/>
    <w:rsid w:val="002062D5"/>
    <w:rsid w:val="00211545"/>
    <w:rsid w:val="00211981"/>
    <w:rsid w:val="00224CF1"/>
    <w:rsid w:val="00227FFB"/>
    <w:rsid w:val="0023552D"/>
    <w:rsid w:val="00243A2A"/>
    <w:rsid w:val="002474B4"/>
    <w:rsid w:val="00251BFD"/>
    <w:rsid w:val="00254274"/>
    <w:rsid w:val="00254470"/>
    <w:rsid w:val="00254A26"/>
    <w:rsid w:val="00261EE3"/>
    <w:rsid w:val="00264018"/>
    <w:rsid w:val="00282F55"/>
    <w:rsid w:val="002844C9"/>
    <w:rsid w:val="00284D09"/>
    <w:rsid w:val="00290069"/>
    <w:rsid w:val="0029447C"/>
    <w:rsid w:val="00294EB1"/>
    <w:rsid w:val="00296B02"/>
    <w:rsid w:val="00297D0F"/>
    <w:rsid w:val="002A2B6E"/>
    <w:rsid w:val="002A2B81"/>
    <w:rsid w:val="002A7410"/>
    <w:rsid w:val="002B08D0"/>
    <w:rsid w:val="002B6179"/>
    <w:rsid w:val="002C107B"/>
    <w:rsid w:val="002D145B"/>
    <w:rsid w:val="002D3E34"/>
    <w:rsid w:val="002E7F33"/>
    <w:rsid w:val="002F0556"/>
    <w:rsid w:val="002F0DAA"/>
    <w:rsid w:val="002F2D5E"/>
    <w:rsid w:val="00301672"/>
    <w:rsid w:val="00302609"/>
    <w:rsid w:val="003168A9"/>
    <w:rsid w:val="00317A96"/>
    <w:rsid w:val="00326567"/>
    <w:rsid w:val="00331EB0"/>
    <w:rsid w:val="00336B11"/>
    <w:rsid w:val="00336E7A"/>
    <w:rsid w:val="00336EE7"/>
    <w:rsid w:val="0034688A"/>
    <w:rsid w:val="003532F0"/>
    <w:rsid w:val="00365267"/>
    <w:rsid w:val="00376A7D"/>
    <w:rsid w:val="00394D5E"/>
    <w:rsid w:val="003B3839"/>
    <w:rsid w:val="003D684C"/>
    <w:rsid w:val="003E44BD"/>
    <w:rsid w:val="003E5C9C"/>
    <w:rsid w:val="00403F82"/>
    <w:rsid w:val="00407B07"/>
    <w:rsid w:val="00415984"/>
    <w:rsid w:val="00415A76"/>
    <w:rsid w:val="00417844"/>
    <w:rsid w:val="004206EA"/>
    <w:rsid w:val="0043485B"/>
    <w:rsid w:val="0043691A"/>
    <w:rsid w:val="00440C46"/>
    <w:rsid w:val="00453444"/>
    <w:rsid w:val="00455BD9"/>
    <w:rsid w:val="00456536"/>
    <w:rsid w:val="00463AEA"/>
    <w:rsid w:val="0047157E"/>
    <w:rsid w:val="00491642"/>
    <w:rsid w:val="00493E05"/>
    <w:rsid w:val="0049690E"/>
    <w:rsid w:val="00496D8B"/>
    <w:rsid w:val="00496DA8"/>
    <w:rsid w:val="004C45CE"/>
    <w:rsid w:val="004C7974"/>
    <w:rsid w:val="004D634C"/>
    <w:rsid w:val="004F54B6"/>
    <w:rsid w:val="00503AB2"/>
    <w:rsid w:val="00507E19"/>
    <w:rsid w:val="005123C1"/>
    <w:rsid w:val="00533739"/>
    <w:rsid w:val="0053414C"/>
    <w:rsid w:val="005366BA"/>
    <w:rsid w:val="00560591"/>
    <w:rsid w:val="00560647"/>
    <w:rsid w:val="0056546F"/>
    <w:rsid w:val="005661FB"/>
    <w:rsid w:val="00581DD7"/>
    <w:rsid w:val="00583D37"/>
    <w:rsid w:val="00597397"/>
    <w:rsid w:val="005A36BE"/>
    <w:rsid w:val="005A7C95"/>
    <w:rsid w:val="005B0866"/>
    <w:rsid w:val="005B1FF7"/>
    <w:rsid w:val="005D2CB1"/>
    <w:rsid w:val="005D4C47"/>
    <w:rsid w:val="005D5E85"/>
    <w:rsid w:val="005D7CA3"/>
    <w:rsid w:val="005F0FB8"/>
    <w:rsid w:val="005F2B73"/>
    <w:rsid w:val="005F2BA1"/>
    <w:rsid w:val="005F3205"/>
    <w:rsid w:val="00600DDE"/>
    <w:rsid w:val="00602B66"/>
    <w:rsid w:val="006054ED"/>
    <w:rsid w:val="00624889"/>
    <w:rsid w:val="00631709"/>
    <w:rsid w:val="00640FA9"/>
    <w:rsid w:val="006449F2"/>
    <w:rsid w:val="00653C64"/>
    <w:rsid w:val="00656A59"/>
    <w:rsid w:val="00661A4A"/>
    <w:rsid w:val="006663CF"/>
    <w:rsid w:val="00667DAE"/>
    <w:rsid w:val="00675E0F"/>
    <w:rsid w:val="00682330"/>
    <w:rsid w:val="0068258A"/>
    <w:rsid w:val="0068360F"/>
    <w:rsid w:val="00690E51"/>
    <w:rsid w:val="00692DB8"/>
    <w:rsid w:val="00696A3A"/>
    <w:rsid w:val="006A5F8A"/>
    <w:rsid w:val="006B13CD"/>
    <w:rsid w:val="006B43C9"/>
    <w:rsid w:val="006B5334"/>
    <w:rsid w:val="006C5D49"/>
    <w:rsid w:val="006E212F"/>
    <w:rsid w:val="006F0799"/>
    <w:rsid w:val="006F46B7"/>
    <w:rsid w:val="006F4F27"/>
    <w:rsid w:val="00701BE1"/>
    <w:rsid w:val="00702A00"/>
    <w:rsid w:val="0070698E"/>
    <w:rsid w:val="0071349B"/>
    <w:rsid w:val="00714522"/>
    <w:rsid w:val="007149EA"/>
    <w:rsid w:val="00716CB9"/>
    <w:rsid w:val="00717552"/>
    <w:rsid w:val="00726850"/>
    <w:rsid w:val="00727B77"/>
    <w:rsid w:val="007413F4"/>
    <w:rsid w:val="007435AB"/>
    <w:rsid w:val="00744C3E"/>
    <w:rsid w:val="00755745"/>
    <w:rsid w:val="00764F2E"/>
    <w:rsid w:val="00774204"/>
    <w:rsid w:val="00793E44"/>
    <w:rsid w:val="00796C5E"/>
    <w:rsid w:val="007973D1"/>
    <w:rsid w:val="007A4F5A"/>
    <w:rsid w:val="007A5AAD"/>
    <w:rsid w:val="007B474B"/>
    <w:rsid w:val="007C121E"/>
    <w:rsid w:val="007C1CE2"/>
    <w:rsid w:val="007D04E7"/>
    <w:rsid w:val="007D23E7"/>
    <w:rsid w:val="007D6B59"/>
    <w:rsid w:val="007E4F91"/>
    <w:rsid w:val="007F322B"/>
    <w:rsid w:val="007F50B2"/>
    <w:rsid w:val="007F54C8"/>
    <w:rsid w:val="00803BB4"/>
    <w:rsid w:val="008042B1"/>
    <w:rsid w:val="008051AD"/>
    <w:rsid w:val="008058B1"/>
    <w:rsid w:val="00812ACD"/>
    <w:rsid w:val="00812F7E"/>
    <w:rsid w:val="00813DC3"/>
    <w:rsid w:val="00823273"/>
    <w:rsid w:val="00830A8E"/>
    <w:rsid w:val="00837FE7"/>
    <w:rsid w:val="0084459C"/>
    <w:rsid w:val="00852460"/>
    <w:rsid w:val="00853F8B"/>
    <w:rsid w:val="00856D52"/>
    <w:rsid w:val="008618B9"/>
    <w:rsid w:val="008635F0"/>
    <w:rsid w:val="00864921"/>
    <w:rsid w:val="008747C0"/>
    <w:rsid w:val="00877422"/>
    <w:rsid w:val="008816A3"/>
    <w:rsid w:val="00890557"/>
    <w:rsid w:val="00894751"/>
    <w:rsid w:val="008C15F7"/>
    <w:rsid w:val="008C1A7E"/>
    <w:rsid w:val="008C2372"/>
    <w:rsid w:val="008D12A3"/>
    <w:rsid w:val="009017F7"/>
    <w:rsid w:val="009130B3"/>
    <w:rsid w:val="0091454E"/>
    <w:rsid w:val="00920190"/>
    <w:rsid w:val="00925DEF"/>
    <w:rsid w:val="0093621A"/>
    <w:rsid w:val="00944DC2"/>
    <w:rsid w:val="0094535D"/>
    <w:rsid w:val="00945406"/>
    <w:rsid w:val="00953834"/>
    <w:rsid w:val="0095487C"/>
    <w:rsid w:val="00985347"/>
    <w:rsid w:val="00987D89"/>
    <w:rsid w:val="0099461C"/>
    <w:rsid w:val="009948B5"/>
    <w:rsid w:val="00995CE0"/>
    <w:rsid w:val="00997477"/>
    <w:rsid w:val="009A1579"/>
    <w:rsid w:val="009A6A0F"/>
    <w:rsid w:val="009A79BB"/>
    <w:rsid w:val="009B533E"/>
    <w:rsid w:val="009B6F00"/>
    <w:rsid w:val="009C35FA"/>
    <w:rsid w:val="009C7C81"/>
    <w:rsid w:val="009D2847"/>
    <w:rsid w:val="009D7E7B"/>
    <w:rsid w:val="009E7844"/>
    <w:rsid w:val="009F04D9"/>
    <w:rsid w:val="009F25FA"/>
    <w:rsid w:val="00A16DDB"/>
    <w:rsid w:val="00A217A3"/>
    <w:rsid w:val="00A22D24"/>
    <w:rsid w:val="00A24537"/>
    <w:rsid w:val="00A2499A"/>
    <w:rsid w:val="00A276F3"/>
    <w:rsid w:val="00A27955"/>
    <w:rsid w:val="00A32787"/>
    <w:rsid w:val="00A3737C"/>
    <w:rsid w:val="00A37C16"/>
    <w:rsid w:val="00A46399"/>
    <w:rsid w:val="00A53AC6"/>
    <w:rsid w:val="00A56377"/>
    <w:rsid w:val="00A60EA9"/>
    <w:rsid w:val="00A657EB"/>
    <w:rsid w:val="00A65D2B"/>
    <w:rsid w:val="00A67216"/>
    <w:rsid w:val="00A80045"/>
    <w:rsid w:val="00A81FFC"/>
    <w:rsid w:val="00A831A7"/>
    <w:rsid w:val="00A87F62"/>
    <w:rsid w:val="00AA094B"/>
    <w:rsid w:val="00AA275A"/>
    <w:rsid w:val="00AA2FBB"/>
    <w:rsid w:val="00AC091D"/>
    <w:rsid w:val="00AC0F31"/>
    <w:rsid w:val="00AC59A8"/>
    <w:rsid w:val="00AE0C5F"/>
    <w:rsid w:val="00AE285B"/>
    <w:rsid w:val="00AE7625"/>
    <w:rsid w:val="00AF6F29"/>
    <w:rsid w:val="00B06963"/>
    <w:rsid w:val="00B170D0"/>
    <w:rsid w:val="00B233FE"/>
    <w:rsid w:val="00B34384"/>
    <w:rsid w:val="00B347B0"/>
    <w:rsid w:val="00B4252B"/>
    <w:rsid w:val="00B539E7"/>
    <w:rsid w:val="00B57917"/>
    <w:rsid w:val="00B642C5"/>
    <w:rsid w:val="00B6669E"/>
    <w:rsid w:val="00B66823"/>
    <w:rsid w:val="00B75140"/>
    <w:rsid w:val="00B868EB"/>
    <w:rsid w:val="00B86D47"/>
    <w:rsid w:val="00B91D2C"/>
    <w:rsid w:val="00BA3A11"/>
    <w:rsid w:val="00BB0646"/>
    <w:rsid w:val="00BB376D"/>
    <w:rsid w:val="00BB6B6F"/>
    <w:rsid w:val="00BC6D35"/>
    <w:rsid w:val="00BD7238"/>
    <w:rsid w:val="00BF0454"/>
    <w:rsid w:val="00BF2061"/>
    <w:rsid w:val="00C02EA0"/>
    <w:rsid w:val="00C2201D"/>
    <w:rsid w:val="00C277DB"/>
    <w:rsid w:val="00C33EC1"/>
    <w:rsid w:val="00C349FF"/>
    <w:rsid w:val="00C34F65"/>
    <w:rsid w:val="00C369B1"/>
    <w:rsid w:val="00C415B6"/>
    <w:rsid w:val="00C44A99"/>
    <w:rsid w:val="00C5619D"/>
    <w:rsid w:val="00C61A2C"/>
    <w:rsid w:val="00C64426"/>
    <w:rsid w:val="00C67E71"/>
    <w:rsid w:val="00C77E41"/>
    <w:rsid w:val="00C9110B"/>
    <w:rsid w:val="00CA4E23"/>
    <w:rsid w:val="00CB3306"/>
    <w:rsid w:val="00CB478E"/>
    <w:rsid w:val="00CB65CA"/>
    <w:rsid w:val="00CC2988"/>
    <w:rsid w:val="00CE09A2"/>
    <w:rsid w:val="00CE1805"/>
    <w:rsid w:val="00CE710E"/>
    <w:rsid w:val="00CF0440"/>
    <w:rsid w:val="00CF2300"/>
    <w:rsid w:val="00CF4B24"/>
    <w:rsid w:val="00CF7014"/>
    <w:rsid w:val="00D2279C"/>
    <w:rsid w:val="00D24520"/>
    <w:rsid w:val="00D304C9"/>
    <w:rsid w:val="00D30B4F"/>
    <w:rsid w:val="00D43B00"/>
    <w:rsid w:val="00D46571"/>
    <w:rsid w:val="00D46EB1"/>
    <w:rsid w:val="00D51975"/>
    <w:rsid w:val="00D56CB8"/>
    <w:rsid w:val="00D66064"/>
    <w:rsid w:val="00D67EDF"/>
    <w:rsid w:val="00D776CA"/>
    <w:rsid w:val="00D80584"/>
    <w:rsid w:val="00D92F73"/>
    <w:rsid w:val="00D93C3E"/>
    <w:rsid w:val="00DA45B3"/>
    <w:rsid w:val="00DC14FD"/>
    <w:rsid w:val="00DD7F1D"/>
    <w:rsid w:val="00DE2147"/>
    <w:rsid w:val="00DE4B8D"/>
    <w:rsid w:val="00DE7653"/>
    <w:rsid w:val="00DF50C7"/>
    <w:rsid w:val="00E1558E"/>
    <w:rsid w:val="00E1562D"/>
    <w:rsid w:val="00E17F2D"/>
    <w:rsid w:val="00E27718"/>
    <w:rsid w:val="00E344ED"/>
    <w:rsid w:val="00E46C62"/>
    <w:rsid w:val="00E7136B"/>
    <w:rsid w:val="00E92985"/>
    <w:rsid w:val="00E96B9F"/>
    <w:rsid w:val="00E977D1"/>
    <w:rsid w:val="00EA4E35"/>
    <w:rsid w:val="00EA5626"/>
    <w:rsid w:val="00EB7085"/>
    <w:rsid w:val="00EC12B7"/>
    <w:rsid w:val="00EC7933"/>
    <w:rsid w:val="00ED2486"/>
    <w:rsid w:val="00ED51AA"/>
    <w:rsid w:val="00ED5569"/>
    <w:rsid w:val="00ED6677"/>
    <w:rsid w:val="00F2511A"/>
    <w:rsid w:val="00F34039"/>
    <w:rsid w:val="00F356A9"/>
    <w:rsid w:val="00F37225"/>
    <w:rsid w:val="00F45F61"/>
    <w:rsid w:val="00F50151"/>
    <w:rsid w:val="00F52ECB"/>
    <w:rsid w:val="00F573A1"/>
    <w:rsid w:val="00F578BA"/>
    <w:rsid w:val="00F614B1"/>
    <w:rsid w:val="00F67960"/>
    <w:rsid w:val="00F716CB"/>
    <w:rsid w:val="00F732D8"/>
    <w:rsid w:val="00F80A5F"/>
    <w:rsid w:val="00F8292E"/>
    <w:rsid w:val="00F92BBB"/>
    <w:rsid w:val="00FA18DD"/>
    <w:rsid w:val="00FA33A3"/>
    <w:rsid w:val="00FC3419"/>
    <w:rsid w:val="00FC73C2"/>
    <w:rsid w:val="00FD155C"/>
    <w:rsid w:val="00FE376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F7FB"/>
  <w15:chartTrackingRefBased/>
  <w15:docId w15:val="{58313557-DFD1-46D2-B0CD-ED1748C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A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A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A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A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A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A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A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A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A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A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A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6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5D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D2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50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0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0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0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0C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901"/>
  </w:style>
  <w:style w:type="paragraph" w:styleId="Stopka">
    <w:name w:val="footer"/>
    <w:basedOn w:val="Normalny"/>
    <w:link w:val="StopkaZnak"/>
    <w:uiPriority w:val="99"/>
    <w:unhideWhenUsed/>
    <w:rsid w:val="000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idzbarkwarmin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8FEB-5E7B-4DFA-965B-CD588BE6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13</Pages>
  <Words>3837</Words>
  <Characters>23025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Ewa Zielińska</dc:creator>
  <cp:keywords/>
  <dc:description/>
  <cp:lastModifiedBy>PSSE Lidzbark Warmiński - Beata Funik-Góralewska</cp:lastModifiedBy>
  <cp:revision>364</cp:revision>
  <cp:lastPrinted>2025-12-30T10:53:00Z</cp:lastPrinted>
  <dcterms:created xsi:type="dcterms:W3CDTF">2025-07-03T10:32:00Z</dcterms:created>
  <dcterms:modified xsi:type="dcterms:W3CDTF">2025-12-31T10:13:00Z</dcterms:modified>
</cp:coreProperties>
</file>