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right"/>
        <w:rPr>
          <w:sz w:val="2"/>
          <w:szCs w:val="2"/>
        </w:rPr>
      </w:pPr>
      <w:r>
        <w:drawing>
          <wp:inline>
            <wp:extent cx="749935" cy="53022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after="900" w:line="240" w:lineRule="auto"/>
        <w:ind w:left="0" w:right="460" w:firstLine="0"/>
        <w:jc w:val="right"/>
      </w:pPr>
      <w:r>
        <w:rPr>
          <w:rStyle w:val="CharStyle12"/>
        </w:rPr>
        <w:t>Warszawa, dnia 15 lipca 2025 r.</w:t>
      </w:r>
    </w:p>
    <w:p>
      <w:pPr>
        <w:pStyle w:val="Style11"/>
        <w:keepNext w:val="0"/>
        <w:keepLines w:val="0"/>
        <w:widowControl w:val="0"/>
        <w:shd w:val="clear" w:color="auto" w:fill="auto"/>
        <w:bidi w:val="0"/>
        <w:spacing w:before="0" w:after="0"/>
        <w:ind w:left="4840" w:right="0" w:firstLine="0"/>
        <w:jc w:val="left"/>
      </w:pPr>
      <w:r>
        <w:rPr>
          <w:rStyle w:val="CharStyle12"/>
          <w:b/>
          <w:bCs/>
          <w:i/>
          <w:iCs/>
        </w:rPr>
        <w:t>Szanowna Pani</w:t>
      </w:r>
    </w:p>
    <w:p>
      <w:pPr>
        <w:pStyle w:val="Style11"/>
        <w:keepNext w:val="0"/>
        <w:keepLines w:val="0"/>
        <w:widowControl w:val="0"/>
        <w:shd w:val="clear" w:color="auto" w:fill="auto"/>
        <w:bidi w:val="0"/>
        <w:spacing w:before="0" w:after="0"/>
        <w:ind w:left="4840" w:right="0" w:firstLine="0"/>
        <w:jc w:val="left"/>
      </w:pPr>
      <w:r>
        <w:rPr>
          <w:rStyle w:val="CharStyle12"/>
        </w:rPr>
        <w:t>Paulina Hennig-Kloska</w:t>
      </w:r>
    </w:p>
    <w:p>
      <w:pPr>
        <w:pStyle w:val="Style11"/>
        <w:keepNext w:val="0"/>
        <w:keepLines w:val="0"/>
        <w:widowControl w:val="0"/>
        <w:shd w:val="clear" w:color="auto" w:fill="auto"/>
        <w:bidi w:val="0"/>
        <w:spacing w:before="0" w:after="280"/>
        <w:ind w:left="4840" w:right="0" w:firstLine="0"/>
        <w:jc w:val="left"/>
      </w:pPr>
      <w:r>
        <w:rPr>
          <w:rStyle w:val="CharStyle12"/>
        </w:rPr>
        <w:t>Minister Klimatu i Środowiska</w:t>
      </w:r>
    </w:p>
    <w:p>
      <w:pPr>
        <w:pStyle w:val="Style11"/>
        <w:keepNext w:val="0"/>
        <w:keepLines w:val="0"/>
        <w:widowControl w:val="0"/>
        <w:shd w:val="clear" w:color="auto" w:fill="auto"/>
        <w:bidi w:val="0"/>
        <w:spacing w:before="0" w:after="280"/>
        <w:ind w:left="4840" w:right="0" w:firstLine="0"/>
        <w:jc w:val="left"/>
      </w:pPr>
      <w:r>
        <w:rPr>
          <w:rStyle w:val="CharStyle12"/>
          <w:b/>
          <w:bCs/>
        </w:rPr>
        <w:t xml:space="preserve">Ministerstwo Klimatu i Środowiska </w:t>
      </w:r>
      <w:r>
        <w:rPr>
          <w:rStyle w:val="CharStyle12"/>
        </w:rPr>
        <w:t>ul. Wawelska 52/54, 00-922 Warszawa</w:t>
      </w:r>
    </w:p>
    <w:p>
      <w:pPr>
        <w:pStyle w:val="Style15"/>
        <w:keepNext/>
        <w:keepLines/>
        <w:widowControl w:val="0"/>
        <w:shd w:val="clear" w:color="auto" w:fill="auto"/>
        <w:bidi w:val="0"/>
        <w:spacing w:before="0" w:after="0"/>
        <w:ind w:left="4840" w:right="0" w:firstLine="0"/>
        <w:jc w:val="left"/>
      </w:pPr>
      <w:bookmarkStart w:id="3" w:name="bookmark3"/>
      <w:r>
        <w:rPr>
          <w:rStyle w:val="CharStyle16"/>
          <w:b/>
          <w:bCs/>
        </w:rPr>
        <w:t>Podmioty wnoszące petycję i adresy do korespondencji:</w:t>
      </w:r>
      <w:bookmarkEnd w:id="3"/>
    </w:p>
    <w:p>
      <w:pPr>
        <w:pStyle w:val="Style11"/>
        <w:keepNext w:val="0"/>
        <w:keepLines w:val="0"/>
        <w:widowControl w:val="0"/>
        <w:shd w:val="clear" w:color="auto" w:fill="auto"/>
        <w:bidi w:val="0"/>
        <w:spacing w:before="0" w:after="280"/>
        <w:ind w:left="4840" w:right="0" w:firstLine="0"/>
        <w:jc w:val="left"/>
      </w:pPr>
      <w:r>
        <w:rPr>
          <w:rStyle w:val="CharStyle12"/>
        </w:rPr>
        <w:t>Krajowa Izba Gospodarcza „Przemysł Rozlewniczy” ul. Rakowiecka 36, lokal nr 14 02-532 Warszawa</w:t>
      </w:r>
    </w:p>
    <w:p>
      <w:pPr>
        <w:pStyle w:val="Style11"/>
        <w:keepNext w:val="0"/>
        <w:keepLines w:val="0"/>
        <w:widowControl w:val="0"/>
        <w:shd w:val="clear" w:color="auto" w:fill="auto"/>
        <w:bidi w:val="0"/>
        <w:spacing w:before="0" w:after="0"/>
        <w:ind w:left="4840" w:right="0" w:firstLine="0"/>
        <w:jc w:val="left"/>
      </w:pPr>
      <w:r>
        <w:rPr>
          <w:rStyle w:val="CharStyle12"/>
        </w:rPr>
        <w:t>Związek Pracodawców Przemysłu</w:t>
      </w:r>
    </w:p>
    <w:p>
      <w:pPr>
        <w:pStyle w:val="Style11"/>
        <w:keepNext w:val="0"/>
        <w:keepLines w:val="0"/>
        <w:widowControl w:val="0"/>
        <w:shd w:val="clear" w:color="auto" w:fill="auto"/>
        <w:bidi w:val="0"/>
        <w:spacing w:before="0" w:after="280"/>
        <w:ind w:left="4840" w:right="0" w:firstLine="0"/>
        <w:jc w:val="left"/>
      </w:pPr>
      <w:r>
        <w:rPr>
          <w:rStyle w:val="CharStyle12"/>
        </w:rPr>
        <w:t>Piwowarskiego w Polsce - Browary Polskie ul. Zamenhofa 5, lokal nr 5 00-165 Warszawa</w:t>
      </w:r>
    </w:p>
    <w:p>
      <w:pPr>
        <w:pStyle w:val="Style15"/>
        <w:keepNext/>
        <w:keepLines/>
        <w:widowControl w:val="0"/>
        <w:shd w:val="clear" w:color="auto" w:fill="auto"/>
        <w:bidi w:val="0"/>
        <w:spacing w:before="0" w:after="0"/>
        <w:ind w:left="4840" w:right="0" w:firstLine="0"/>
        <w:jc w:val="left"/>
      </w:pPr>
      <w:bookmarkStart w:id="5" w:name="bookmark5"/>
      <w:r>
        <w:rPr>
          <w:rStyle w:val="CharStyle16"/>
          <w:b/>
          <w:bCs/>
        </w:rPr>
        <w:t>Osoby reprezentujące:</w:t>
      </w:r>
      <w:bookmarkEnd w:id="5"/>
    </w:p>
    <w:p>
      <w:pPr>
        <w:pStyle w:val="Style11"/>
        <w:keepNext w:val="0"/>
        <w:keepLines w:val="0"/>
        <w:widowControl w:val="0"/>
        <w:shd w:val="clear" w:color="auto" w:fill="auto"/>
        <w:bidi w:val="0"/>
        <w:spacing w:before="0" w:after="0"/>
        <w:ind w:left="4840" w:right="0" w:firstLine="0"/>
        <w:jc w:val="left"/>
      </w:pPr>
      <w:r>
        <w:rPr>
          <w:rStyle w:val="CharStyle12"/>
        </w:rPr>
        <w:t>Dariusz Lizak</w:t>
      </w:r>
    </w:p>
    <w:p>
      <w:pPr>
        <w:pStyle w:val="Style11"/>
        <w:keepNext w:val="0"/>
        <w:keepLines w:val="0"/>
        <w:widowControl w:val="0"/>
        <w:shd w:val="clear" w:color="auto" w:fill="auto"/>
        <w:bidi w:val="0"/>
        <w:spacing w:before="0" w:after="0"/>
        <w:ind w:left="4840" w:right="0" w:firstLine="0"/>
        <w:jc w:val="left"/>
      </w:pPr>
      <w:r>
        <w:rPr>
          <w:rStyle w:val="CharStyle12"/>
        </w:rPr>
        <w:t>Prezes Zarządu</w:t>
      </w:r>
    </w:p>
    <w:p>
      <w:pPr>
        <w:pStyle w:val="Style11"/>
        <w:keepNext w:val="0"/>
        <w:keepLines w:val="0"/>
        <w:widowControl w:val="0"/>
        <w:shd w:val="clear" w:color="auto" w:fill="auto"/>
        <w:bidi w:val="0"/>
        <w:spacing w:before="0" w:after="0"/>
        <w:ind w:left="4840" w:right="0" w:firstLine="0"/>
        <w:jc w:val="left"/>
      </w:pPr>
      <w:r>
        <w:rPr>
          <w:rStyle w:val="CharStyle12"/>
        </w:rPr>
        <w:t>Krajowy Izba Gospodarcza „Przemysł Rozlewniczy”</w:t>
      </w:r>
    </w:p>
    <w:p>
      <w:pPr>
        <w:pStyle w:val="Style11"/>
        <w:keepNext w:val="0"/>
        <w:keepLines w:val="0"/>
        <w:widowControl w:val="0"/>
        <w:shd w:val="clear" w:color="auto" w:fill="auto"/>
        <w:bidi w:val="0"/>
        <w:spacing w:before="0" w:after="280"/>
        <w:ind w:left="4840" w:right="0" w:firstLine="0"/>
        <w:jc w:val="left"/>
      </w:pPr>
      <w:r>
        <w:rPr>
          <w:rStyle w:val="CharStyle12"/>
        </w:rPr>
        <w:t xml:space="preserve">Adres e-mail: </w:t>
      </w:r>
      <w:r>
        <w:fldChar w:fldCharType="begin"/>
      </w:r>
      <w:r>
        <w:rPr/>
        <w:instrText> HYPERLINK "mailto:dariusz.lizak@kigpr.pl" </w:instrText>
      </w:r>
      <w:r>
        <w:fldChar w:fldCharType="separate"/>
      </w:r>
      <w:r>
        <w:rPr>
          <w:rStyle w:val="CharStyle12"/>
        </w:rPr>
        <w:t>dariusz.lizak@kigpr.pl</w:t>
      </w:r>
      <w:r>
        <w:fldChar w:fldCharType="end"/>
      </w:r>
    </w:p>
    <w:p>
      <w:pPr>
        <w:pStyle w:val="Style11"/>
        <w:keepNext w:val="0"/>
        <w:keepLines w:val="0"/>
        <w:widowControl w:val="0"/>
        <w:shd w:val="clear" w:color="auto" w:fill="auto"/>
        <w:bidi w:val="0"/>
        <w:spacing w:before="0" w:after="0"/>
        <w:ind w:left="4840" w:right="0" w:firstLine="0"/>
        <w:jc w:val="left"/>
      </w:pPr>
      <w:r>
        <w:rPr>
          <w:rStyle w:val="CharStyle12"/>
        </w:rPr>
        <w:t>Bartłomiej Morzycki</w:t>
      </w:r>
    </w:p>
    <w:p>
      <w:pPr>
        <w:pStyle w:val="Style11"/>
        <w:keepNext w:val="0"/>
        <w:keepLines w:val="0"/>
        <w:widowControl w:val="0"/>
        <w:shd w:val="clear" w:color="auto" w:fill="auto"/>
        <w:bidi w:val="0"/>
        <w:spacing w:before="0" w:after="0"/>
        <w:ind w:left="4840" w:right="0" w:firstLine="0"/>
        <w:jc w:val="left"/>
      </w:pPr>
      <w:r>
        <w:rPr>
          <w:rStyle w:val="CharStyle12"/>
        </w:rPr>
        <w:t>Dyrektor Generalny</w:t>
      </w:r>
    </w:p>
    <w:p>
      <w:pPr>
        <w:pStyle w:val="Style11"/>
        <w:keepNext w:val="0"/>
        <w:keepLines w:val="0"/>
        <w:widowControl w:val="0"/>
        <w:shd w:val="clear" w:color="auto" w:fill="auto"/>
        <w:bidi w:val="0"/>
        <w:spacing w:before="0" w:after="700"/>
        <w:ind w:left="4840" w:right="0" w:firstLine="0"/>
        <w:jc w:val="left"/>
      </w:pPr>
      <w:r>
        <w:rPr>
          <w:rStyle w:val="CharStyle12"/>
        </w:rPr>
        <w:t xml:space="preserve">Związek Pracodawców Przemysłu Piwowarskiego – Browary Polskie Adres e-mail: </w:t>
      </w:r>
      <w:r>
        <w:fldChar w:fldCharType="begin"/>
      </w:r>
      <w:r>
        <w:rPr/>
        <w:instrText> HYPERLINK "mailto:biuro@browary-polskie.pl" </w:instrText>
      </w:r>
      <w:r>
        <w:fldChar w:fldCharType="separate"/>
      </w:r>
      <w:r>
        <w:rPr>
          <w:rStyle w:val="CharStyle12"/>
        </w:rPr>
        <w:t>biuro@browary-polskie.pl</w:t>
      </w:r>
      <w:r>
        <w:fldChar w:fldCharType="end"/>
      </w:r>
    </w:p>
    <w:p>
      <w:pPr>
        <w:pStyle w:val="Style11"/>
        <w:keepNext w:val="0"/>
        <w:keepLines w:val="0"/>
        <w:widowControl w:val="0"/>
        <w:shd w:val="clear" w:color="auto" w:fill="auto"/>
        <w:bidi w:val="0"/>
        <w:spacing w:before="0" w:after="120"/>
        <w:ind w:left="0" w:right="0" w:firstLine="0"/>
        <w:jc w:val="center"/>
      </w:pPr>
      <w:r>
        <w:rPr>
          <w:rStyle w:val="CharStyle12"/>
          <w:b/>
          <w:bCs/>
        </w:rPr>
        <w:t>PETYCJA</w:t>
      </w:r>
    </w:p>
    <w:p>
      <w:pPr>
        <w:pStyle w:val="Style11"/>
        <w:keepNext w:val="0"/>
        <w:keepLines w:val="0"/>
        <w:widowControl w:val="0"/>
        <w:shd w:val="clear" w:color="auto" w:fill="auto"/>
        <w:bidi w:val="0"/>
        <w:spacing w:before="0" w:after="280"/>
        <w:ind w:left="0" w:right="0" w:firstLine="0"/>
        <w:jc w:val="center"/>
      </w:pPr>
      <w:r>
        <w:rPr>
          <w:rStyle w:val="CharStyle12"/>
          <w:b/>
          <w:bCs/>
        </w:rPr>
        <w:t>w sprawie podjęcia inicjatywy ustawodawczej mającej na celu zmianę przepisów prawa</w:t>
        <w:br/>
        <w:t>tj. zmianę ustawy z dnia 13 czerwca 2013 r. o gospodarce opakowaniami i odpadami</w:t>
        <w:br/>
        <w:t>opakowaniowymi oraz niektórych innych ustaw</w:t>
      </w:r>
    </w:p>
    <w:p>
      <w:pPr>
        <w:widowControl w:val="0"/>
        <w:jc w:val="right"/>
        <w:rPr>
          <w:sz w:val="2"/>
          <w:szCs w:val="2"/>
        </w:rPr>
      </w:pPr>
      <w:r>
        <w:drawing>
          <wp:inline>
            <wp:extent cx="749935" cy="530225"/>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after="280"/>
        <w:ind w:left="0" w:right="0" w:firstLine="0"/>
        <w:jc w:val="both"/>
      </w:pPr>
      <w:r>
        <w:rPr>
          <w:rStyle w:val="CharStyle12"/>
        </w:rPr>
        <w:t>Działając w imieniu i na rzecz:</w:t>
      </w:r>
    </w:p>
    <w:p>
      <w:pPr>
        <w:pStyle w:val="Style11"/>
        <w:keepNext w:val="0"/>
        <w:keepLines w:val="0"/>
        <w:widowControl w:val="0"/>
        <w:numPr>
          <w:ilvl w:val="0"/>
          <w:numId w:val="1"/>
        </w:numPr>
        <w:shd w:val="clear" w:color="auto" w:fill="auto"/>
        <w:tabs>
          <w:tab w:pos="735" w:val="left"/>
        </w:tabs>
        <w:bidi w:val="0"/>
        <w:spacing w:before="0" w:after="280"/>
        <w:ind w:left="740" w:right="0" w:hanging="360"/>
        <w:jc w:val="both"/>
      </w:pPr>
      <w:r>
        <w:rPr>
          <w:rStyle w:val="CharStyle12"/>
        </w:rPr>
        <w:t>Krajowej Izby Gospodarczej „Przemysł Rozlewniczy” z siedzibą w Warszawie (adres: ul. Rakowiecka 36, lokal nr 14, 02-532 Warszawa), wpisanej do rejestru stowarzyszeń Krajowego Rejestru Sądowego prowadzonego przez Sąd Rejonowy dla m.st. Warszawy w Warszawie, XIII Wydział Gospodarczy Krajowego Rejestru Sądowego, pod numerem KRS: 0000038082, o numerze identyfikacji podatkowej NIP: 5213072983, REGON: 016239616, (dalej także jako: „</w:t>
      </w:r>
      <w:r>
        <w:rPr>
          <w:rStyle w:val="CharStyle12"/>
          <w:b/>
          <w:bCs/>
        </w:rPr>
        <w:t>KIGPR</w:t>
      </w:r>
      <w:r>
        <w:rPr>
          <w:rStyle w:val="CharStyle12"/>
        </w:rPr>
        <w:t>” lub „</w:t>
      </w:r>
      <w:r>
        <w:rPr>
          <w:rStyle w:val="CharStyle12"/>
          <w:b/>
          <w:bCs/>
        </w:rPr>
        <w:t>Izba Gospodarcza</w:t>
      </w:r>
      <w:r>
        <w:rPr>
          <w:rStyle w:val="CharStyle12"/>
        </w:rPr>
        <w:t>”), a także</w:t>
      </w:r>
    </w:p>
    <w:p>
      <w:pPr>
        <w:pStyle w:val="Style11"/>
        <w:keepNext w:val="0"/>
        <w:keepLines w:val="0"/>
        <w:widowControl w:val="0"/>
        <w:numPr>
          <w:ilvl w:val="0"/>
          <w:numId w:val="1"/>
        </w:numPr>
        <w:shd w:val="clear" w:color="auto" w:fill="auto"/>
        <w:tabs>
          <w:tab w:pos="735" w:val="left"/>
        </w:tabs>
        <w:bidi w:val="0"/>
        <w:spacing w:before="0" w:after="440"/>
        <w:ind w:left="740" w:right="0" w:hanging="360"/>
        <w:jc w:val="both"/>
      </w:pPr>
      <w:r>
        <w:rPr>
          <w:rStyle w:val="CharStyle12"/>
        </w:rPr>
        <w:t xml:space="preserve">Związku Pracodawców Przemysłu Piwowarskiego w Polsce – Browary Polskie z siedzibą w Warszawie (adres: ul. Zamenhofa 5, lokal nr 5, 00-165 Warszawa), wpisanym do rejestru stowarzyszeń Krajowego Rejestru Sądowego prowadzonego przez Sąd Rejonowy dla m.st. Warszawy w Warszawie, XIII Wydział Gospodarczy Krajowy Rejestru Sądowego, pod numerem KRS 0000087351, o numerze identyfikacji podatkowej NIP: 5272234536, REGON 016011563 (dalej także jako </w:t>
      </w:r>
      <w:r>
        <w:rPr>
          <w:rStyle w:val="CharStyle12"/>
          <w:b/>
          <w:bCs/>
        </w:rPr>
        <w:t xml:space="preserve">„ZPPP” </w:t>
      </w:r>
      <w:r>
        <w:rPr>
          <w:rStyle w:val="CharStyle12"/>
        </w:rPr>
        <w:t xml:space="preserve">lub </w:t>
      </w:r>
      <w:r>
        <w:rPr>
          <w:rStyle w:val="CharStyle12"/>
          <w:b/>
          <w:bCs/>
        </w:rPr>
        <w:t>„Związek”</w:t>
      </w:r>
      <w:r>
        <w:rPr>
          <w:rStyle w:val="CharStyle12"/>
        </w:rPr>
        <w:t>),</w:t>
      </w:r>
    </w:p>
    <w:p>
      <w:pPr>
        <w:pStyle w:val="Style11"/>
        <w:keepNext w:val="0"/>
        <w:keepLines w:val="0"/>
        <w:widowControl w:val="0"/>
        <w:shd w:val="clear" w:color="auto" w:fill="auto"/>
        <w:bidi w:val="0"/>
        <w:spacing w:before="0" w:after="280"/>
        <w:ind w:left="0" w:right="0" w:firstLine="0"/>
        <w:jc w:val="both"/>
      </w:pPr>
      <w:r>
        <w:rPr>
          <w:rStyle w:val="CharStyle12"/>
        </w:rPr>
        <w:t>(dalej łącznie także jako: „</w:t>
      </w:r>
      <w:r>
        <w:rPr>
          <w:rStyle w:val="CharStyle12"/>
          <w:b/>
          <w:bCs/>
        </w:rPr>
        <w:t>Wnioskodawcy”</w:t>
      </w:r>
      <w:r>
        <w:rPr>
          <w:rStyle w:val="CharStyle12"/>
        </w:rPr>
        <w:t>),</w:t>
      </w:r>
    </w:p>
    <w:p>
      <w:pPr>
        <w:pStyle w:val="Style11"/>
        <w:keepNext w:val="0"/>
        <w:keepLines w:val="0"/>
        <w:widowControl w:val="0"/>
        <w:shd w:val="clear" w:color="auto" w:fill="auto"/>
        <w:bidi w:val="0"/>
        <w:spacing w:before="0" w:after="340"/>
        <w:ind w:left="0" w:right="0" w:firstLine="0"/>
        <w:jc w:val="both"/>
      </w:pPr>
      <w:r>
        <w:rPr>
          <w:rStyle w:val="CharStyle12"/>
        </w:rPr>
        <w:t xml:space="preserve">niniejszym, działając na podstawie art. 2 ust. 1 ustawy z dnia 11 lipca 2014 r. o petycjach (t.j. Dz.U. z 2018 r. poz. 870; dalej również jako: </w:t>
      </w:r>
      <w:r>
        <w:rPr>
          <w:rStyle w:val="CharStyle12"/>
          <w:b/>
          <w:bCs/>
        </w:rPr>
        <w:t>„Ustawa o petycjach”</w:t>
      </w:r>
      <w:r>
        <w:rPr>
          <w:rStyle w:val="CharStyle12"/>
        </w:rPr>
        <w:t>), w interesie publicznym, a także w interesie podmiotów wnoszących petycję, składamy petycję do Ministra Klimatu i Środowiska w sprawie podjęcia prac nad zmianą przepisów prawa w celu przyjęcia ustawy o zmianie ustawy o gospodarce opakowaniami i odpadami opakowaniowymi oraz niektórych innych ustaw, której projekt wraz z uzasadnieniem stanowi Załącznik nr 1 do niniejszej petycji.</w:t>
      </w:r>
    </w:p>
    <w:p>
      <w:pPr>
        <w:pStyle w:val="Style15"/>
        <w:keepNext/>
        <w:keepLines/>
        <w:widowControl w:val="0"/>
        <w:shd w:val="clear" w:color="auto" w:fill="auto"/>
        <w:bidi w:val="0"/>
        <w:spacing w:before="0" w:after="340"/>
        <w:ind w:left="0" w:right="0" w:firstLine="0"/>
        <w:jc w:val="center"/>
      </w:pPr>
      <w:bookmarkStart w:id="7" w:name="bookmark7"/>
      <w:r>
        <w:rPr>
          <w:rStyle w:val="CharStyle16"/>
          <w:b/>
          <w:bCs/>
        </w:rPr>
        <w:t>UZASADNIENIE</w:t>
      </w:r>
      <w:bookmarkEnd w:id="7"/>
    </w:p>
    <w:p>
      <w:pPr>
        <w:pStyle w:val="Style15"/>
        <w:keepNext/>
        <w:keepLines/>
        <w:widowControl w:val="0"/>
        <w:numPr>
          <w:ilvl w:val="0"/>
          <w:numId w:val="3"/>
        </w:numPr>
        <w:shd w:val="clear" w:color="auto" w:fill="auto"/>
        <w:tabs>
          <w:tab w:pos="560" w:val="left"/>
        </w:tabs>
        <w:bidi w:val="0"/>
        <w:spacing w:before="0" w:after="220"/>
        <w:ind w:left="0" w:right="0" w:firstLine="0"/>
        <w:jc w:val="both"/>
      </w:pPr>
      <w:bookmarkStart w:id="9" w:name="bookmark9"/>
      <w:r>
        <w:rPr>
          <w:rStyle w:val="CharStyle16"/>
          <w:b/>
          <w:bCs/>
        </w:rPr>
        <w:t>PODMIOTY WNOSZĄCE PETYCJĘ</w:t>
      </w:r>
      <w:bookmarkEnd w:id="9"/>
    </w:p>
    <w:p>
      <w:pPr>
        <w:pStyle w:val="Style11"/>
        <w:keepNext w:val="0"/>
        <w:keepLines w:val="0"/>
        <w:widowControl w:val="0"/>
        <w:numPr>
          <w:ilvl w:val="0"/>
          <w:numId w:val="5"/>
        </w:numPr>
        <w:shd w:val="clear" w:color="auto" w:fill="auto"/>
        <w:tabs>
          <w:tab w:pos="560" w:val="left"/>
        </w:tabs>
        <w:bidi w:val="0"/>
        <w:spacing w:before="0" w:after="220"/>
        <w:ind w:left="580" w:right="0" w:hanging="580"/>
        <w:jc w:val="both"/>
      </w:pPr>
      <w:r>
        <w:rPr>
          <w:rStyle w:val="CharStyle12"/>
        </w:rPr>
        <w:t xml:space="preserve">Podmiotami wnoszącymi niniejszą petycję są KIGPR z siedzibą w Warszawie – izba gospodarcza w rozumieniu ustawy z dnia 30 maja 1989 r. o izbach gospodarczych (t.j. Dz.U. z 2019 r. poz. 579; dalej również jako: </w:t>
      </w:r>
      <w:r>
        <w:rPr>
          <w:rStyle w:val="CharStyle12"/>
          <w:b/>
          <w:bCs/>
        </w:rPr>
        <w:t>„Ustawa o izbach gospodarczych”</w:t>
      </w:r>
      <w:r>
        <w:rPr>
          <w:rStyle w:val="CharStyle12"/>
        </w:rPr>
        <w:t xml:space="preserve">) oraz ZPPP Browary Polskie z siedzibą w Warszawie – związek pracodawców w rozumieniu ustawy z dnia 23 maja 1991 r. o organizacjach pracodawców (Dz.U. z 2022 r. poz. 509; dalej również jako: </w:t>
      </w:r>
      <w:r>
        <w:rPr>
          <w:rStyle w:val="CharStyle12"/>
          <w:b/>
          <w:bCs/>
        </w:rPr>
        <w:t>„Ustawa o organizacjach pracodawców”</w:t>
      </w:r>
      <w:r>
        <w:rPr>
          <w:rStyle w:val="CharStyle12"/>
        </w:rPr>
        <w:t>). Izba Gospodarcza została wpisana do Krajowego Rejestru Sądowego pod numerem KRS 0000038082, zaś Związek – pod numerem KRS 0000087351, co potwierdza ich status osób prawnych zgodnie z art. 8 ust. 2 Ustawy o izbach gospodarczych oraz art. 10 Ustawy o organizacjach pracodawców.</w:t>
      </w:r>
    </w:p>
    <w:p>
      <w:pPr>
        <w:pStyle w:val="Style11"/>
        <w:keepNext w:val="0"/>
        <w:keepLines w:val="0"/>
        <w:widowControl w:val="0"/>
        <w:numPr>
          <w:ilvl w:val="0"/>
          <w:numId w:val="5"/>
        </w:numPr>
        <w:shd w:val="clear" w:color="auto" w:fill="auto"/>
        <w:tabs>
          <w:tab w:pos="560" w:val="left"/>
        </w:tabs>
        <w:bidi w:val="0"/>
        <w:spacing w:before="0" w:after="320"/>
        <w:ind w:left="580" w:right="0" w:hanging="580"/>
        <w:jc w:val="both"/>
        <w:sectPr>
          <w:headerReference w:type="default" r:id="rId9"/>
          <w:footerReference w:type="default" r:id="rId10"/>
          <w:headerReference w:type="first" r:id="rId11"/>
          <w:footerReference w:type="first" r:id="rId12"/>
          <w:footnotePr>
            <w:pos w:val="pageBottom"/>
            <w:numFmt w:val="decimal"/>
            <w:numRestart w:val="continuous"/>
          </w:footnotePr>
          <w:pgSz w:w="11900" w:h="16840"/>
          <w:pgMar w:top="1310" w:right="1383" w:bottom="1528" w:left="1383" w:header="0" w:footer="3" w:gutter="0"/>
          <w:pgNumType w:start="1"/>
          <w:cols w:space="720"/>
          <w:noEndnote/>
          <w:titlePg/>
          <w:rtlGutter w:val="0"/>
          <w:docGrid w:linePitch="360"/>
        </w:sectPr>
      </w:pPr>
      <w:r>
        <w:rPr>
          <w:rStyle w:val="CharStyle12"/>
        </w:rPr>
        <w:t>Zgodnie z art. 2 ust. 1 Ustawy o petycjach, petycja może być składana przez osobę prawną do organów władzy publicznej. W związku z tym KIGPR, jako zarejestrowana izba gospodarcza oraz ZPPP Browary Polskie jako zarejestrowany związek pracodawców, posiadające osobowość prawną, są uprawnione do złożenia niniejszej petycji do Minister Klimatu i Środowiska.</w:t>
      </w:r>
    </w:p>
    <w:p>
      <w:pPr>
        <w:widowControl w:val="0"/>
        <w:jc w:val="right"/>
        <w:rPr>
          <w:sz w:val="2"/>
          <w:szCs w:val="2"/>
        </w:rPr>
      </w:pPr>
      <w:r>
        <w:drawing>
          <wp:inline>
            <wp:extent cx="749935" cy="530225"/>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5"/>
        </w:numPr>
        <w:shd w:val="clear" w:color="auto" w:fill="auto"/>
        <w:tabs>
          <w:tab w:pos="561" w:val="left"/>
        </w:tabs>
        <w:bidi w:val="0"/>
        <w:spacing w:before="0" w:after="240"/>
        <w:ind w:left="580" w:right="0" w:hanging="580"/>
        <w:jc w:val="both"/>
      </w:pPr>
      <w:r>
        <w:rPr>
          <w:rStyle w:val="CharStyle12"/>
        </w:rPr>
        <w:t>KIGPR reprezentuje interesy przedsiębiorców działających w sektorze przemysłu rozlewniczego, w szczególności producentów i dystrybutorów napojów. Celem KIGPR jest m.in. reprezentowanie interesów gospodarczych zrzeszonych w niej przedsiębiorców, w szczególności wobec organów władzy publicznej i samorządu terytorialnego, podmiotów gospodarczych a także wobec innych organizacji, w tym zagranicznych.</w:t>
      </w:r>
    </w:p>
    <w:p>
      <w:pPr>
        <w:pStyle w:val="Style11"/>
        <w:keepNext w:val="0"/>
        <w:keepLines w:val="0"/>
        <w:widowControl w:val="0"/>
        <w:numPr>
          <w:ilvl w:val="0"/>
          <w:numId w:val="5"/>
        </w:numPr>
        <w:shd w:val="clear" w:color="auto" w:fill="auto"/>
        <w:tabs>
          <w:tab w:pos="561" w:val="left"/>
        </w:tabs>
        <w:bidi w:val="0"/>
        <w:spacing w:before="0" w:after="240"/>
        <w:ind w:left="580" w:right="0" w:hanging="580"/>
        <w:jc w:val="both"/>
      </w:pPr>
      <w:r>
        <w:rPr>
          <w:rStyle w:val="CharStyle12"/>
        </w:rPr>
        <w:t>ZPPP Browary Polskie jest związkiem pracodawców, który zrzesza największych producentów piwa w Polsce. Celem Związku jest reprezentowanie interesów przedsiębiorców działających w sektorze przemysłu piwowarskiego, w tym również formułowanie i zgłaszanie propozycji oraz wniosków dotyczących nowych rozwiązań prawnych, ekonomicznych i organizacyjnych kierowanych do organów władzy publicznej oraz jednostek samorządu terytorialnego.</w:t>
      </w:r>
    </w:p>
    <w:p>
      <w:pPr>
        <w:pStyle w:val="Style11"/>
        <w:keepNext w:val="0"/>
        <w:keepLines w:val="0"/>
        <w:widowControl w:val="0"/>
        <w:numPr>
          <w:ilvl w:val="0"/>
          <w:numId w:val="5"/>
        </w:numPr>
        <w:shd w:val="clear" w:color="auto" w:fill="auto"/>
        <w:tabs>
          <w:tab w:pos="561" w:val="left"/>
        </w:tabs>
        <w:bidi w:val="0"/>
        <w:spacing w:before="0" w:after="240"/>
        <w:ind w:left="580" w:right="0" w:hanging="580"/>
        <w:jc w:val="both"/>
      </w:pPr>
      <w:r>
        <w:rPr>
          <w:rStyle w:val="CharStyle12"/>
        </w:rPr>
        <w:t>Zarówno dla Izby Gospodarczej, jak i dla Związku, klarowność oraz stabilność przepisów dotyczących gospodarki opakowaniami i odpadami opakowaniowymi mają kluczowe znaczenie. Przejrzyste i spójne regulacje prawne są niezbędne dla zapewnienia pewności obrotu gospodarczego, umożliwienia długoterminowego planowania działalności operacyjnej i inwestycyjnej przedsiębiorców, a także właściwego wykonywania obowiązków w zakresie ochrony środowiska.</w:t>
      </w:r>
    </w:p>
    <w:p>
      <w:pPr>
        <w:pStyle w:val="Style15"/>
        <w:keepNext/>
        <w:keepLines/>
        <w:widowControl w:val="0"/>
        <w:numPr>
          <w:ilvl w:val="0"/>
          <w:numId w:val="3"/>
        </w:numPr>
        <w:shd w:val="clear" w:color="auto" w:fill="auto"/>
        <w:tabs>
          <w:tab w:pos="561" w:val="left"/>
        </w:tabs>
        <w:bidi w:val="0"/>
        <w:spacing w:before="0" w:after="240"/>
        <w:ind w:left="580" w:right="0" w:hanging="580"/>
        <w:jc w:val="both"/>
      </w:pPr>
      <w:bookmarkStart w:id="11" w:name="bookmark11"/>
      <w:r>
        <w:rPr>
          <w:rStyle w:val="CharStyle16"/>
          <w:b/>
          <w:bCs/>
        </w:rPr>
        <w:t>INTERES PUBLICZNY, INTERES PODMIOTÓW WNOSZĄCYCH PETYCJĘ JAKO FUNDAMENT POSTULOWANYCH ZMIAN LEGISLACYJNYCH</w:t>
      </w:r>
      <w:bookmarkEnd w:id="11"/>
    </w:p>
    <w:p>
      <w:pPr>
        <w:pStyle w:val="Style11"/>
        <w:keepNext w:val="0"/>
        <w:keepLines w:val="0"/>
        <w:widowControl w:val="0"/>
        <w:numPr>
          <w:ilvl w:val="0"/>
          <w:numId w:val="7"/>
        </w:numPr>
        <w:shd w:val="clear" w:color="auto" w:fill="auto"/>
        <w:tabs>
          <w:tab w:pos="561" w:val="left"/>
        </w:tabs>
        <w:bidi w:val="0"/>
        <w:spacing w:before="0" w:after="280"/>
        <w:ind w:left="580" w:right="0" w:hanging="580"/>
        <w:jc w:val="both"/>
      </w:pPr>
      <w:r>
        <w:rPr>
          <w:rStyle w:val="CharStyle12"/>
        </w:rPr>
        <w:t>Przedmiotowa petycja jest wyrazem konieczności ochrony zarówno szeroko rozumianego interesu publicznego, jak i interesów Wnioskodawców.</w:t>
      </w:r>
    </w:p>
    <w:p>
      <w:pPr>
        <w:pStyle w:val="Style11"/>
        <w:keepNext w:val="0"/>
        <w:keepLines w:val="0"/>
        <w:widowControl w:val="0"/>
        <w:numPr>
          <w:ilvl w:val="0"/>
          <w:numId w:val="7"/>
        </w:numPr>
        <w:shd w:val="clear" w:color="auto" w:fill="auto"/>
        <w:tabs>
          <w:tab w:pos="561" w:val="left"/>
        </w:tabs>
        <w:bidi w:val="0"/>
        <w:spacing w:before="0" w:after="280"/>
        <w:ind w:left="580" w:right="0" w:hanging="580"/>
        <w:jc w:val="both"/>
      </w:pPr>
      <w:r>
        <w:rPr>
          <w:rStyle w:val="CharStyle12"/>
        </w:rPr>
        <w:t>Proponowane zmiany legislacyjne stanowią odpowiedź na zasadnicze wyzwania wynikające z istniejących luk prawnych oraz rozbieżności interpretacyjnych, które w obecnym stanie prawnym poważnie utrudniają efektywne funkcjonowanie systemów zwrotu opakowań wielokrotnego użytku. Obowiązujące przepisy oraz obecny stan przygotowania podmiotów reprezentujących - posiadających zezwolenie na prowadzenie systemu kaucyjnego, nie zapewniają warunków do skutecznego, przejrzystego i wydajnego uruchomienia powszechnego systemu kaucyjnego dla butelek szklanych wielokrotnego użytku przed ustawowym terminem zakończenia możliwości prowadzenia dotychczasowych systemów, tj. do dnia 31 grudnia 2025 r. W związku z powyższym, zasadne i konieczne jest umożliwienie dalszego wykonywania obowiązku selektywnego zbierania opakowań wielokrotnego użytku za pośrednictwem dotychczas funkcjonujących systemów utworzonych przez wprowadzających, które już obecnie zapewniają wysoką efektywność środowiskową i operacyjną – osiągając poziomy zbierania przekraczające 90%, a więc znacznie przewyższające poziom 77% wymagany przepisami ustawy.</w:t>
      </w:r>
    </w:p>
    <w:p>
      <w:pPr>
        <w:pStyle w:val="Style11"/>
        <w:keepNext w:val="0"/>
        <w:keepLines w:val="0"/>
        <w:widowControl w:val="0"/>
        <w:numPr>
          <w:ilvl w:val="0"/>
          <w:numId w:val="7"/>
        </w:numPr>
        <w:shd w:val="clear" w:color="auto" w:fill="auto"/>
        <w:tabs>
          <w:tab w:pos="561" w:val="left"/>
        </w:tabs>
        <w:bidi w:val="0"/>
        <w:spacing w:before="0"/>
        <w:ind w:left="580" w:right="0" w:hanging="580"/>
        <w:jc w:val="both"/>
        <w:sectPr>
          <w:footnotePr>
            <w:pos w:val="pageBottom"/>
            <w:numFmt w:val="decimal"/>
            <w:numRestart w:val="continuous"/>
          </w:footnotePr>
          <w:pgSz w:w="11900" w:h="16840"/>
          <w:pgMar w:top="859" w:right="1383" w:bottom="1133" w:left="1383" w:header="0" w:footer="3" w:gutter="0"/>
          <w:cols w:space="720"/>
          <w:noEndnote/>
          <w:rtlGutter w:val="0"/>
          <w:docGrid w:linePitch="360"/>
        </w:sectPr>
      </w:pPr>
      <w:r>
        <w:rPr>
          <w:rStyle w:val="CharStyle12"/>
        </w:rPr>
        <w:t>Obecne systemy zbierania butelek szklanych wielokrotnego użytku funkcjonują na polskim rynku od ponad 30 lat, dzięki czemu są powszechnie rozpoznawalne, społecznie akceptowalne i głęboko zakorzenione w codziennych nawykach zakupowych konsumentów. Wieloletnie funkcjonowanie tych systemów sprawia, że stanowi on rozwiązanie intuicyjne i zrozumiałe zarówno dla kupujących, jak i dla przedsiębiorców prowadzących handel detaliczny i hurtowy. Jego ugruntowana pozycja na rynku przekłada się na wysoką skuteczność operacyjną oraz niski próg wejścia dla wszystkich uczestników łańcucha dostaw.</w:t>
      </w:r>
    </w:p>
    <w:p>
      <w:pPr>
        <w:widowControl w:val="0"/>
        <w:jc w:val="right"/>
        <w:rPr>
          <w:sz w:val="2"/>
          <w:szCs w:val="2"/>
        </w:rPr>
      </w:pPr>
      <w:r>
        <w:drawing>
          <wp:inline>
            <wp:extent cx="749935" cy="530225"/>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5"/>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7"/>
        </w:numPr>
        <w:shd w:val="clear" w:color="auto" w:fill="auto"/>
        <w:tabs>
          <w:tab w:pos="562" w:val="left"/>
        </w:tabs>
        <w:bidi w:val="0"/>
        <w:spacing w:before="0"/>
        <w:ind w:left="580" w:right="0" w:hanging="580"/>
        <w:jc w:val="both"/>
      </w:pPr>
      <w:r>
        <w:rPr>
          <w:rStyle w:val="CharStyle12"/>
        </w:rPr>
        <w:t>Dla przedsiębiorców wprowadzających butelki szklane wielokrotnego użytku obowiązkowe przystąpienie do systemu kaucyjnego — wynikające z konieczności zakończenia funkcjonowania dotychczasowych systemów pobierania i zwracania kaucji do dnia 31 grudnia 2025 r. — wiąże się z istotnym wzrostem kosztów. Obejmuje to obowiązek finansowania zbierania opakowań ze wszystkich jednostek handlu detalicznego objętych systemem kaucyjnym, niezależnie od tego, czy oferują one produkty danego wprowadzającego, a także pokrycie kosztów logistyki zwrotnej, magazynowania i przetwarzania opakowań w punktach niepowiązanych z jego kanałem sprzedaży. Przedsiębiorcy będą również zobowiązani do finansowania odtworzenia opakowań utraconych w obiegu, co wcześniej mogło być pokrywane z nieodebranej kaucji, stanowiącej samobilansujący się element dotychczasowych systemów. Dodatkowe koszty będą wynikać z konieczności dostosowania działalności do systemów kaucyjnych prowadzonych przez wiele podmiotów reprezentujących — m.in. poprzez zmiany w oznakowaniu opakowań, integrację systemów IT, wdrożenie nowych procedur operacyjnych i raportowych — co wymaga znaczących nakładów inwestycyjnych i organizacyjnych. Łącznie, obowiązkowe przejście do nowego modelu oznacza istotne zwiększenie kosztów operacyjnych, narusza zasadę efektywności ekonomicznej i zagraża dalszemu rozwojowi opakowań wielokrotnego użytku w Polsce.</w:t>
      </w:r>
    </w:p>
    <w:p>
      <w:pPr>
        <w:pStyle w:val="Style11"/>
        <w:keepNext w:val="0"/>
        <w:keepLines w:val="0"/>
        <w:widowControl w:val="0"/>
        <w:numPr>
          <w:ilvl w:val="0"/>
          <w:numId w:val="7"/>
        </w:numPr>
        <w:shd w:val="clear" w:color="auto" w:fill="auto"/>
        <w:tabs>
          <w:tab w:pos="562" w:val="left"/>
        </w:tabs>
        <w:bidi w:val="0"/>
        <w:spacing w:before="0"/>
        <w:ind w:left="580" w:right="0" w:hanging="580"/>
        <w:jc w:val="both"/>
      </w:pPr>
      <w:r>
        <w:rPr>
          <w:rStyle w:val="CharStyle12"/>
        </w:rPr>
        <w:t>Dla konsumentów chaos związany z wdrożeniem systemu kaucyjnego dla butelek szklanych wielokrotnego użytku może poważnie podważyć zaufanie do całego systemu oraz zniechęcić do korzystania z opakowań wielorazowych. W efekcie może to prowadzić do ograniczenia ich dostępności na rynku, wzrostu cen produktów w takich opakowaniach, a także rezygnacji z ich stosowania – zarówno przez konsumentów, jak i producentów. Taki rozwój sytuacji miałby negatywne konsekwencje środowiskowe, gdyż ślad węglowy szklanej butelki zwrotnej jest blisko sześciokrotnie niższy niż butelki jednorazowej. Butelka szklana wielokrotnego użytku stanowi przykład opakowania w pełni wpisującego się w założenia gospodarki o obiegu zamkniętym. Z tego względu w interesie publicznym jest kształtowanie rozwiązań wspierających dostępność i atrakcyjność butelek wielokrotnego użytku z punktu widzenia konsumentów, a nie ich eliminowanie. Niepowodzenie we wdrożeniu nowego systemu kaucyjnego, skutkujące utratą zaufania społeczeństwa, może prowadzić do trwałego porzucenia opakowań wielorazowych i zaniku wartościowego nawyku środowiskowego, który obecnie stanowi istotny element odpowiedzialnych postaw konsumenckich. Powrót do nawyku zwracania butelek po ich ewentualnym wycofaniu i zastąpieniu opakowaniami jednorazowymi byłby procesem długotrwałym, a w przypadku części konsumentów – niemożliwym.</w:t>
      </w:r>
    </w:p>
    <w:p>
      <w:pPr>
        <w:pStyle w:val="Style11"/>
        <w:keepNext w:val="0"/>
        <w:keepLines w:val="0"/>
        <w:widowControl w:val="0"/>
        <w:numPr>
          <w:ilvl w:val="0"/>
          <w:numId w:val="7"/>
        </w:numPr>
        <w:shd w:val="clear" w:color="auto" w:fill="auto"/>
        <w:tabs>
          <w:tab w:pos="562" w:val="left"/>
        </w:tabs>
        <w:bidi w:val="0"/>
        <w:spacing w:before="0" w:after="360"/>
        <w:ind w:left="580" w:right="0" w:hanging="580"/>
        <w:jc w:val="both"/>
        <w:sectPr>
          <w:footnotePr>
            <w:pos w:val="pageBottom"/>
            <w:numFmt w:val="decimal"/>
            <w:numRestart w:val="continuous"/>
          </w:footnotePr>
          <w:pgSz w:w="11900" w:h="16840"/>
          <w:pgMar w:top="859" w:right="1383" w:bottom="1133" w:left="1383" w:header="0" w:footer="3" w:gutter="0"/>
          <w:cols w:space="720"/>
          <w:noEndnote/>
          <w:rtlGutter w:val="0"/>
          <w:docGrid w:linePitch="360"/>
        </w:sectPr>
      </w:pPr>
      <w:r>
        <w:rPr>
          <w:rStyle w:val="CharStyle12"/>
        </w:rPr>
        <w:t>Zaniechanie wdrożenia postulowanych w niniejszej petycji zmian legislacyjnych oraz uruchomienie systemu kaucyjnego dla butelek szklanych wielokrotnego użytku bez uprzedniego zapewnienia odpowiedniego przygotowania organizacyjnego, prawnego i technicznego, niesie ze sobą realne ryzyko poważnej destabilizacji rynku napojów w tego rodzaju opakowaniach. W szczególności istnieje poważne zagrożenie załamania obecnie osiąganych, wysokich poziomów selektywnego zbierania butelek szklanych wielokrotnego użytku oraz masowego wypierania tych opakowań przez butelki szklane jednorazowe, nieobjęte systemem kaucyjnym. Taki scenariusz skutkowałby zaprzepaszczeniem wieloletnich działań podejmowanych przez branżę napojową na rzecz utrzymania i rozwoju systemów opartych na zasadzie ponownego użycia opakowań, a zarazem oznaczałby istotny regres w realizacji krajowych i unijnych celów w zakresie gospodarki o obiegu zamkniętym oraz redukcji śladu środowiskowego generowanego przez opakowania.</w:t>
      </w:r>
    </w:p>
    <w:p>
      <w:pPr>
        <w:widowControl w:val="0"/>
        <w:jc w:val="right"/>
        <w:rPr>
          <w:sz w:val="2"/>
          <w:szCs w:val="2"/>
        </w:rPr>
      </w:pPr>
      <w:r>
        <w:drawing>
          <wp:inline>
            <wp:extent cx="749935" cy="53022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7"/>
        </w:numPr>
        <w:shd w:val="clear" w:color="auto" w:fill="auto"/>
        <w:tabs>
          <w:tab w:pos="561" w:val="left"/>
        </w:tabs>
        <w:bidi w:val="0"/>
        <w:spacing w:before="0" w:after="280"/>
        <w:ind w:left="580" w:right="0" w:hanging="580"/>
        <w:jc w:val="both"/>
      </w:pPr>
      <w:r>
        <w:rPr>
          <w:rStyle w:val="CharStyle12"/>
        </w:rPr>
        <w:t>Proponowane zmiany mają na celu ograniczenie nadmiernych obowiązków nakładanych na przedsiębiorców, które nie znajdują podstawy w prawie Unii Europejskiej, wpisując się tym samym w szersze działania deregulacyjne podejmowane przez Radę Ministrów. Kwestia objęcia butelek szklanych wielokrotnego użytku systemem kaucyjnym oraz zaliczania do poziomów selektywnego zbierania wyłącznie opakowań zebranych w jego ramach była wskazywana jako przykład tzw. „gold-platingu</w:t>
      </w:r>
      <w:hyperlink w:anchor="bookmark0" w:tooltip="Current Document">
        <w:r>
          <w:rPr>
            <w:rStyle w:val="CharStyle12"/>
          </w:rPr>
          <w:t>”</w:t>
        </w:r>
        <w:r>
          <w:rPr>
            <w:rStyle w:val="CharStyle12"/>
            <w:vertAlign w:val="superscript"/>
          </w:rPr>
          <w:footnoteReference w:id="2"/>
        </w:r>
        <w:r>
          <w:rPr>
            <w:rStyle w:val="CharStyle12"/>
          </w:rPr>
          <w:t>,</w:t>
        </w:r>
      </w:hyperlink>
      <w:r>
        <w:rPr>
          <w:rStyle w:val="CharStyle12"/>
        </w:rPr>
        <w:t xml:space="preserve"> czyli wprowadzania przez państwo członkowskie bardziej rygorystycznych wymogów niż wynika to z prawa unijnego. Dyrektywa SUP (UE) 2019/90</w:t>
      </w:r>
      <w:hyperlink w:anchor="bookmark1" w:tooltip="Current Document">
        <w:r>
          <w:rPr>
            <w:rStyle w:val="CharStyle12"/>
          </w:rPr>
          <w:t>4</w:t>
        </w:r>
        <w:r>
          <w:rPr>
            <w:rStyle w:val="CharStyle12"/>
            <w:vertAlign w:val="superscript"/>
          </w:rPr>
          <w:footnoteReference w:id="3"/>
        </w:r>
      </w:hyperlink>
      <w:r>
        <w:rPr>
          <w:rStyle w:val="CharStyle12"/>
          <w:vertAlign w:val="superscript"/>
        </w:rPr>
        <w:t xml:space="preserve"> </w:t>
      </w:r>
      <w:r>
        <w:rPr>
          <w:rStyle w:val="CharStyle12"/>
        </w:rPr>
        <w:t>dotyczy wyłącznie butelek z tworzyw sztucznych, nie obejmuje opakowań szklanych i nie nakłada obowiązku wdrażania systemu kaucyjnego. Podobnie rozporządzenie PPW</w:t>
      </w:r>
      <w:hyperlink w:anchor="bookmark2" w:tooltip="Current Document">
        <w:r>
          <w:rPr>
            <w:rStyle w:val="CharStyle12"/>
          </w:rPr>
          <w:t>R</w:t>
        </w:r>
        <w:r>
          <w:rPr>
            <w:rStyle w:val="CharStyle12"/>
            <w:vertAlign w:val="superscript"/>
          </w:rPr>
          <w:footnoteReference w:id="4"/>
        </w:r>
        <w:r>
          <w:rPr>
            <w:rStyle w:val="CharStyle12"/>
          </w:rPr>
          <w:t xml:space="preserve"> </w:t>
        </w:r>
      </w:hyperlink>
      <w:r>
        <w:rPr>
          <w:rStyle w:val="CharStyle12"/>
        </w:rPr>
        <w:t>nie przewiduje obligatoryjnego objęcia systemem kaucyjnym opakowań szklanych, pozostawiając tę decyzję państwom członkowskim. Obowiązkowe objęcie tych opakowań systemem kaucyjnym i likwidacja dotychczasowych, efektywnych rozwiązań stanowią przejaw nadregulacji – zastępującej sprawdzone, społecznie akceptowane mechanizmy bardziej złożonym systemem, generującym istotnie większe koszty organizacyjne i technologiczne, ryzyko dezorientacji konsumentów oraz ograniczenie dostępności opakowań wielokrotnego użytku.</w:t>
      </w:r>
    </w:p>
    <w:p>
      <w:pPr>
        <w:pStyle w:val="Style11"/>
        <w:keepNext w:val="0"/>
        <w:keepLines w:val="0"/>
        <w:widowControl w:val="0"/>
        <w:numPr>
          <w:ilvl w:val="0"/>
          <w:numId w:val="7"/>
        </w:numPr>
        <w:shd w:val="clear" w:color="auto" w:fill="auto"/>
        <w:tabs>
          <w:tab w:pos="561" w:val="left"/>
        </w:tabs>
        <w:bidi w:val="0"/>
        <w:spacing w:before="0" w:after="360"/>
        <w:ind w:left="580" w:right="0" w:hanging="580"/>
        <w:jc w:val="both"/>
      </w:pPr>
      <w:r>
        <w:rPr>
          <w:rStyle w:val="CharStyle12"/>
        </w:rPr>
        <w:t>Przyjęcie postulowanych zmian legislacyjnych leży w interesie publicznym, gdyż służy ustanowieniu przejrzystych, spójnych i stabilnych ram prawnych, sprzyjających rozwojowi efektywnych systemów gospodarowania opakowaniami wielokrotnego użytku. Rozwiązania te przyczyniają się do realizacji kluczowych celów środowiskowych oraz wspierają politykę zrównoważonego rozwoju. Jednocześnie są one niezbędne dla ochrony środowiska, zapewnienia przewidywalnych i uczciwych warunków prowadzenia działalności gospodarczej — w tym dla przedsiębiorców zrzeszonych w KIGPR oraz ZPPP Browary Polskie — oraz zabezpieczenia praw konsumentów. Tego rodzaju podejście stanowi fundament odpowiedzialnego i długofalowego kształtowania ładu regulacyjnego w obszarze gospodarki opakowaniami.</w:t>
      </w:r>
    </w:p>
    <w:p>
      <w:pPr>
        <w:pStyle w:val="Style15"/>
        <w:keepNext/>
        <w:keepLines/>
        <w:widowControl w:val="0"/>
        <w:numPr>
          <w:ilvl w:val="0"/>
          <w:numId w:val="3"/>
        </w:numPr>
        <w:shd w:val="clear" w:color="auto" w:fill="auto"/>
        <w:tabs>
          <w:tab w:pos="561" w:val="left"/>
        </w:tabs>
        <w:bidi w:val="0"/>
        <w:spacing w:before="0" w:after="220"/>
        <w:ind w:left="0" w:right="0" w:firstLine="0"/>
        <w:jc w:val="both"/>
      </w:pPr>
      <w:bookmarkStart w:id="13" w:name="bookmark13"/>
      <w:r>
        <w:rPr>
          <w:rStyle w:val="CharStyle16"/>
          <w:b/>
          <w:bCs/>
        </w:rPr>
        <w:t>ZGODA NA UJAWNIENIE DANYCH PODMIOTU WNOSZĄCEGO PETYCJĘ</w:t>
      </w:r>
      <w:bookmarkEnd w:id="13"/>
    </w:p>
    <w:p>
      <w:pPr>
        <w:pStyle w:val="Style11"/>
        <w:keepNext w:val="0"/>
        <w:keepLines w:val="0"/>
        <w:widowControl w:val="0"/>
        <w:numPr>
          <w:ilvl w:val="0"/>
          <w:numId w:val="9"/>
        </w:numPr>
        <w:shd w:val="clear" w:color="auto" w:fill="auto"/>
        <w:tabs>
          <w:tab w:pos="561" w:val="left"/>
        </w:tabs>
        <w:bidi w:val="0"/>
        <w:spacing w:before="0" w:after="220"/>
        <w:ind w:left="580" w:right="0" w:hanging="580"/>
        <w:jc w:val="both"/>
      </w:pPr>
      <w:r>
        <w:rPr>
          <w:rStyle w:val="CharStyle12"/>
        </w:rPr>
        <w:t>Wnioskodawcy wyrażają zgodę na ujawnienie na stronie internetowej podmiotu rozpatrującego petycję lub urzędu go obsługującego w zakresie danych podmiotów wnoszących petycję.</w:t>
      </w:r>
    </w:p>
    <w:p>
      <w:pPr>
        <w:pStyle w:val="Style11"/>
        <w:keepNext w:val="0"/>
        <w:keepLines w:val="0"/>
        <w:widowControl w:val="0"/>
        <w:numPr>
          <w:ilvl w:val="0"/>
          <w:numId w:val="3"/>
        </w:numPr>
        <w:shd w:val="clear" w:color="auto" w:fill="auto"/>
        <w:tabs>
          <w:tab w:pos="561" w:val="left"/>
        </w:tabs>
        <w:bidi w:val="0"/>
        <w:spacing w:before="0" w:after="220"/>
        <w:ind w:left="0" w:right="0" w:firstLine="0"/>
        <w:jc w:val="both"/>
      </w:pPr>
      <w:r>
        <w:rPr>
          <w:rStyle w:val="CharStyle12"/>
          <w:b/>
          <w:bCs/>
        </w:rPr>
        <w:t>PRZEDMIOT PETYCJI</w:t>
      </w:r>
    </w:p>
    <w:p>
      <w:pPr>
        <w:pStyle w:val="Style15"/>
        <w:keepNext/>
        <w:keepLines/>
        <w:widowControl w:val="0"/>
        <w:numPr>
          <w:ilvl w:val="1"/>
          <w:numId w:val="3"/>
        </w:numPr>
        <w:shd w:val="clear" w:color="auto" w:fill="auto"/>
        <w:tabs>
          <w:tab w:pos="561" w:val="left"/>
        </w:tabs>
        <w:bidi w:val="0"/>
        <w:spacing w:before="0" w:after="220"/>
        <w:ind w:left="0" w:right="0" w:firstLine="0"/>
        <w:jc w:val="both"/>
      </w:pPr>
      <w:bookmarkStart w:id="15" w:name="bookmark15"/>
      <w:r>
        <w:rPr>
          <w:rStyle w:val="CharStyle16"/>
          <w:b/>
          <w:bCs/>
        </w:rPr>
        <w:t>Konieczność zmiany ustawy o gospodarce opakowaniami i odpadami opakowaniowymi</w:t>
      </w:r>
      <w:bookmarkEnd w:id="15"/>
    </w:p>
    <w:p>
      <w:pPr>
        <w:pStyle w:val="Style11"/>
        <w:keepNext w:val="0"/>
        <w:keepLines w:val="0"/>
        <w:widowControl w:val="0"/>
        <w:numPr>
          <w:ilvl w:val="0"/>
          <w:numId w:val="11"/>
        </w:numPr>
        <w:shd w:val="clear" w:color="auto" w:fill="auto"/>
        <w:tabs>
          <w:tab w:pos="561" w:val="left"/>
        </w:tabs>
        <w:bidi w:val="0"/>
        <w:spacing w:before="0"/>
        <w:ind w:left="580" w:right="0" w:hanging="580"/>
        <w:jc w:val="both"/>
        <w:sectPr>
          <w:footnotePr>
            <w:pos w:val="pageBottom"/>
            <w:numFmt w:val="decimal"/>
            <w:numStart w:val="1"/>
            <w:numRestart w:val="continuous"/>
            <w15:footnoteColumns w:val="1"/>
          </w:footnotePr>
          <w:pgSz w:w="11900" w:h="16840"/>
          <w:pgMar w:top="859" w:right="1383" w:bottom="1129" w:left="1383" w:header="0" w:footer="3" w:gutter="0"/>
          <w:cols w:space="720"/>
          <w:noEndnote/>
          <w:rtlGutter w:val="0"/>
          <w:docGrid w:linePitch="360"/>
        </w:sectPr>
      </w:pPr>
      <w:r>
        <w:rPr>
          <w:rStyle w:val="CharStyle12"/>
        </w:rPr>
        <w:t>Przedmiotem niniejszej petycji jest żądanie zmiany przepisów ustawy z dnia 13 czerwca 2013 r. o gospodarce opakowaniami i odpadami opakowaniowymi (tj.: Dz. U. z 2024 r. poz. 927; dalej</w:t>
      </w:r>
    </w:p>
    <w:p>
      <w:pPr>
        <w:widowControl w:val="0"/>
        <w:jc w:val="right"/>
        <w:rPr>
          <w:sz w:val="2"/>
          <w:szCs w:val="2"/>
        </w:rPr>
      </w:pPr>
      <w:r>
        <w:drawing>
          <wp:inline>
            <wp:extent cx="749935" cy="530225"/>
            <wp:docPr id="20" name="Picutre 20"/>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9"/>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after="220"/>
        <w:ind w:left="580" w:right="0" w:firstLine="0"/>
        <w:jc w:val="both"/>
      </w:pPr>
      <w:r>
        <w:rPr>
          <w:rStyle w:val="CharStyle12"/>
        </w:rPr>
        <w:t>także jako: „Ustawa o gospodarce opakowaniami”), poprzez przyjęcie nowelizacji, której projekt wraz z uzasadnieniem stanowi Załącznik nr 1 do niniejszej petycji.</w:t>
      </w:r>
    </w:p>
    <w:p>
      <w:pPr>
        <w:pStyle w:val="Style11"/>
        <w:keepNext w:val="0"/>
        <w:keepLines w:val="0"/>
        <w:widowControl w:val="0"/>
        <w:numPr>
          <w:ilvl w:val="0"/>
          <w:numId w:val="11"/>
        </w:numPr>
        <w:shd w:val="clear" w:color="auto" w:fill="auto"/>
        <w:tabs>
          <w:tab w:pos="562" w:val="left"/>
        </w:tabs>
        <w:bidi w:val="0"/>
        <w:spacing w:before="0" w:after="220"/>
        <w:ind w:left="580" w:right="0" w:hanging="580"/>
        <w:jc w:val="both"/>
      </w:pPr>
      <w:r>
        <w:rPr>
          <w:rStyle w:val="CharStyle12"/>
        </w:rPr>
        <w:t>Proponowane zmiany legislacyjne mają na celu umożliwienie samodzielnej realizacji obowiązku osiągania wymaganych poziomów selektywnego zbierania opakowań przez wszystkich przedsiębiorców wprowadzających produkty w butelkach szklanych wielokrotnego użytku o pojemności do 1,5 litra. Celem projektowanych rozwiązań jest umożliwienie przedsiębiorcom zachowania efektywnie funkcjonujących, istniejących systemów zbierania opakowań oraz ograniczenie zbędnych obciążeń dla przedsiębiorców i środowiska.</w:t>
      </w:r>
    </w:p>
    <w:p>
      <w:pPr>
        <w:pStyle w:val="Style11"/>
        <w:keepNext w:val="0"/>
        <w:keepLines w:val="0"/>
        <w:widowControl w:val="0"/>
        <w:numPr>
          <w:ilvl w:val="0"/>
          <w:numId w:val="11"/>
        </w:numPr>
        <w:shd w:val="clear" w:color="auto" w:fill="auto"/>
        <w:tabs>
          <w:tab w:pos="562" w:val="left"/>
        </w:tabs>
        <w:bidi w:val="0"/>
        <w:spacing w:before="0" w:after="220"/>
        <w:ind w:left="580" w:right="0" w:hanging="580"/>
        <w:jc w:val="both"/>
      </w:pPr>
      <w:r>
        <w:rPr>
          <w:rStyle w:val="CharStyle12"/>
        </w:rPr>
        <w:t>Mimo że aktualnie obowiązujące przepisy są ukierunkowane na realizację istotnych celów środowiskowych, takich jak zwiększenie poziomów selektywnej zbiórki odpadów opakowaniowych oraz wspieranie transformacji w kierunku gospodarki o obiegu zamkniętym, ich bezpośrednie i sztywne stosowanie w odniesieniu do specyficznej kategorii opakowań, jaką stanowią szklane butelki wielokrotnego użytku, może prowadzić do niezamierzonych, negatywnych skutków. Dotyczy to zarówno interesu publicznego – w szczególności konsumentów, którzy mogą utracić dostęp do zrozumiałych i funkcjonujących rozwiązań prośrodowiskowych – jak i przedsiębiorców, w tym nie tylko wprowadzających produkty w takich opakowaniach, ale również podmiotów z branży handlowej.</w:t>
      </w:r>
    </w:p>
    <w:p>
      <w:pPr>
        <w:pStyle w:val="Style15"/>
        <w:keepNext/>
        <w:keepLines/>
        <w:widowControl w:val="0"/>
        <w:numPr>
          <w:ilvl w:val="1"/>
          <w:numId w:val="3"/>
        </w:numPr>
        <w:shd w:val="clear" w:color="auto" w:fill="auto"/>
        <w:tabs>
          <w:tab w:pos="562" w:val="left"/>
        </w:tabs>
        <w:bidi w:val="0"/>
        <w:spacing w:before="0" w:after="220"/>
        <w:ind w:left="580" w:right="0" w:hanging="580"/>
        <w:jc w:val="both"/>
      </w:pPr>
      <w:bookmarkStart w:id="17" w:name="bookmark17"/>
      <w:r>
        <w:rPr>
          <w:rStyle w:val="CharStyle16"/>
          <w:b/>
          <w:bCs/>
        </w:rPr>
        <w:t>Dotychczasowe, stabilne i wydajne rozwiązania w zakresie obiegu opakowań wielokrotnego użytku (butelka szklana zwrotna)</w:t>
      </w:r>
      <w:bookmarkEnd w:id="17"/>
    </w:p>
    <w:p>
      <w:pPr>
        <w:pStyle w:val="Style11"/>
        <w:keepNext w:val="0"/>
        <w:keepLines w:val="0"/>
        <w:widowControl w:val="0"/>
        <w:numPr>
          <w:ilvl w:val="0"/>
          <w:numId w:val="13"/>
        </w:numPr>
        <w:shd w:val="clear" w:color="auto" w:fill="auto"/>
        <w:tabs>
          <w:tab w:pos="562" w:val="left"/>
        </w:tabs>
        <w:bidi w:val="0"/>
        <w:spacing w:before="0" w:after="220"/>
        <w:ind w:left="580" w:right="0" w:hanging="580"/>
        <w:jc w:val="both"/>
      </w:pPr>
      <w:r>
        <w:rPr>
          <w:rStyle w:val="CharStyle12"/>
        </w:rPr>
        <w:t>W pierwszej kolejności należy wskazać, że na polskim rynku od wielu lat funkcjonują stabilne i efektywne systemy zwrotu szklanych butelek wielokrotnego użytku, oparte na mechanizmach rynkowych i dobrowolnych umowach handlowych. Systemy te (niezależne od systemu kaucyjnego) stanowiły i nadal stanowią integralny element krajowego modelu dystrybucji napojów, szczególnie w sektorze lokalnych i regionalnych producentów, gdzie zwrotność opakowań była częścią standardowego łańcucha dostaw.</w:t>
      </w:r>
    </w:p>
    <w:p>
      <w:pPr>
        <w:pStyle w:val="Style11"/>
        <w:keepNext w:val="0"/>
        <w:keepLines w:val="0"/>
        <w:widowControl w:val="0"/>
        <w:numPr>
          <w:ilvl w:val="0"/>
          <w:numId w:val="13"/>
        </w:numPr>
        <w:shd w:val="clear" w:color="auto" w:fill="auto"/>
        <w:tabs>
          <w:tab w:pos="562" w:val="left"/>
        </w:tabs>
        <w:bidi w:val="0"/>
        <w:spacing w:before="0" w:after="280"/>
        <w:ind w:left="580" w:right="0" w:hanging="580"/>
        <w:jc w:val="both"/>
      </w:pPr>
      <w:r>
        <w:rPr>
          <w:rStyle w:val="CharStyle12"/>
        </w:rPr>
        <w:t>Kluczową cechą obecnych systemów jest to, że przedsiębiorcy zarządzający tymi systemami wdrożyli wewnętrzne, ustrukturyzowane mechanizmy ewidencyjne, które umożliwiają precyzyjne monitorowanie ilości opakowań wydawanych na rynek oraz odbieranych od odbiorców. Dzięki temu możliwe jest wiarygodne i transparentne wykazywanie poziomu selektywnego zbierania, co stanowi istotny element weryfikacji skuteczności systemu. Dane ewidencyjne potwierdzają, że obecne rozwiązania umożliwiają osiągnięcie poziomu zbierania opakowań szklanych przekraczającego 90% rocznie, tym samym znacząco przewyższając ustawowy próg 77%.</w:t>
      </w:r>
    </w:p>
    <w:p>
      <w:pPr>
        <w:pStyle w:val="Style11"/>
        <w:keepNext w:val="0"/>
        <w:keepLines w:val="0"/>
        <w:widowControl w:val="0"/>
        <w:numPr>
          <w:ilvl w:val="0"/>
          <w:numId w:val="13"/>
        </w:numPr>
        <w:shd w:val="clear" w:color="auto" w:fill="auto"/>
        <w:tabs>
          <w:tab w:pos="562" w:val="left"/>
        </w:tabs>
        <w:bidi w:val="0"/>
        <w:spacing w:before="0" w:after="220"/>
        <w:ind w:left="580" w:right="0" w:hanging="580"/>
        <w:jc w:val="both"/>
        <w:sectPr>
          <w:footnotePr>
            <w:pos w:val="pageBottom"/>
            <w:numFmt w:val="decimal"/>
            <w:numStart w:val="1"/>
            <w:numRestart w:val="continuous"/>
            <w15:footnoteColumns w:val="1"/>
          </w:footnotePr>
          <w:pgSz w:w="11900" w:h="16840"/>
          <w:pgMar w:top="859" w:right="1383" w:bottom="1133" w:left="1383" w:header="0" w:footer="3" w:gutter="0"/>
          <w:cols w:space="720"/>
          <w:noEndnote/>
          <w:rtlGutter w:val="0"/>
          <w:docGrid w:linePitch="360"/>
        </w:sectPr>
      </w:pPr>
      <w:r>
        <w:rPr>
          <w:rStyle w:val="CharStyle12"/>
        </w:rPr>
        <w:t>Istniejące systemy są również zoptymalizowane logistycznie tj. transport produktów do punktów sprzedaży i odbiór pustych opakowań odbywają się w ramach tej samej operacji, co znacząco ogranicza koszty oraz ślad węglowy. Takie rozwiązanie przyczynia się do zmniejszania emisji gazów cieplarnianych związanych z wykorzystywaniem opakowań do napojów. Jak wynika z dostępnych analiz prawidłowo wykorzystywana butelka szklana wielokrotnego użytku ma 6-krotnie mniejszy ślad węglowy niż szklana butelka bezzwrotna. Ze względu na skalę działania oraz liczbę produktów w butelkach szklanych wielokrotnego użytku wprowadzanych każdego</w:t>
      </w:r>
    </w:p>
    <w:p>
      <w:pPr>
        <w:widowControl w:val="0"/>
        <w:jc w:val="right"/>
        <w:rPr>
          <w:sz w:val="2"/>
          <w:szCs w:val="2"/>
        </w:rPr>
      </w:pPr>
      <w:r>
        <w:drawing>
          <wp:inline>
            <wp:extent cx="749935" cy="530225"/>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ind w:left="580" w:right="0" w:firstLine="0"/>
        <w:jc w:val="both"/>
      </w:pPr>
      <w:r>
        <w:rPr>
          <w:rStyle w:val="CharStyle12"/>
        </w:rPr>
        <w:t>roku na rynek w Polsce – szacowaną na około 2 miliardy sztuk – integralną część funkcjonujących systemów stanowią dystrybutorzy hurtowi.</w:t>
      </w:r>
    </w:p>
    <w:p>
      <w:pPr>
        <w:pStyle w:val="Style11"/>
        <w:keepNext w:val="0"/>
        <w:keepLines w:val="0"/>
        <w:widowControl w:val="0"/>
        <w:numPr>
          <w:ilvl w:val="0"/>
          <w:numId w:val="13"/>
        </w:numPr>
        <w:shd w:val="clear" w:color="auto" w:fill="auto"/>
        <w:tabs>
          <w:tab w:pos="563" w:val="left"/>
        </w:tabs>
        <w:bidi w:val="0"/>
        <w:spacing w:before="0"/>
        <w:ind w:left="580" w:right="0" w:hanging="580"/>
        <w:jc w:val="both"/>
      </w:pPr>
      <w:r>
        <w:rPr>
          <w:rStyle w:val="CharStyle12"/>
        </w:rPr>
        <w:t>Ponadto, wskazani producenci dysponują zaawansowaną infrastrukturą logistyczną i technologiczną, która obejmuje nowoczesne linie myjące i rozlewnicze oraz zintegrowane systemy kontroli jakości. Całość tych rozwiązań została zaprojektowana na potrzeby obsługi stosowanych przez nich butelek szklanych wielokrotnego użytku. Dzięki temu możliwe jest zapewnienie pełnej zgodności opakowań z obowiązującymi normami jakościowymi oraz ich bezpieczeństwa w obrocie. Systemy te umożliwiają skuteczne wykrywanie i eliminowanie opakowań uszkodzonych, w tym butelek posiadających odpryski, pęknięcia lub inne wady fizyczne. Takie podejście istotnie wpływa na jakość całego procesu i zapewnia wysoką efektywność operacyjną.</w:t>
      </w:r>
    </w:p>
    <w:p>
      <w:pPr>
        <w:pStyle w:val="Style11"/>
        <w:keepNext w:val="0"/>
        <w:keepLines w:val="0"/>
        <w:widowControl w:val="0"/>
        <w:numPr>
          <w:ilvl w:val="0"/>
          <w:numId w:val="13"/>
        </w:numPr>
        <w:shd w:val="clear" w:color="auto" w:fill="auto"/>
        <w:tabs>
          <w:tab w:pos="563" w:val="left"/>
        </w:tabs>
        <w:bidi w:val="0"/>
        <w:spacing w:before="0"/>
        <w:ind w:left="580" w:right="0" w:hanging="580"/>
        <w:jc w:val="both"/>
      </w:pPr>
      <w:r>
        <w:rPr>
          <w:rStyle w:val="CharStyle12"/>
        </w:rPr>
        <w:t>Z punktu widzenia przedsiębiorców, funkcjonujące obecnie systemy zwrotu opakowań wielokrotnego użytku zapewniają wysoką efektywność środowiskową, operacyjną, logistyczną oraz kosztową. W przeciwieństwie do planowanego systemu kaucyjnego, nie wymagają one ponoszenia znacznych nakładów inwestycyjnych, ani przebudowy istniejących łańcuchów logistycznych.</w:t>
      </w:r>
    </w:p>
    <w:p>
      <w:pPr>
        <w:pStyle w:val="Style11"/>
        <w:keepNext w:val="0"/>
        <w:keepLines w:val="0"/>
        <w:widowControl w:val="0"/>
        <w:numPr>
          <w:ilvl w:val="0"/>
          <w:numId w:val="13"/>
        </w:numPr>
        <w:shd w:val="clear" w:color="auto" w:fill="auto"/>
        <w:tabs>
          <w:tab w:pos="563" w:val="left"/>
        </w:tabs>
        <w:bidi w:val="0"/>
        <w:spacing w:before="0"/>
        <w:ind w:left="580" w:right="0" w:hanging="580"/>
        <w:jc w:val="both"/>
      </w:pPr>
      <w:r>
        <w:rPr>
          <w:rStyle w:val="CharStyle12"/>
        </w:rPr>
        <w:t>Z kolei, dla konsumentów utrwalony model zwrotu butelek szklanych przekłada się na łatwo dostępne i przejrzyste mechanizmy, które nie obciążają cen produktów dodatkowymi kosztami systemowymi, oraz zapewniają ich dostępność na zbliżonym poziomie.</w:t>
      </w:r>
    </w:p>
    <w:p>
      <w:pPr>
        <w:pStyle w:val="Style15"/>
        <w:keepNext/>
        <w:keepLines/>
        <w:widowControl w:val="0"/>
        <w:numPr>
          <w:ilvl w:val="1"/>
          <w:numId w:val="3"/>
        </w:numPr>
        <w:shd w:val="clear" w:color="auto" w:fill="auto"/>
        <w:tabs>
          <w:tab w:pos="563" w:val="left"/>
        </w:tabs>
        <w:bidi w:val="0"/>
        <w:spacing w:before="0" w:after="260"/>
        <w:ind w:left="0" w:right="0" w:firstLine="0"/>
        <w:jc w:val="both"/>
      </w:pPr>
      <w:bookmarkStart w:id="19" w:name="bookmark19"/>
      <w:r>
        <w:rPr>
          <w:rStyle w:val="CharStyle16"/>
          <w:b/>
          <w:bCs/>
        </w:rPr>
        <w:t>Zagrożenia związane z likwidacją dotychczasowych systemów</w:t>
      </w:r>
      <w:bookmarkEnd w:id="19"/>
    </w:p>
    <w:p>
      <w:pPr>
        <w:pStyle w:val="Style11"/>
        <w:keepNext w:val="0"/>
        <w:keepLines w:val="0"/>
        <w:widowControl w:val="0"/>
        <w:numPr>
          <w:ilvl w:val="0"/>
          <w:numId w:val="15"/>
        </w:numPr>
        <w:shd w:val="clear" w:color="auto" w:fill="auto"/>
        <w:tabs>
          <w:tab w:pos="563" w:val="left"/>
        </w:tabs>
        <w:bidi w:val="0"/>
        <w:spacing w:before="0"/>
        <w:ind w:left="580" w:right="0" w:hanging="580"/>
        <w:jc w:val="both"/>
      </w:pPr>
      <w:r>
        <w:rPr>
          <w:rStyle w:val="CharStyle12"/>
        </w:rPr>
        <w:t>Brak możliwości kontynuacji dotychczasowych, sprawdzonych i efektywnych systemów zbierania butelek szklanych wielokrotnego użytku przez wprowadzających stanowi poważne zagrożenie dla stabilności rynku napojowego oraz realizacji krajowych i unijnych celów środowiskowych. Wprowadzenie obowiązku objęcia tego rodzaju opakowań nowym systemem kaucyjnym – bez uwzględnienia ich specyfiki logistycznej, technologicznej, istniejącej infrastruktury oraz wieloletniego doświadczenia branży – prowadzi do szeregu negatywnych konsekwencji, w tym:</w:t>
      </w:r>
    </w:p>
    <w:p>
      <w:pPr>
        <w:pStyle w:val="Style11"/>
        <w:keepNext w:val="0"/>
        <w:keepLines w:val="0"/>
        <w:widowControl w:val="0"/>
        <w:numPr>
          <w:ilvl w:val="0"/>
          <w:numId w:val="17"/>
        </w:numPr>
        <w:shd w:val="clear" w:color="auto" w:fill="auto"/>
        <w:tabs>
          <w:tab w:pos="1142" w:val="left"/>
        </w:tabs>
        <w:bidi w:val="0"/>
        <w:spacing w:before="0"/>
        <w:ind w:left="1160" w:right="0" w:hanging="440"/>
        <w:jc w:val="both"/>
      </w:pPr>
      <w:r>
        <w:rPr>
          <w:rStyle w:val="CharStyle12"/>
          <w:b/>
          <w:bCs/>
        </w:rPr>
        <w:t xml:space="preserve">Rozbicie istniejących łańcuchów dostaw i logistyki zwrotnej </w:t>
      </w:r>
      <w:r>
        <w:rPr>
          <w:rStyle w:val="CharStyle12"/>
        </w:rPr>
        <w:t>– Obecne systemy opierają się na zintegrowanej logistyce, w której dostawa napojów i odbiór pustych butelek realizowane są w ramach jednego transportu. Zastąpienie tego modelu odbiorami realizowanymi przez zewnętrzne podmioty skutkuje wydłużeniem cyklu obiegu butelek oraz wzrostem kosztów operacyjnych.</w:t>
      </w:r>
    </w:p>
    <w:p>
      <w:pPr>
        <w:pStyle w:val="Style11"/>
        <w:keepNext w:val="0"/>
        <w:keepLines w:val="0"/>
        <w:widowControl w:val="0"/>
        <w:numPr>
          <w:ilvl w:val="0"/>
          <w:numId w:val="17"/>
        </w:numPr>
        <w:shd w:val="clear" w:color="auto" w:fill="auto"/>
        <w:tabs>
          <w:tab w:pos="1142" w:val="left"/>
        </w:tabs>
        <w:bidi w:val="0"/>
        <w:spacing w:before="0"/>
        <w:ind w:left="1160" w:right="0" w:hanging="440"/>
        <w:jc w:val="both"/>
        <w:sectPr>
          <w:footnotePr>
            <w:pos w:val="pageBottom"/>
            <w:numFmt w:val="decimal"/>
            <w:numStart w:val="1"/>
            <w:numRestart w:val="continuous"/>
            <w15:footnoteColumns w:val="1"/>
          </w:footnotePr>
          <w:pgSz w:w="11900" w:h="16840"/>
          <w:pgMar w:top="859" w:right="1383" w:bottom="1129" w:left="1383" w:header="0" w:footer="3" w:gutter="0"/>
          <w:cols w:space="720"/>
          <w:noEndnote/>
          <w:rtlGutter w:val="0"/>
          <w:docGrid w:linePitch="360"/>
        </w:sectPr>
      </w:pPr>
      <w:r>
        <w:rPr>
          <w:rStyle w:val="CharStyle12"/>
          <w:b/>
          <w:bCs/>
        </w:rPr>
        <w:t xml:space="preserve">Zwiększone straty butelek </w:t>
      </w:r>
      <w:r>
        <w:rPr>
          <w:rStyle w:val="CharStyle12"/>
        </w:rPr>
        <w:t>– Prowadzenie systemów przez wiele podmiotów niemających doświadczenia w obsłudze butelek wielokrotnego użytku (np. zbiórka w workach) skutkuje wzrostem liczby uszkodzeń w transporcie. To przekłada się na konieczność odtwarzania większej ilości zniszczonych butelek, co wiąże się z dodatkowymi kosztami dla przedsiębiorców.</w:t>
      </w:r>
    </w:p>
    <w:p>
      <w:pPr>
        <w:widowControl w:val="0"/>
        <w:jc w:val="right"/>
        <w:rPr>
          <w:sz w:val="2"/>
          <w:szCs w:val="2"/>
        </w:rPr>
      </w:pPr>
      <w:r>
        <w:drawing>
          <wp:inline>
            <wp:extent cx="749935" cy="530225"/>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3"/>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17"/>
        </w:numPr>
        <w:shd w:val="clear" w:color="auto" w:fill="auto"/>
        <w:tabs>
          <w:tab w:pos="1162" w:val="left"/>
        </w:tabs>
        <w:bidi w:val="0"/>
        <w:spacing w:before="0" w:after="280"/>
        <w:ind w:left="1160" w:right="0" w:hanging="420"/>
        <w:jc w:val="both"/>
      </w:pPr>
      <w:r>
        <w:rPr>
          <w:rStyle w:val="CharStyle12"/>
          <w:b/>
          <w:bCs/>
        </w:rPr>
        <w:t xml:space="preserve">Opóźnienia operacyjne i ograniczona dostępność opakowań </w:t>
      </w:r>
      <w:r>
        <w:rPr>
          <w:rStyle w:val="CharStyle12"/>
        </w:rPr>
        <w:t>– Rozdrobniona logistyka może prowadzić do opóźnień w transporcie pustych opakowań i deficytu skrzynek transportowych. Wydłużony czas zwrotu butelek ogranicza ich dostępność do ponownego napełnienia, zaburzając ciągłość dostaw i zmuszając producentów do tworzenia kosztownych zapasów buforowych.</w:t>
      </w:r>
    </w:p>
    <w:p>
      <w:pPr>
        <w:pStyle w:val="Style11"/>
        <w:keepNext w:val="0"/>
        <w:keepLines w:val="0"/>
        <w:widowControl w:val="0"/>
        <w:numPr>
          <w:ilvl w:val="0"/>
          <w:numId w:val="17"/>
        </w:numPr>
        <w:shd w:val="clear" w:color="auto" w:fill="auto"/>
        <w:tabs>
          <w:tab w:pos="1162" w:val="left"/>
        </w:tabs>
        <w:bidi w:val="0"/>
        <w:spacing w:before="0" w:after="280"/>
        <w:ind w:left="1160" w:right="0" w:hanging="420"/>
        <w:jc w:val="both"/>
      </w:pPr>
      <w:r>
        <w:rPr>
          <w:rStyle w:val="CharStyle12"/>
          <w:b/>
          <w:bCs/>
        </w:rPr>
        <w:t xml:space="preserve">Wzrost obowiązków administracyjnych i kosztów systemowych </w:t>
      </w:r>
      <w:r>
        <w:rPr>
          <w:rStyle w:val="CharStyle12"/>
        </w:rPr>
        <w:t>– Przerwanie zamkniętego obiegu butelek wymusza wdrożenie nowych mechanizmów ewidencji, monitorowania i rozliczeń, obejmujących m.in. rejestrację opakowań, śledzenie przepływów, dokumentowanie strat i zarządzanie kaucją. Powoduje to znaczący wzrost kosztów administracyjnych i informatycznych, bez proporcjonalnych korzyści środowiskowych.</w:t>
      </w:r>
    </w:p>
    <w:p>
      <w:pPr>
        <w:pStyle w:val="Style11"/>
        <w:keepNext w:val="0"/>
        <w:keepLines w:val="0"/>
        <w:widowControl w:val="0"/>
        <w:numPr>
          <w:ilvl w:val="0"/>
          <w:numId w:val="17"/>
        </w:numPr>
        <w:shd w:val="clear" w:color="auto" w:fill="auto"/>
        <w:tabs>
          <w:tab w:pos="1162" w:val="left"/>
        </w:tabs>
        <w:bidi w:val="0"/>
        <w:spacing w:before="0" w:after="280"/>
        <w:ind w:left="1160" w:right="0" w:hanging="420"/>
        <w:jc w:val="both"/>
      </w:pPr>
      <w:r>
        <w:rPr>
          <w:rStyle w:val="CharStyle12"/>
          <w:b/>
          <w:bCs/>
        </w:rPr>
        <w:t xml:space="preserve">Zwiększone emisje CO₂ wynikające z obniżenia poziomów zbierania i rozbicia logistyki zwrotnej </w:t>
      </w:r>
      <w:r>
        <w:rPr>
          <w:rStyle w:val="CharStyle12"/>
        </w:rPr>
        <w:t>– Wprowadzenie nowego systemu może skutkować pogorszeniem efektywności zbiórki butelek szklanych wielokrotnego użytku, prowadząc do zwiększonej ich utraty w obiegu i konieczności częstszego odtwarzania opakowań. Dodatkowo, rozdzielenie dotychczas zintegrowanej logistyki zwrotnej producentów, sieci handlowych i dystrybutorów na niezależne operacje realizowane przez wiele podmiotów generować będzie nadmiarowe transporty i operacje przeładunkowe. W efekcie prowadzić to będzie do istotnego wzrostu emisji gazów cieplarnianych, co pozostaje w sprzeczności z celami klimatycznymi Polski i Unii Europejskiej.</w:t>
      </w:r>
    </w:p>
    <w:p>
      <w:pPr>
        <w:pStyle w:val="Style11"/>
        <w:keepNext w:val="0"/>
        <w:keepLines w:val="0"/>
        <w:widowControl w:val="0"/>
        <w:numPr>
          <w:ilvl w:val="0"/>
          <w:numId w:val="15"/>
        </w:numPr>
        <w:shd w:val="clear" w:color="auto" w:fill="auto"/>
        <w:tabs>
          <w:tab w:pos="722" w:val="left"/>
        </w:tabs>
        <w:bidi w:val="0"/>
        <w:spacing w:before="0" w:after="280"/>
        <w:ind w:left="720" w:right="0" w:hanging="560"/>
        <w:jc w:val="both"/>
      </w:pPr>
      <w:r>
        <w:rPr>
          <w:rStyle w:val="CharStyle12"/>
        </w:rPr>
        <w:t>Przedsiębiorcy zrzeszeni w Izbie Gospodarczej oraz Związku, posiadający wieloletnie doświadczenie w organizacji efektywnych systemów zbierania butelek szklanych wielokrotnego użytku, wskazują na liczne zagrożenia związane z planowanym uruchomieniem i kształtem systemu kaucyjnego, w tym:</w:t>
      </w:r>
    </w:p>
    <w:p>
      <w:pPr>
        <w:pStyle w:val="Style11"/>
        <w:keepNext w:val="0"/>
        <w:keepLines w:val="0"/>
        <w:widowControl w:val="0"/>
        <w:numPr>
          <w:ilvl w:val="0"/>
          <w:numId w:val="19"/>
        </w:numPr>
        <w:shd w:val="clear" w:color="auto" w:fill="auto"/>
        <w:tabs>
          <w:tab w:pos="1162" w:val="left"/>
        </w:tabs>
        <w:bidi w:val="0"/>
        <w:spacing w:before="0" w:after="280"/>
        <w:ind w:left="1160" w:right="0" w:hanging="420"/>
        <w:jc w:val="both"/>
      </w:pPr>
      <w:r>
        <w:rPr>
          <w:rStyle w:val="CharStyle12"/>
          <w:b/>
          <w:bCs/>
        </w:rPr>
        <w:t xml:space="preserve">Brak wystarczającego czasu na wdrożenie systemu </w:t>
      </w:r>
      <w:r>
        <w:rPr>
          <w:rStyle w:val="CharStyle12"/>
        </w:rPr>
        <w:t>– Udzielenie ostatecznych zezwoleń podmiotom reprezentującym dopiero pod koniec czerwca 2025 r. oznacza, że na przygotowanie operacyjne i uzgodnienie warunków współpracy między uczestnikami pozostaje jedynie nieco ponad trzy miesiące.</w:t>
      </w:r>
    </w:p>
    <w:p>
      <w:pPr>
        <w:pStyle w:val="Style11"/>
        <w:keepNext w:val="0"/>
        <w:keepLines w:val="0"/>
        <w:widowControl w:val="0"/>
        <w:numPr>
          <w:ilvl w:val="0"/>
          <w:numId w:val="19"/>
        </w:numPr>
        <w:shd w:val="clear" w:color="auto" w:fill="auto"/>
        <w:tabs>
          <w:tab w:pos="1162" w:val="left"/>
        </w:tabs>
        <w:bidi w:val="0"/>
        <w:spacing w:before="0" w:after="280"/>
        <w:ind w:left="1160" w:right="0" w:hanging="420"/>
        <w:jc w:val="both"/>
      </w:pPr>
      <w:r>
        <w:rPr>
          <w:rStyle w:val="CharStyle12"/>
          <w:b/>
          <w:bCs/>
        </w:rPr>
        <w:t xml:space="preserve">Niemożność zawarcia umów z jednostkami handlu przed zamknięciem dotychczasowych systemów </w:t>
      </w:r>
      <w:r>
        <w:rPr>
          <w:rStyle w:val="CharStyle12"/>
        </w:rPr>
        <w:t>– Podmioty reprezentujące nie będą w stanie zawrzeć umów z wszystkimi jednostkami handlu detalicznego i hurtowego oferującymi butelki szklane wielokrotnego użytku (ok. 45 tys. placówek) przed planowanym uruchomieniem systemu 1 października 2025 r. i przed zamknięciem dotychczasowych systemów z dniem 31 grudnia 2025 r., mając na uwadze, że proces ten mógł rozpocząć się dopiero po uzyskaniu stosownego zezwolenia, co nastąpiło dopiero wstawić datę.</w:t>
      </w:r>
    </w:p>
    <w:p>
      <w:pPr>
        <w:pStyle w:val="Style11"/>
        <w:keepNext w:val="0"/>
        <w:keepLines w:val="0"/>
        <w:widowControl w:val="0"/>
        <w:numPr>
          <w:ilvl w:val="0"/>
          <w:numId w:val="19"/>
        </w:numPr>
        <w:shd w:val="clear" w:color="auto" w:fill="auto"/>
        <w:tabs>
          <w:tab w:pos="1162" w:val="left"/>
        </w:tabs>
        <w:bidi w:val="0"/>
        <w:spacing w:before="0" w:after="280"/>
        <w:ind w:left="1160" w:right="0" w:hanging="420"/>
        <w:jc w:val="both"/>
        <w:sectPr>
          <w:footnotePr>
            <w:pos w:val="pageBottom"/>
            <w:numFmt w:val="decimal"/>
            <w:numStart w:val="1"/>
            <w:numRestart w:val="continuous"/>
            <w15:footnoteColumns w:val="1"/>
          </w:footnotePr>
          <w:pgSz w:w="11900" w:h="16840"/>
          <w:pgMar w:top="859" w:right="1383" w:bottom="1133" w:left="1383" w:header="0" w:footer="3" w:gutter="0"/>
          <w:cols w:space="720"/>
          <w:noEndnote/>
          <w:rtlGutter w:val="0"/>
          <w:docGrid w:linePitch="360"/>
        </w:sectPr>
      </w:pPr>
      <w:r>
        <w:rPr>
          <w:rStyle w:val="CharStyle12"/>
          <w:b/>
          <w:bCs/>
        </w:rPr>
        <w:t xml:space="preserve">Nadmierne i nieuzasadnione obowiązki administracyjne – </w:t>
      </w:r>
      <w:r>
        <w:rPr>
          <w:rStyle w:val="CharStyle12"/>
        </w:rPr>
        <w:t>Zezwolenia nakładają na wprowadzających obowiązki, które nie mają podstawy ustawowej i wymagają poniesienia znacznych nakładów inwestycyjnych oraz wdrożenia nowych procesów logistycznych i informatycznych, mimo że nie są one konieczne dla prawidłowego funkcjonowania systemu. Przykładem jest propozycja znakowania skrzynek, która jest nie tylko</w:t>
      </w:r>
    </w:p>
    <w:p>
      <w:pPr>
        <w:widowControl w:val="0"/>
        <w:jc w:val="right"/>
        <w:rPr>
          <w:sz w:val="2"/>
          <w:szCs w:val="2"/>
        </w:rPr>
      </w:pPr>
      <w:r>
        <w:drawing>
          <wp:inline>
            <wp:extent cx="749935" cy="530225"/>
            <wp:docPr id="23" name="Picutre 23"/>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after="280"/>
        <w:ind w:left="1160" w:right="0" w:firstLine="0"/>
        <w:jc w:val="both"/>
      </w:pPr>
      <w:r>
        <w:rPr>
          <w:rStyle w:val="CharStyle12"/>
        </w:rPr>
        <w:t>merytorycznie nieuzasadniona i nie przynosi systemowi ani środowisku wartości dodanej, ale również praktycznie niemożliwa do wdrożenia. Skala przedsięwzięcia – w przypadku samej tylko branży piwnej obejmująca ponad 30 milionów skrzynek – czyni to rozwiązanie niewykonalnym organizacyjnie i kosztowo. Obecny system działa sprawnie bez takiego obowiązku – zarówno producenci, jak i handel efektywnie zarządzają obiegiem skrzynek, co potwierdza, że wprowadzenie dodatkowego znakowania nie przyniosłoby żadnych realnych korzyści, a jedynie wygenerowałoby nieproporcjonalne koszty i poważne utrudnienia logistyczne.</w:t>
      </w:r>
    </w:p>
    <w:p>
      <w:pPr>
        <w:pStyle w:val="Style11"/>
        <w:keepNext w:val="0"/>
        <w:keepLines w:val="0"/>
        <w:widowControl w:val="0"/>
        <w:numPr>
          <w:ilvl w:val="0"/>
          <w:numId w:val="19"/>
        </w:numPr>
        <w:shd w:val="clear" w:color="auto" w:fill="auto"/>
        <w:tabs>
          <w:tab w:pos="1142" w:val="left"/>
        </w:tabs>
        <w:bidi w:val="0"/>
        <w:spacing w:before="0" w:after="280"/>
        <w:ind w:left="1160" w:right="0" w:hanging="440"/>
        <w:jc w:val="both"/>
      </w:pPr>
      <w:r>
        <w:rPr>
          <w:rStyle w:val="CharStyle12"/>
          <w:b/>
          <w:bCs/>
        </w:rPr>
        <w:t xml:space="preserve">Wysokie koszty uczestnictwa w systemie – </w:t>
      </w:r>
      <w:r>
        <w:rPr>
          <w:rStyle w:val="CharStyle12"/>
        </w:rPr>
        <w:t>Wprowadzający butelki szklane wielokrotnego użytku ponoszą koszty odbioru opakowań ze wszystkich jednostek handlu, niezależnie od realizowania bądź nie realizowania sprzedaży ich produktów, a także koszty logistyki, magazynowania i odtworzenia opakowań utraconych w obiegu – bez możliwości pokrycia ich z nieodebranej kaucji. Dodatkowe obciążenia wynikają z konieczności dostosowania do różnych systemów podmiotów reprezentujących, w tym zmian oznakowania, integracji IT i wdrożenia nowych procedur.</w:t>
      </w:r>
    </w:p>
    <w:p>
      <w:pPr>
        <w:pStyle w:val="Style11"/>
        <w:keepNext w:val="0"/>
        <w:keepLines w:val="0"/>
        <w:widowControl w:val="0"/>
        <w:numPr>
          <w:ilvl w:val="0"/>
          <w:numId w:val="19"/>
        </w:numPr>
        <w:shd w:val="clear" w:color="auto" w:fill="auto"/>
        <w:tabs>
          <w:tab w:pos="1142" w:val="left"/>
        </w:tabs>
        <w:bidi w:val="0"/>
        <w:spacing w:before="0" w:after="280"/>
        <w:ind w:left="1160" w:right="0" w:hanging="440"/>
        <w:jc w:val="both"/>
      </w:pPr>
      <w:r>
        <w:rPr>
          <w:rStyle w:val="CharStyle12"/>
          <w:b/>
          <w:bCs/>
        </w:rPr>
        <w:t xml:space="preserve">Nierozstrzygnięte kwestie podatkowe – </w:t>
      </w:r>
      <w:r>
        <w:rPr>
          <w:rStyle w:val="CharStyle12"/>
        </w:rPr>
        <w:t>Projekt objaśnień podatkowych dotyczących podatku VAT, opublikowany przez Ministerstwo Finansów w dniu 3 lipca 2025 r., wymaga pogłębionej analizy oraz wdrożenia nowych rozwiązań organizacyjno-podatkowych. Konsultacje publiczne przewidziane są jedynie na 15 dni, co w praktyce uniemożliwia pełne odniesienie się do proponowanych rozwiązań oraz przygotowanie się do ich wdrożenia w tak krótkim czasie. W projekcie znajdują się kwestie, które budzą istotne wątpliwości interpretacyjne i które będą wymagały opracowania nowych procesów oraz wprowadzenia zmian w systemach informatycznych, aby zapewnić prawidłowe i zgodne z prawem rozliczanie podatku VAT w ramach systemu kaucyjnego.</w:t>
      </w:r>
    </w:p>
    <w:p>
      <w:pPr>
        <w:pStyle w:val="Style11"/>
        <w:keepNext w:val="0"/>
        <w:keepLines w:val="0"/>
        <w:widowControl w:val="0"/>
        <w:numPr>
          <w:ilvl w:val="0"/>
          <w:numId w:val="15"/>
        </w:numPr>
        <w:shd w:val="clear" w:color="auto" w:fill="auto"/>
        <w:tabs>
          <w:tab w:pos="610" w:val="left"/>
        </w:tabs>
        <w:bidi w:val="0"/>
        <w:spacing w:before="0" w:after="280"/>
        <w:ind w:left="720" w:right="0" w:hanging="720"/>
        <w:jc w:val="both"/>
      </w:pPr>
      <w:r>
        <w:rPr>
          <w:rStyle w:val="CharStyle12"/>
        </w:rPr>
        <w:t>Powyższe uwagi jednoznacznie wskazują, że obecny kształt regulacji uniemożliwia racjonalne i efektywne wdrożenie systemu kaucyjnego w zakresie butelek szklanych wielokrotnego użytku. Brak możliwości kontynuacji istniejących systemów oraz nałożenie szeregu nowych, nieproporcjonalnych obowiązków prowadzi do znacznych zagrożeń gospodarczych, logistycznych i środowiskowych. W związku z tym niezbędna jest pilna zmiana przepisów w celu zapewnienia stabilności rynku, ciągłości dostaw oraz realizacji celów środowiskowych w sposób efektywny kosztowo i organizacyjnie.</w:t>
      </w:r>
    </w:p>
    <w:p>
      <w:pPr>
        <w:pStyle w:val="Style11"/>
        <w:keepNext w:val="0"/>
        <w:keepLines w:val="0"/>
        <w:widowControl w:val="0"/>
        <w:numPr>
          <w:ilvl w:val="1"/>
          <w:numId w:val="3"/>
        </w:numPr>
        <w:shd w:val="clear" w:color="auto" w:fill="auto"/>
        <w:tabs>
          <w:tab w:pos="610" w:val="left"/>
        </w:tabs>
        <w:bidi w:val="0"/>
        <w:spacing w:before="0" w:after="240"/>
        <w:ind w:left="0" w:right="0" w:firstLine="0"/>
        <w:jc w:val="both"/>
      </w:pPr>
      <w:r>
        <w:rPr>
          <w:rStyle w:val="CharStyle12"/>
          <w:b/>
          <w:bCs/>
        </w:rPr>
        <w:t>Wymagane zmiany legislacyjne</w:t>
      </w:r>
    </w:p>
    <w:p>
      <w:pPr>
        <w:pStyle w:val="Style15"/>
        <w:keepNext/>
        <w:keepLines/>
        <w:widowControl w:val="0"/>
        <w:numPr>
          <w:ilvl w:val="2"/>
          <w:numId w:val="3"/>
        </w:numPr>
        <w:shd w:val="clear" w:color="auto" w:fill="auto"/>
        <w:tabs>
          <w:tab w:pos="706" w:val="left"/>
        </w:tabs>
        <w:bidi w:val="0"/>
        <w:spacing w:before="0" w:after="240"/>
        <w:ind w:left="720" w:right="0" w:hanging="720"/>
        <w:jc w:val="both"/>
      </w:pPr>
      <w:bookmarkStart w:id="21" w:name="bookmark21"/>
      <w:r>
        <w:rPr>
          <w:rStyle w:val="CharStyle16"/>
          <w:b/>
          <w:bCs/>
        </w:rPr>
        <w:t>Doprecyzowanie definicji „wprowadzającego bezpośrednio produkty w opakowaniach na napoje”</w:t>
      </w:r>
      <w:bookmarkEnd w:id="21"/>
    </w:p>
    <w:p>
      <w:pPr>
        <w:pStyle w:val="Style11"/>
        <w:keepNext w:val="0"/>
        <w:keepLines w:val="0"/>
        <w:widowControl w:val="0"/>
        <w:numPr>
          <w:ilvl w:val="0"/>
          <w:numId w:val="21"/>
        </w:numPr>
        <w:shd w:val="clear" w:color="auto" w:fill="auto"/>
        <w:tabs>
          <w:tab w:pos="706" w:val="left"/>
        </w:tabs>
        <w:bidi w:val="0"/>
        <w:spacing w:before="0" w:after="280"/>
        <w:ind w:left="720" w:right="0" w:hanging="720"/>
        <w:jc w:val="both"/>
        <w:sectPr>
          <w:footnotePr>
            <w:pos w:val="pageBottom"/>
            <w:numFmt w:val="decimal"/>
            <w:numStart w:val="1"/>
            <w:numRestart w:val="continuous"/>
            <w15:footnoteColumns w:val="1"/>
          </w:footnotePr>
          <w:pgSz w:w="11900" w:h="16840"/>
          <w:pgMar w:top="859" w:right="1383" w:bottom="1133" w:left="1383" w:header="0" w:footer="3" w:gutter="0"/>
          <w:cols w:space="720"/>
          <w:noEndnote/>
          <w:rtlGutter w:val="0"/>
          <w:docGrid w:linePitch="360"/>
        </w:sectPr>
      </w:pPr>
      <w:r>
        <w:rPr>
          <w:rStyle w:val="CharStyle12"/>
        </w:rPr>
        <w:t>W projekcie ustawy wnosimy o doprecyzowanie definicji „wprowadzającego bezpośrednio produkty w opakowaniach na napoje” określonej w art. 8 pkt 21b) w ten sposób, aby obejmowała swoim zakresem wszystkich przedsiębiorców wprowadzających produkty w butelkach szklanych wielokrotnego użytku, którzy samodzielnie realizują obowiązek selektywnego zbierania opakowań w ramach systemów utworzonych przez tych wprowadzających — niezależnie od tego, czy sprzedaż produktów i odbiór pustych opakowań</w:t>
      </w:r>
    </w:p>
    <w:p>
      <w:pPr>
        <w:widowControl w:val="0"/>
        <w:jc w:val="right"/>
        <w:rPr>
          <w:sz w:val="2"/>
          <w:szCs w:val="2"/>
        </w:rPr>
      </w:pPr>
      <w:r>
        <w:drawing>
          <wp:inline>
            <wp:extent cx="749935" cy="530225"/>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7"/>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shd w:val="clear" w:color="auto" w:fill="auto"/>
        <w:bidi w:val="0"/>
        <w:spacing w:before="0" w:after="280"/>
        <w:ind w:left="720" w:right="0" w:firstLine="0"/>
        <w:jc w:val="both"/>
      </w:pPr>
      <w:r>
        <w:rPr>
          <w:rStyle w:val="CharStyle12"/>
        </w:rPr>
        <w:t>odbywa się bezpośrednio przez danego wprowadzającego, czy pośrednio, za pośrednictwem dystrybutorów lub sieci handlowych, działających w ramach własnej działalności gospodarczej.</w:t>
      </w:r>
    </w:p>
    <w:p>
      <w:pPr>
        <w:pStyle w:val="Style11"/>
        <w:keepNext w:val="0"/>
        <w:keepLines w:val="0"/>
        <w:widowControl w:val="0"/>
        <w:numPr>
          <w:ilvl w:val="0"/>
          <w:numId w:val="21"/>
        </w:numPr>
        <w:shd w:val="clear" w:color="auto" w:fill="auto"/>
        <w:tabs>
          <w:tab w:pos="701" w:val="left"/>
        </w:tabs>
        <w:bidi w:val="0"/>
        <w:spacing w:before="0" w:after="280"/>
        <w:ind w:left="720" w:right="0" w:hanging="720"/>
        <w:jc w:val="both"/>
      </w:pPr>
      <w:r>
        <w:rPr>
          <w:rStyle w:val="CharStyle12"/>
        </w:rPr>
        <w:t>Mając na uwadze, że większość producentów napojów w butelkach szklanych wielokrotnego użytku dystrybuuje swoje produkty zarówno w kanale bezpośrednim, jak i pośrednim, obecnie obowiązujące przepisy dotyczące „wprowadzającego bezpośrednio produkty w opakowaniach na napoje” miałyby w praktyce ograniczone zastosowanie.</w:t>
      </w:r>
    </w:p>
    <w:p>
      <w:pPr>
        <w:pStyle w:val="Style11"/>
        <w:keepNext w:val="0"/>
        <w:keepLines w:val="0"/>
        <w:widowControl w:val="0"/>
        <w:numPr>
          <w:ilvl w:val="0"/>
          <w:numId w:val="21"/>
        </w:numPr>
        <w:shd w:val="clear" w:color="auto" w:fill="auto"/>
        <w:tabs>
          <w:tab w:pos="701" w:val="left"/>
        </w:tabs>
        <w:bidi w:val="0"/>
        <w:spacing w:before="0" w:after="280"/>
        <w:ind w:left="720" w:right="0" w:hanging="720"/>
        <w:jc w:val="both"/>
      </w:pPr>
      <w:r>
        <w:rPr>
          <w:rStyle w:val="CharStyle12"/>
        </w:rPr>
        <w:t>W treści projektu proponujemy również szereg zmian o charakterze porządkującym, które mają na celu jednoznaczne wskazanie, że definicja „wprowadzającego bezpośrednio produkty w opakowaniach na napoje” odnosi się wyłącznie do przedsiębiorców wprowadzających produkty w butelkach szklanych wielokrotnego użytku, którzy samodzielnie realizują obowiązek selektywnego zbierania opakowań w ramach własnych systemów, natomiast definicja „wprowadzającego produkty w opakowaniach na napoje” dotyczy przedsiębiorców wykonujących ten obowiązek w ramach systemu kaucyjnego.</w:t>
      </w:r>
    </w:p>
    <w:p>
      <w:pPr>
        <w:pStyle w:val="Style15"/>
        <w:keepNext/>
        <w:keepLines/>
        <w:widowControl w:val="0"/>
        <w:numPr>
          <w:ilvl w:val="2"/>
          <w:numId w:val="3"/>
        </w:numPr>
        <w:shd w:val="clear" w:color="auto" w:fill="auto"/>
        <w:tabs>
          <w:tab w:pos="701" w:val="left"/>
        </w:tabs>
        <w:bidi w:val="0"/>
        <w:spacing w:before="0" w:after="240"/>
        <w:ind w:left="720" w:right="0" w:hanging="720"/>
        <w:jc w:val="both"/>
      </w:pPr>
      <w:bookmarkStart w:id="23" w:name="bookmark23"/>
      <w:r>
        <w:rPr>
          <w:rStyle w:val="CharStyle16"/>
          <w:b/>
          <w:bCs/>
        </w:rPr>
        <w:t>Doprecyzowanie zasad samodzielnego wykonania obowiązku selektywnego zbierania opakowań wielokrotnego użytku</w:t>
      </w:r>
      <w:bookmarkEnd w:id="23"/>
    </w:p>
    <w:p>
      <w:pPr>
        <w:pStyle w:val="Style11"/>
        <w:keepNext w:val="0"/>
        <w:keepLines w:val="0"/>
        <w:widowControl w:val="0"/>
        <w:numPr>
          <w:ilvl w:val="0"/>
          <w:numId w:val="23"/>
        </w:numPr>
        <w:shd w:val="clear" w:color="auto" w:fill="auto"/>
        <w:tabs>
          <w:tab w:pos="701" w:val="left"/>
        </w:tabs>
        <w:bidi w:val="0"/>
        <w:spacing w:before="0" w:after="240"/>
        <w:ind w:left="720" w:right="0" w:hanging="720"/>
        <w:jc w:val="both"/>
      </w:pPr>
      <w:r>
        <w:rPr>
          <w:rStyle w:val="CharStyle12"/>
        </w:rPr>
        <w:t>W projekcie ustawy proponujemy zmiany w art. 21a Ustawy o gospodarce opakowaniami, polegające na doprecyzowaniu podstawy prawnej do samodzielnego wykonywania obowiązku selektywnego zbierania opakowań – poza systemem kaucyjnym – oraz określeniu sposobu obliczania poziomów zbierania opakowań w danym roku kalendarzowym przez wprowadzających bezpośrednio produkty w opakowaniach na napoje.</w:t>
      </w:r>
    </w:p>
    <w:p>
      <w:pPr>
        <w:pStyle w:val="Style11"/>
        <w:keepNext w:val="0"/>
        <w:keepLines w:val="0"/>
        <w:widowControl w:val="0"/>
        <w:numPr>
          <w:ilvl w:val="0"/>
          <w:numId w:val="23"/>
        </w:numPr>
        <w:shd w:val="clear" w:color="auto" w:fill="auto"/>
        <w:tabs>
          <w:tab w:pos="701" w:val="left"/>
        </w:tabs>
        <w:bidi w:val="0"/>
        <w:spacing w:before="0" w:after="240"/>
        <w:ind w:left="720" w:right="0" w:hanging="720"/>
        <w:jc w:val="both"/>
      </w:pPr>
      <w:r>
        <w:rPr>
          <w:rStyle w:val="CharStyle12"/>
        </w:rPr>
        <w:t>Jednocześnie, projekt ustawy przewiduje doprecyzowanie w załączniku nr 2 do Ustawy o gospodarce opakowaniami zasad naliczania opłaty produktowej z tytułu nieosiągnięcia wymaganych poziomów zbierania przez wprowadzających bezpośrednio produkty w opakowaniach na napoje, którzy działają poza systemem kaucyjnym.</w:t>
      </w:r>
    </w:p>
    <w:p>
      <w:pPr>
        <w:pStyle w:val="Style11"/>
        <w:keepNext w:val="0"/>
        <w:keepLines w:val="0"/>
        <w:widowControl w:val="0"/>
        <w:numPr>
          <w:ilvl w:val="0"/>
          <w:numId w:val="23"/>
        </w:numPr>
        <w:shd w:val="clear" w:color="auto" w:fill="auto"/>
        <w:tabs>
          <w:tab w:pos="701" w:val="left"/>
        </w:tabs>
        <w:bidi w:val="0"/>
        <w:spacing w:before="0" w:after="240"/>
        <w:ind w:left="720" w:right="0" w:hanging="720"/>
        <w:jc w:val="both"/>
      </w:pPr>
      <w:r>
        <w:rPr>
          <w:rStyle w:val="CharStyle12"/>
        </w:rPr>
        <w:t>W aktualnym stanie prawnym istnieje możliwość zaliczania opakowań zebranych poza systemem kaucyjnym do realizacji obowiązku selektywnego zbierania opakowań, jednak brak jest przepisów określających szczegółowe warunki oraz sposób wykazywania spełnienia tego obowiązku w odniesieniu do systemów zbierania prowadzonych poza systemem kaucyjnym. W konsekwencji przepis, choć formalnie obowiązuje, nie może być stosowany, co uniemożliwia przedsiębiorcom skuteczne wykazanie realizacji obowiązku, mimo stosowania efektywnych i zgodnych z celami środowiskowymi rozwiązań.</w:t>
      </w:r>
    </w:p>
    <w:p>
      <w:pPr>
        <w:pStyle w:val="Style11"/>
        <w:keepNext w:val="0"/>
        <w:keepLines w:val="0"/>
        <w:widowControl w:val="0"/>
        <w:numPr>
          <w:ilvl w:val="0"/>
          <w:numId w:val="23"/>
        </w:numPr>
        <w:shd w:val="clear" w:color="auto" w:fill="auto"/>
        <w:tabs>
          <w:tab w:pos="701" w:val="left"/>
        </w:tabs>
        <w:bidi w:val="0"/>
        <w:spacing w:before="0" w:after="240"/>
        <w:ind w:left="720" w:right="0" w:hanging="720"/>
        <w:jc w:val="both"/>
        <w:sectPr>
          <w:footnotePr>
            <w:pos w:val="pageBottom"/>
            <w:numFmt w:val="decimal"/>
            <w:numStart w:val="1"/>
            <w:numRestart w:val="continuous"/>
            <w15:footnoteColumns w:val="1"/>
          </w:footnotePr>
          <w:pgSz w:w="11900" w:h="16840"/>
          <w:pgMar w:top="859" w:right="1383" w:bottom="1133" w:left="1388" w:header="0" w:footer="3" w:gutter="0"/>
          <w:cols w:space="720"/>
          <w:noEndnote/>
          <w:rtlGutter w:val="0"/>
          <w:docGrid w:linePitch="360"/>
        </w:sectPr>
      </w:pPr>
      <w:r>
        <w:rPr>
          <w:rStyle w:val="CharStyle12"/>
        </w:rPr>
        <w:t>Zmiana przepisów poprzez wyraźne wskazanie możliwości zaliczenia do realizacji obowiązku selektywnego zbierania opakowań zebranych w ramach zbiórki własnej poza systemem kaucyjnym stanowi istotne uzupełnienie oraz doprecyzowanie obecnych regulacji. Projektowana zmiana ogranicza ryzyko rozbieżności interpretacji obowiązujących przepisów oraz dookreśla zasady realizacji ww. obowiązku w ramach alternatywnych, efektywnych środowiskowo systemów zbierania opakowań przez wprowadzających bezpośrednio produkty w opakowaniach na napoje poza systemem kaucyjnym.</w:t>
      </w:r>
    </w:p>
    <w:p>
      <w:pPr>
        <w:widowControl w:val="0"/>
        <w:jc w:val="right"/>
        <w:rPr>
          <w:sz w:val="2"/>
          <w:szCs w:val="2"/>
        </w:rPr>
      </w:pPr>
      <w:r>
        <w:drawing>
          <wp:inline>
            <wp:extent cx="749935" cy="530225"/>
            <wp:docPr id="25" name="Picutre 25"/>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9"/>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23"/>
        </w:numPr>
        <w:shd w:val="clear" w:color="auto" w:fill="auto"/>
        <w:tabs>
          <w:tab w:pos="686" w:val="left"/>
        </w:tabs>
        <w:bidi w:val="0"/>
        <w:spacing w:before="0" w:after="220"/>
        <w:ind w:left="720" w:right="0" w:hanging="720"/>
        <w:jc w:val="both"/>
      </w:pPr>
      <w:r>
        <w:rPr>
          <w:rStyle w:val="CharStyle12"/>
        </w:rPr>
        <w:t>Brak klarownych przepisów określających warunki oraz sposób dokumentowania i wykazywania poziomów zbiórki poza systemem kaucyjnym generuje poważne problemy interpretacyjne oraz ryzyko sporów prawnych, co znacząco utrudnia przedsiębiorcom realizację nałożonych na nich obowiązków.</w:t>
      </w:r>
    </w:p>
    <w:p>
      <w:pPr>
        <w:pStyle w:val="Style11"/>
        <w:keepNext w:val="0"/>
        <w:keepLines w:val="0"/>
        <w:widowControl w:val="0"/>
        <w:numPr>
          <w:ilvl w:val="0"/>
          <w:numId w:val="23"/>
        </w:numPr>
        <w:shd w:val="clear" w:color="auto" w:fill="auto"/>
        <w:tabs>
          <w:tab w:pos="686" w:val="left"/>
        </w:tabs>
        <w:bidi w:val="0"/>
        <w:spacing w:before="0" w:after="220"/>
        <w:ind w:left="720" w:right="0" w:hanging="720"/>
        <w:jc w:val="both"/>
      </w:pPr>
      <w:r>
        <w:rPr>
          <w:rStyle w:val="CharStyle12"/>
        </w:rPr>
        <w:t>W związku z powyższym, konieczne jest jednoznaczne uregulowanie zasad umożliwiających wprowadzającym uwzględnianie w rozliczeniach zarówno opakowań zebranych w systemie kaucyjnym, jak i tych pochodzących z systemów zbiórki prowadzonej poza nim, pod warunkiem spełnienia wymagań dotyczących efektywności zbiórki oraz transparentności wykazywania osiąganych wyników.</w:t>
      </w:r>
    </w:p>
    <w:p>
      <w:pPr>
        <w:pStyle w:val="Style15"/>
        <w:keepNext/>
        <w:keepLines/>
        <w:widowControl w:val="0"/>
        <w:numPr>
          <w:ilvl w:val="2"/>
          <w:numId w:val="3"/>
        </w:numPr>
        <w:shd w:val="clear" w:color="auto" w:fill="auto"/>
        <w:tabs>
          <w:tab w:pos="686" w:val="left"/>
        </w:tabs>
        <w:bidi w:val="0"/>
        <w:spacing w:before="0" w:after="280"/>
        <w:ind w:left="720" w:right="0" w:hanging="720"/>
        <w:jc w:val="both"/>
      </w:pPr>
      <w:bookmarkStart w:id="25" w:name="bookmark25"/>
      <w:r>
        <w:rPr>
          <w:rStyle w:val="CharStyle16"/>
          <w:b/>
          <w:bCs/>
        </w:rPr>
        <w:t>Uchylenie przepisu zobowiązującego do zamknięcia dotychczasowych systemów pobierania i zwracania kaucji z dniem 31 grudnia 2025 r.</w:t>
      </w:r>
      <w:bookmarkEnd w:id="25"/>
    </w:p>
    <w:p>
      <w:pPr>
        <w:pStyle w:val="Style11"/>
        <w:keepNext w:val="0"/>
        <w:keepLines w:val="0"/>
        <w:widowControl w:val="0"/>
        <w:numPr>
          <w:ilvl w:val="0"/>
          <w:numId w:val="25"/>
        </w:numPr>
        <w:shd w:val="clear" w:color="auto" w:fill="auto"/>
        <w:tabs>
          <w:tab w:pos="686" w:val="left"/>
        </w:tabs>
        <w:bidi w:val="0"/>
        <w:spacing w:before="0" w:after="280"/>
        <w:ind w:left="720" w:right="0" w:hanging="720"/>
        <w:jc w:val="both"/>
      </w:pPr>
      <w:r>
        <w:rPr>
          <w:rStyle w:val="CharStyle12"/>
        </w:rPr>
        <w:t>W celu umożliwienia dalszego funkcjonowania dotychczasowych systemów kaucyjnych prowadzonych przez wprowadzających bezpośrednio produkty w opakowaniach na napoje, którzy w ich ramach samodzielnie realizują obowiązek selektywnego zbierania opakowań, w art. 2 projektu ustawy przewidziano uchylenie art. 9 ust. 3 ustawy z dnia 13 lipca 2023 r. o zmianie ustawy o gospodarce opakowaniami i odpadami opakowaniowymi oraz niektórych innych ustaw (Dz. U. poz. 1852, z późn. zm.).</w:t>
      </w:r>
    </w:p>
    <w:p>
      <w:pPr>
        <w:pStyle w:val="Style11"/>
        <w:keepNext w:val="0"/>
        <w:keepLines w:val="0"/>
        <w:widowControl w:val="0"/>
        <w:numPr>
          <w:ilvl w:val="0"/>
          <w:numId w:val="25"/>
        </w:numPr>
        <w:shd w:val="clear" w:color="auto" w:fill="auto"/>
        <w:tabs>
          <w:tab w:pos="686" w:val="left"/>
        </w:tabs>
        <w:bidi w:val="0"/>
        <w:spacing w:before="0" w:after="280"/>
        <w:ind w:left="720" w:right="0" w:hanging="720"/>
        <w:jc w:val="both"/>
      </w:pPr>
      <w:r>
        <w:rPr>
          <w:rStyle w:val="CharStyle12"/>
        </w:rPr>
        <w:t>Przepis ten określał termin funkcjonowania tych systemów na dotychczasowych zasadach do dnia 31 grudnia 2025 r., z możliwością zbierania opakowań i zwrotu kaucji do dnia 31 grudnia 2026 r. W konsekwencji uchylenie ww. przepisu tworzy podstawę prawną do dalszego funkcjonowania efektywnych, dobrowolnych systemów zbierania, zapewniając zgodność z zasadą proporcjonalności oraz umożliwiając osiąganie celów środowiskowych w sposób efektywny kosztowo i organizacyjnie.</w:t>
      </w:r>
    </w:p>
    <w:p>
      <w:pPr>
        <w:pStyle w:val="Style15"/>
        <w:keepNext/>
        <w:keepLines/>
        <w:widowControl w:val="0"/>
        <w:numPr>
          <w:ilvl w:val="1"/>
          <w:numId w:val="3"/>
        </w:numPr>
        <w:shd w:val="clear" w:color="auto" w:fill="auto"/>
        <w:tabs>
          <w:tab w:pos="686" w:val="left"/>
        </w:tabs>
        <w:bidi w:val="0"/>
        <w:spacing w:before="0" w:after="220"/>
        <w:ind w:left="720" w:right="0" w:hanging="720"/>
        <w:jc w:val="both"/>
      </w:pPr>
      <w:bookmarkStart w:id="27" w:name="bookmark27"/>
      <w:r>
        <w:rPr>
          <w:rStyle w:val="CharStyle16"/>
          <w:b/>
          <w:bCs/>
        </w:rPr>
        <w:t>Uzasadnienie koniczności wdrożenia ww. zmian prawa, oraz skutki zaniechania działań w tym zakresie</w:t>
      </w:r>
      <w:bookmarkEnd w:id="27"/>
    </w:p>
    <w:p>
      <w:pPr>
        <w:pStyle w:val="Style11"/>
        <w:keepNext w:val="0"/>
        <w:keepLines w:val="0"/>
        <w:widowControl w:val="0"/>
        <w:numPr>
          <w:ilvl w:val="0"/>
          <w:numId w:val="27"/>
        </w:numPr>
        <w:shd w:val="clear" w:color="auto" w:fill="auto"/>
        <w:tabs>
          <w:tab w:pos="686" w:val="left"/>
        </w:tabs>
        <w:bidi w:val="0"/>
        <w:spacing w:before="0" w:after="220"/>
        <w:ind w:left="720" w:right="0" w:hanging="720"/>
        <w:jc w:val="both"/>
      </w:pPr>
      <w:r>
        <w:rPr>
          <w:rStyle w:val="CharStyle12"/>
        </w:rPr>
        <w:t>Wnosząc niniejszą petycję podkreślamy, że funkcjonujące obecnie systemy zbiórki szklanych opakowań zwrotnych, zarządzane przez producentów są skuteczne, sprawdzone i w pełni odpowiadają zarówno celom środowiskowym, jak i wymogom efektywności gospodarczej.</w:t>
      </w:r>
    </w:p>
    <w:p>
      <w:pPr>
        <w:pStyle w:val="Style11"/>
        <w:keepNext w:val="0"/>
        <w:keepLines w:val="0"/>
        <w:widowControl w:val="0"/>
        <w:numPr>
          <w:ilvl w:val="0"/>
          <w:numId w:val="27"/>
        </w:numPr>
        <w:shd w:val="clear" w:color="auto" w:fill="auto"/>
        <w:tabs>
          <w:tab w:pos="686" w:val="left"/>
        </w:tabs>
        <w:bidi w:val="0"/>
        <w:spacing w:before="0" w:after="220"/>
        <w:ind w:left="720" w:right="0" w:hanging="720"/>
        <w:jc w:val="both"/>
      </w:pPr>
      <w:r>
        <w:rPr>
          <w:rStyle w:val="CharStyle12"/>
        </w:rPr>
        <w:t>Nałożenie obligatoryjnego obowiązku przystąpienia do ustawowego systemu kaucyjnego generuje znaczne, nieuzasadnione ekonomicznie koszty, które mogą poważnie zagrozić stabilności finansowej wielu przedsiębiorstw, jednocześnie nie przynosząc wartości dodanej dla środowiska. Odnosząc się do producentów wprowadzających produkty w butelkach szklanych zwrotnych, obowiązek ten może skutkować koniecznością wycofania z oferty rzeczonych butelek, ze względu na utratę rentowności oraz ryzyko utraty kontroli nad ich obiegiem.</w:t>
      </w:r>
    </w:p>
    <w:p>
      <w:pPr>
        <w:pStyle w:val="Style11"/>
        <w:keepNext w:val="0"/>
        <w:keepLines w:val="0"/>
        <w:widowControl w:val="0"/>
        <w:numPr>
          <w:ilvl w:val="0"/>
          <w:numId w:val="27"/>
        </w:numPr>
        <w:shd w:val="clear" w:color="auto" w:fill="auto"/>
        <w:tabs>
          <w:tab w:pos="686" w:val="left"/>
        </w:tabs>
        <w:bidi w:val="0"/>
        <w:spacing w:before="0"/>
        <w:ind w:left="720" w:right="0" w:hanging="720"/>
        <w:jc w:val="both"/>
        <w:sectPr>
          <w:footnotePr>
            <w:pos w:val="pageBottom"/>
            <w:numFmt w:val="decimal"/>
            <w:numStart w:val="1"/>
            <w:numRestart w:val="continuous"/>
            <w15:footnoteColumns w:val="1"/>
          </w:footnotePr>
          <w:pgSz w:w="11900" w:h="16840"/>
          <w:pgMar w:top="859" w:right="1383" w:bottom="1133" w:left="1388" w:header="0" w:footer="3" w:gutter="0"/>
          <w:cols w:space="720"/>
          <w:noEndnote/>
          <w:rtlGutter w:val="0"/>
          <w:docGrid w:linePitch="360"/>
        </w:sectPr>
      </w:pPr>
      <w:r>
        <w:rPr>
          <w:rStyle w:val="CharStyle12"/>
        </w:rPr>
        <w:t>Należy również zwrócić uwagę, że przyjęte rozwiązania systemowe nie obejmują jednorazowych butelek szklanych, co prowadzi do nierównego traktowania poszczególnych kategorii opakowań. Tego rodzaju podejście pozostaje w sprzeczności z fundamentalnymi założeniami prawa Unii Europejskiej, które nakłada obowiązek równego traktowania i promowania rozwiązań najbardziej efektywnych środowiskowo.</w:t>
      </w:r>
    </w:p>
    <w:p>
      <w:pPr>
        <w:widowControl w:val="0"/>
        <w:jc w:val="right"/>
        <w:rPr>
          <w:sz w:val="2"/>
          <w:szCs w:val="2"/>
        </w:rPr>
      </w:pPr>
      <w:r>
        <w:drawing>
          <wp:inline>
            <wp:extent cx="749935" cy="530225"/>
            <wp:docPr id="26" name="Picutre 26"/>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1"/>
                    <a:stretch/>
                  </pic:blipFill>
                  <pic:spPr>
                    <a:xfrm>
                      <a:ext cx="749935" cy="530225"/>
                    </a:xfrm>
                    <a:prstGeom prst="rect"/>
                  </pic:spPr>
                </pic:pic>
              </a:graphicData>
            </a:graphic>
          </wp:inline>
        </w:drawing>
      </w:r>
    </w:p>
    <w:p>
      <w:pPr>
        <w:widowControl w:val="0"/>
        <w:spacing w:after="439" w:line="1" w:lineRule="exact"/>
      </w:pPr>
    </w:p>
    <w:p>
      <w:pPr>
        <w:pStyle w:val="Style11"/>
        <w:keepNext w:val="0"/>
        <w:keepLines w:val="0"/>
        <w:widowControl w:val="0"/>
        <w:numPr>
          <w:ilvl w:val="0"/>
          <w:numId w:val="27"/>
        </w:numPr>
        <w:shd w:val="clear" w:color="auto" w:fill="auto"/>
        <w:tabs>
          <w:tab w:pos="701" w:val="left"/>
        </w:tabs>
        <w:bidi w:val="0"/>
        <w:spacing w:before="0" w:after="220"/>
        <w:ind w:left="720" w:right="0" w:hanging="720"/>
        <w:jc w:val="both"/>
      </w:pPr>
      <w:r>
        <w:rPr>
          <w:rStyle w:val="CharStyle12"/>
        </w:rPr>
        <w:t>Wdrożenie proponowanych zmian przyczyni się do zwiększenia przejrzystości, efektywności oraz stabilności krajowego systemu gospodarowania opakowaniami, a także zapewni równoprawne traktowanie uczestników rynku i ochronę środowiska.</w:t>
      </w:r>
    </w:p>
    <w:p>
      <w:pPr>
        <w:pStyle w:val="Style11"/>
        <w:keepNext w:val="0"/>
        <w:keepLines w:val="0"/>
        <w:widowControl w:val="0"/>
        <w:numPr>
          <w:ilvl w:val="0"/>
          <w:numId w:val="27"/>
        </w:numPr>
        <w:shd w:val="clear" w:color="auto" w:fill="auto"/>
        <w:tabs>
          <w:tab w:pos="701" w:val="left"/>
        </w:tabs>
        <w:bidi w:val="0"/>
        <w:spacing w:before="0" w:after="220"/>
        <w:ind w:left="720" w:right="0" w:hanging="720"/>
        <w:jc w:val="both"/>
      </w:pPr>
      <w:r>
        <w:rPr>
          <w:rStyle w:val="CharStyle12"/>
        </w:rPr>
        <w:t>Z kolei, zaniechanie wdrożenia postulowanych zmian legislacyjnych niesie szereg negatywnych skutków dla konsumentów, przedsiębiorców oraz całego systemu gospodarowania opakowaniami.</w:t>
      </w:r>
    </w:p>
    <w:p>
      <w:pPr>
        <w:pStyle w:val="Style11"/>
        <w:keepNext w:val="0"/>
        <w:keepLines w:val="0"/>
        <w:widowControl w:val="0"/>
        <w:numPr>
          <w:ilvl w:val="0"/>
          <w:numId w:val="27"/>
        </w:numPr>
        <w:shd w:val="clear" w:color="auto" w:fill="auto"/>
        <w:tabs>
          <w:tab w:pos="701" w:val="left"/>
        </w:tabs>
        <w:bidi w:val="0"/>
        <w:spacing w:before="0" w:after="220"/>
        <w:ind w:left="720" w:right="0" w:hanging="720"/>
        <w:jc w:val="both"/>
      </w:pPr>
      <w:r>
        <w:rPr>
          <w:rStyle w:val="CharStyle12"/>
        </w:rPr>
        <w:t>Dla konsumentów oznacza to przede wszystkim ryzyko wzrostu cen produktów, wynikające z konieczności ponoszenia przez przedsiębiorców dodatkowych, nieuzasadnionych kosztów związanych z przystosowaniem się do ustawowego systemu kaucyjnego.</w:t>
      </w:r>
    </w:p>
    <w:p>
      <w:pPr>
        <w:pStyle w:val="Style11"/>
        <w:keepNext w:val="0"/>
        <w:keepLines w:val="0"/>
        <w:widowControl w:val="0"/>
        <w:numPr>
          <w:ilvl w:val="0"/>
          <w:numId w:val="27"/>
        </w:numPr>
        <w:shd w:val="clear" w:color="auto" w:fill="auto"/>
        <w:tabs>
          <w:tab w:pos="701" w:val="left"/>
        </w:tabs>
        <w:bidi w:val="0"/>
        <w:spacing w:before="0" w:after="220"/>
        <w:ind w:left="720" w:right="0" w:hanging="720"/>
        <w:jc w:val="both"/>
      </w:pPr>
      <w:r>
        <w:rPr>
          <w:rStyle w:val="CharStyle12"/>
        </w:rPr>
        <w:t>Dla przedsiębiorców brak przyjęcia zaproponowanych zmian może oznaczać konieczność rezygnacji z efektywnych i sprawdzonych systemów zwrotu butelek szklanych wielokrotnego użytku, na rzecz centralnych rozwiązań, które nie uwzględniają specyfiki ich działalności. Pociąga to za sobą wzrost kosztów operacyjnych, utratę kontroli nad obiegiem własnych opakowań, ryzyko zwiększonych uszkodzeń butelek, utraty majątku oraz zakłócenia w dotychczasowej logistyce. Może to również prowadzić do osłabienia pozycji konkurencyjnej mniejszych i lokalnych producentów, którzy nie będą w stanie sprostać narzuconym wymaganiom w sposób równie efektywny jak duże podmioty.</w:t>
      </w:r>
    </w:p>
    <w:p>
      <w:pPr>
        <w:pStyle w:val="Style11"/>
        <w:keepNext w:val="0"/>
        <w:keepLines w:val="0"/>
        <w:widowControl w:val="0"/>
        <w:numPr>
          <w:ilvl w:val="0"/>
          <w:numId w:val="27"/>
        </w:numPr>
        <w:shd w:val="clear" w:color="auto" w:fill="auto"/>
        <w:tabs>
          <w:tab w:pos="701" w:val="left"/>
        </w:tabs>
        <w:bidi w:val="0"/>
        <w:spacing w:before="0" w:after="220"/>
        <w:ind w:left="720" w:right="0" w:hanging="720"/>
        <w:jc w:val="both"/>
      </w:pPr>
      <w:r>
        <w:rPr>
          <w:rStyle w:val="CharStyle12"/>
        </w:rPr>
        <w:t>Na poziomie systemowym zaniechanie nowelizacji pogłębia ryzyko nieefektywności całego modelu gospodarowania opakowaniami. Wykluczenie z systemu dobrze funkcjonujących mechanizmów rynkowych prowadzi do utraty istniejącego potencjału infrastrukturalnego i organizacyjnego, a także do niespójności z unijnymi celami w zakresie ponownego użycia i hierarchii postępowania z odpadami. Może to również skutkować brakiem realizacji krajowych i unijnych zobowiązań w zakresie selektywnej zbiórki i recyklingu.</w:t>
      </w:r>
    </w:p>
    <w:p>
      <w:pPr>
        <w:pStyle w:val="Style11"/>
        <w:keepNext w:val="0"/>
        <w:keepLines w:val="0"/>
        <w:widowControl w:val="0"/>
        <w:numPr>
          <w:ilvl w:val="0"/>
          <w:numId w:val="27"/>
        </w:numPr>
        <w:shd w:val="clear" w:color="auto" w:fill="auto"/>
        <w:tabs>
          <w:tab w:pos="701" w:val="left"/>
        </w:tabs>
        <w:bidi w:val="0"/>
        <w:spacing w:before="0" w:after="760"/>
        <w:ind w:left="720" w:right="0" w:hanging="720"/>
        <w:jc w:val="both"/>
      </w:pPr>
      <w:r>
        <w:rPr>
          <w:rStyle w:val="CharStyle12"/>
        </w:rPr>
        <w:t>Wnosząc niniejszą petycję, wyrażamy przekonanie, że możliwe jest wypracowanie rozwiązań zgodnych z celami środowiskowymi, w szczególności w zakresie ponownego użycia opakowań (zwrotnych butelek szklanych), przy jednoczesnym zachowaniu efektywności ekonomicznej oraz rynkowej równowagi interesów konsumentów, przedsiębiorców, operatorów, oraz pozostałych interesariuszy systemu.</w:t>
      </w:r>
    </w:p>
    <w:p>
      <w:pPr>
        <w:pStyle w:val="Style15"/>
        <w:keepNext/>
        <w:keepLines/>
        <w:widowControl w:val="0"/>
        <w:shd w:val="clear" w:color="auto" w:fill="auto"/>
        <w:bidi w:val="0"/>
        <w:spacing w:before="0" w:after="220"/>
        <w:ind w:left="0" w:right="0" w:firstLine="0"/>
        <w:jc w:val="both"/>
      </w:pPr>
      <w:bookmarkStart w:id="29" w:name="bookmark29"/>
      <w:r>
        <w:rPr>
          <w:rStyle w:val="CharStyle16"/>
          <w:b/>
          <w:bCs/>
        </w:rPr>
        <w:t>Załączniki:</w:t>
      </w:r>
      <w:bookmarkEnd w:id="29"/>
    </w:p>
    <w:p>
      <w:pPr>
        <w:pStyle w:val="Style11"/>
        <w:keepNext w:val="0"/>
        <w:keepLines w:val="0"/>
        <w:widowControl w:val="0"/>
        <w:shd w:val="clear" w:color="auto" w:fill="auto"/>
        <w:bidi w:val="0"/>
        <w:spacing w:before="0" w:after="140"/>
        <w:ind w:left="0" w:right="0" w:firstLine="0"/>
        <w:jc w:val="both"/>
      </w:pPr>
      <w:r>
        <w:rPr>
          <w:rStyle w:val="CharStyle12"/>
          <w:b/>
          <w:bCs/>
        </w:rPr>
        <w:t xml:space="preserve">Załącznik nr 1 – </w:t>
      </w:r>
      <w:r>
        <w:rPr>
          <w:rStyle w:val="CharStyle12"/>
        </w:rPr>
        <w:t>Projekt ustawy o zmianie ustawy o gospodarce opakowaniami i odpadami opakowaniowymi oraz niektórych innych ustaw wraz z uzasadnieniem</w:t>
      </w:r>
    </w:p>
    <w:p>
      <w:pPr>
        <w:pStyle w:val="Style11"/>
        <w:keepNext w:val="0"/>
        <w:keepLines w:val="0"/>
        <w:widowControl w:val="0"/>
        <w:shd w:val="clear" w:color="auto" w:fill="auto"/>
        <w:bidi w:val="0"/>
        <w:spacing w:before="0" w:after="100"/>
        <w:ind w:left="0" w:right="0" w:firstLine="0"/>
        <w:jc w:val="both"/>
      </w:pPr>
      <w:r>
        <w:rPr>
          <w:rStyle w:val="CharStyle12"/>
          <w:b/>
          <w:bCs/>
        </w:rPr>
        <w:t xml:space="preserve">Załącznik nr 2 </w:t>
      </w:r>
      <w:r>
        <w:rPr>
          <w:rStyle w:val="CharStyle12"/>
        </w:rPr>
        <w:t>– Aktualny odpis z Krajowego Rejestru Sądowego KIGPR</w:t>
      </w:r>
    </w:p>
    <w:p>
      <w:pPr>
        <w:pStyle w:val="Style11"/>
        <w:keepNext w:val="0"/>
        <w:keepLines w:val="0"/>
        <w:widowControl w:val="0"/>
        <w:shd w:val="clear" w:color="auto" w:fill="auto"/>
        <w:bidi w:val="0"/>
        <w:spacing w:before="0" w:after="100"/>
        <w:ind w:left="0" w:right="0" w:firstLine="0"/>
        <w:jc w:val="both"/>
      </w:pPr>
      <w:r>
        <w:rPr>
          <w:rStyle w:val="CharStyle12"/>
          <w:b/>
          <w:bCs/>
        </w:rPr>
        <w:t xml:space="preserve">Załącznik nr 3 </w:t>
      </w:r>
      <w:r>
        <w:rPr>
          <w:rStyle w:val="CharStyle12"/>
        </w:rPr>
        <w:t>– Aktualny odpis z Krajowego Rejestru Sądowego ZPPP Browary Polskie</w:t>
      </w:r>
    </w:p>
    <w:p>
      <w:pPr>
        <w:pStyle w:val="Style11"/>
        <w:keepNext w:val="0"/>
        <w:keepLines w:val="0"/>
        <w:widowControl w:val="0"/>
        <w:shd w:val="clear" w:color="auto" w:fill="auto"/>
        <w:bidi w:val="0"/>
        <w:spacing w:before="0" w:after="220"/>
        <w:ind w:left="0" w:right="0" w:firstLine="0"/>
        <w:jc w:val="both"/>
        <w:sectPr>
          <w:footnotePr>
            <w:pos w:val="pageBottom"/>
            <w:numFmt w:val="decimal"/>
            <w:numStart w:val="1"/>
            <w:numRestart w:val="continuous"/>
            <w15:footnoteColumns w:val="1"/>
          </w:footnotePr>
          <w:pgSz w:w="11900" w:h="16840"/>
          <w:pgMar w:top="859" w:right="1383" w:bottom="1133" w:left="1388" w:header="0" w:footer="3" w:gutter="0"/>
          <w:cols w:space="720"/>
          <w:noEndnote/>
          <w:rtlGutter w:val="0"/>
          <w:docGrid w:linePitch="360"/>
        </w:sectPr>
      </w:pPr>
      <w:r>
        <w:rPr>
          <w:rStyle w:val="CharStyle12"/>
          <w:b/>
          <w:bCs/>
        </w:rPr>
        <w:t xml:space="preserve">Załącznik nr 4 – </w:t>
      </w:r>
      <w:r>
        <w:rPr>
          <w:rStyle w:val="CharStyle12"/>
        </w:rPr>
        <w:t>Pełnomocnictwo udzielone Bartłomiejowi Morzyckiemu do reprezentacji ZPPP Browary Polskie</w:t>
      </w:r>
    </w:p>
    <w:p>
      <w:pPr>
        <w:widowControl w:val="0"/>
        <w:spacing w:after="0" w:line="1" w:lineRule="exact"/>
      </w:pPr>
      <w:r>
        <w:drawing>
          <wp:anchor distT="0" distB="0" distL="0" distR="0" simplePos="0" relativeHeight="62914700" behindDoc="1" locked="0" layoutInCell="1" allowOverlap="1">
            <wp:simplePos x="0" y="0"/>
            <wp:positionH relativeFrom="page">
              <wp:posOffset>5910580</wp:posOffset>
            </wp:positionH>
            <wp:positionV relativeFrom="margin">
              <wp:posOffset>-603250</wp:posOffset>
            </wp:positionV>
            <wp:extent cx="749935" cy="53022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33"/>
                    <a:stretch/>
                  </pic:blipFill>
                  <pic:spPr>
                    <a:xfrm>
                      <a:ext cx="749935" cy="530225"/>
                    </a:xfrm>
                    <a:prstGeom prst="rect"/>
                  </pic:spPr>
                </pic:pic>
              </a:graphicData>
            </a:graphic>
          </wp:anchor>
        </w:drawing>
      </w:r>
    </w:p>
    <w:p>
      <w:pPr>
        <w:widowControl w:val="0"/>
        <w:spacing w:line="1" w:lineRule="exact"/>
        <w:sectPr>
          <w:footnotePr>
            <w:pos w:val="pageBottom"/>
            <w:numFmt w:val="decimal"/>
            <w:numStart w:val="1"/>
            <w:numRestart w:val="continuous"/>
            <w15:footnoteColumns w:val="1"/>
          </w:footnotePr>
          <w:pgSz w:w="11900" w:h="16840"/>
          <w:pgMar w:top="1661" w:right="1417" w:bottom="1234" w:left="1388" w:header="0" w:footer="3" w:gutter="0"/>
          <w:cols w:space="720"/>
          <w:noEndnote/>
          <w:rtlGutter w:val="0"/>
          <w:docGrid w:linePitch="360"/>
        </w:sectPr>
      </w:pPr>
    </w:p>
    <w:p>
      <w:pPr>
        <w:widowControl w:val="0"/>
        <w:spacing w:line="240" w:lineRule="exact"/>
        <w:rPr>
          <w:sz w:val="19"/>
          <w:szCs w:val="19"/>
        </w:rPr>
      </w:pPr>
    </w:p>
    <w:p>
      <w:pPr>
        <w:widowControl w:val="0"/>
        <w:spacing w:before="13" w:after="13" w:line="240" w:lineRule="exact"/>
        <w:rPr>
          <w:sz w:val="19"/>
          <w:szCs w:val="19"/>
        </w:rPr>
      </w:pPr>
    </w:p>
    <w:p>
      <w:pPr>
        <w:widowControl w:val="0"/>
        <w:spacing w:line="1" w:lineRule="exact"/>
        <w:sectPr>
          <w:footnotePr>
            <w:pos w:val="pageBottom"/>
            <w:numFmt w:val="decimal"/>
            <w:numStart w:val="1"/>
            <w:numRestart w:val="continuous"/>
            <w15:footnoteColumns w:val="1"/>
          </w:footnotePr>
          <w:type w:val="continuous"/>
          <w:pgSz w:w="11900" w:h="16840"/>
          <w:pgMar w:top="1561" w:right="0" w:bottom="1561"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3968750</wp:posOffset>
                </wp:positionH>
                <wp:positionV relativeFrom="paragraph">
                  <wp:posOffset>542290</wp:posOffset>
                </wp:positionV>
                <wp:extent cx="1395730" cy="423545"/>
                <wp:wrapSquare wrapText="bothSides"/>
                <wp:docPr id="29" name="Shape 29"/>
                <a:graphic xmlns:a="http://schemas.openxmlformats.org/drawingml/2006/main">
                  <a:graphicData uri="http://schemas.microsoft.com/office/word/2010/wordprocessingShape">
                    <wps:wsp>
                      <wps:cNvSpPr txBox="1"/>
                      <wps:spPr>
                        <a:xfrm>
                          <a:ext cx="1395730" cy="423545"/>
                        </a:xfrm>
                        <a:prstGeom prst="rect"/>
                        <a:noFill/>
                      </wps:spPr>
                      <wps:txbx>
                        <w:txbxContent>
                          <w:p>
                            <w:pPr>
                              <w:pStyle w:val="Style18"/>
                              <w:keepNext w:val="0"/>
                              <w:keepLines w:val="0"/>
                              <w:widowControl w:val="0"/>
                              <w:shd w:val="clear" w:color="auto" w:fill="auto"/>
                              <w:bidi w:val="0"/>
                              <w:spacing w:before="0" w:after="40" w:line="240" w:lineRule="auto"/>
                              <w:ind w:left="0" w:right="0" w:firstLine="0"/>
                              <w:jc w:val="left"/>
                              <w:rPr>
                                <w:sz w:val="13"/>
                                <w:szCs w:val="13"/>
                              </w:rPr>
                            </w:pPr>
                            <w:r>
                              <w:rPr>
                                <w:rStyle w:val="CharStyle19"/>
                                <w:sz w:val="13"/>
                                <w:szCs w:val="13"/>
                              </w:rPr>
                              <w:t>Signature Not Verified</w:t>
                            </w:r>
                          </w:p>
                          <w:p>
                            <w:pPr>
                              <w:pStyle w:val="Style18"/>
                              <w:keepNext w:val="0"/>
                              <w:keepLines w:val="0"/>
                              <w:widowControl w:val="0"/>
                              <w:shd w:val="clear" w:color="auto" w:fill="auto"/>
                              <w:bidi w:val="0"/>
                              <w:spacing w:before="0" w:after="0" w:line="240" w:lineRule="auto"/>
                              <w:ind w:left="0" w:right="0" w:firstLine="0"/>
                              <w:jc w:val="left"/>
                            </w:pPr>
                            <w:r>
                              <w:rPr>
                                <w:rStyle w:val="CharStyle19"/>
                              </w:rPr>
                              <w:t>Dokument podpisany przez Bartłomiej</w:t>
                            </w:r>
                          </w:p>
                          <w:p>
                            <w:pPr>
                              <w:pStyle w:val="Style18"/>
                              <w:keepNext w:val="0"/>
                              <w:keepLines w:val="0"/>
                              <w:widowControl w:val="0"/>
                              <w:shd w:val="clear" w:color="auto" w:fill="auto"/>
                              <w:bidi w:val="0"/>
                              <w:spacing w:before="0" w:after="0" w:line="206" w:lineRule="auto"/>
                              <w:ind w:left="0" w:right="0" w:firstLine="0"/>
                              <w:jc w:val="left"/>
                            </w:pPr>
                            <w:r>
                              <w:rPr>
                                <w:rStyle w:val="CharStyle19"/>
                              </w:rPr>
                              <w:t>Morzycki</w:t>
                            </w:r>
                          </w:p>
                          <w:p>
                            <w:pPr>
                              <w:pStyle w:val="Style18"/>
                              <w:keepNext w:val="0"/>
                              <w:keepLines w:val="0"/>
                              <w:widowControl w:val="0"/>
                              <w:shd w:val="clear" w:color="auto" w:fill="auto"/>
                              <w:bidi w:val="0"/>
                              <w:spacing w:before="0" w:after="0" w:line="206" w:lineRule="auto"/>
                              <w:ind w:left="0" w:right="0" w:firstLine="0"/>
                              <w:jc w:val="left"/>
                            </w:pPr>
                            <w:r>
                              <w:rPr>
                                <w:rStyle w:val="CharStyle19"/>
                              </w:rPr>
                              <w:t>Data: 2025.07.15 19:11:51 CEST</w:t>
                            </w:r>
                          </w:p>
                        </w:txbxContent>
                      </wps:txbx>
                      <wps:bodyPr lIns="0" tIns="0" rIns="0" bIns="0">
                        <a:noAutoFit/>
                      </wps:bodyPr>
                    </wps:wsp>
                  </a:graphicData>
                </a:graphic>
              </wp:anchor>
            </w:drawing>
          </mc:Choice>
          <mc:Fallback>
            <w:pict>
              <v:shape id="_x0000_s1055" type="#_x0000_t202" style="position:absolute;margin-left:312.5pt;margin-top:42.700000000000003pt;width:109.90000000000001pt;height:33.350000000000001pt;z-index:-125829375;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40" w:line="240" w:lineRule="auto"/>
                        <w:ind w:left="0" w:right="0" w:firstLine="0"/>
                        <w:jc w:val="left"/>
                        <w:rPr>
                          <w:sz w:val="13"/>
                          <w:szCs w:val="13"/>
                        </w:rPr>
                      </w:pPr>
                      <w:r>
                        <w:rPr>
                          <w:rStyle w:val="CharStyle19"/>
                          <w:sz w:val="13"/>
                          <w:szCs w:val="13"/>
                        </w:rPr>
                        <w:t>Signature Not Verified</w:t>
                      </w:r>
                    </w:p>
                    <w:p>
                      <w:pPr>
                        <w:pStyle w:val="Style18"/>
                        <w:keepNext w:val="0"/>
                        <w:keepLines w:val="0"/>
                        <w:widowControl w:val="0"/>
                        <w:shd w:val="clear" w:color="auto" w:fill="auto"/>
                        <w:bidi w:val="0"/>
                        <w:spacing w:before="0" w:after="0" w:line="240" w:lineRule="auto"/>
                        <w:ind w:left="0" w:right="0" w:firstLine="0"/>
                        <w:jc w:val="left"/>
                      </w:pPr>
                      <w:r>
                        <w:rPr>
                          <w:rStyle w:val="CharStyle19"/>
                        </w:rPr>
                        <w:t>Dokument podpisany przez Bartłomiej</w:t>
                      </w:r>
                    </w:p>
                    <w:p>
                      <w:pPr>
                        <w:pStyle w:val="Style18"/>
                        <w:keepNext w:val="0"/>
                        <w:keepLines w:val="0"/>
                        <w:widowControl w:val="0"/>
                        <w:shd w:val="clear" w:color="auto" w:fill="auto"/>
                        <w:bidi w:val="0"/>
                        <w:spacing w:before="0" w:after="0" w:line="206" w:lineRule="auto"/>
                        <w:ind w:left="0" w:right="0" w:firstLine="0"/>
                        <w:jc w:val="left"/>
                      </w:pPr>
                      <w:r>
                        <w:rPr>
                          <w:rStyle w:val="CharStyle19"/>
                        </w:rPr>
                        <w:t>Morzycki</w:t>
                      </w:r>
                    </w:p>
                    <w:p>
                      <w:pPr>
                        <w:pStyle w:val="Style18"/>
                        <w:keepNext w:val="0"/>
                        <w:keepLines w:val="0"/>
                        <w:widowControl w:val="0"/>
                        <w:shd w:val="clear" w:color="auto" w:fill="auto"/>
                        <w:bidi w:val="0"/>
                        <w:spacing w:before="0" w:after="0" w:line="206" w:lineRule="auto"/>
                        <w:ind w:left="0" w:right="0" w:firstLine="0"/>
                        <w:jc w:val="left"/>
                      </w:pPr>
                      <w:r>
                        <w:rPr>
                          <w:rStyle w:val="CharStyle19"/>
                        </w:rPr>
                        <w:t>Data: 2025.07.15 19:11:51 CEST</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3831590</wp:posOffset>
                </wp:positionH>
                <wp:positionV relativeFrom="paragraph">
                  <wp:posOffset>969010</wp:posOffset>
                </wp:positionV>
                <wp:extent cx="1969135" cy="664210"/>
                <wp:wrapSquare wrapText="bothSides"/>
                <wp:docPr id="31" name="Shape 31"/>
                <a:graphic xmlns:a="http://schemas.openxmlformats.org/drawingml/2006/main">
                  <a:graphicData uri="http://schemas.microsoft.com/office/word/2010/wordprocessingShape">
                    <wps:wsp>
                      <wps:cNvSpPr txBox="1"/>
                      <wps:spPr>
                        <a:xfrm>
                          <a:ext cx="1969135" cy="66421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Bartłomiej Morzycki</w:t>
                            </w:r>
                          </w:p>
                          <w:p>
                            <w:pPr>
                              <w:pStyle w:val="Style11"/>
                              <w:keepNext w:val="0"/>
                              <w:keepLines w:val="0"/>
                              <w:widowControl w:val="0"/>
                              <w:shd w:val="clear" w:color="auto" w:fill="auto"/>
                              <w:bidi w:val="0"/>
                              <w:spacing w:before="0" w:after="0" w:line="240" w:lineRule="auto"/>
                              <w:ind w:left="0" w:right="0" w:firstLine="0"/>
                              <w:jc w:val="left"/>
                            </w:pPr>
                            <w:r>
                              <w:rPr>
                                <w:rStyle w:val="CharStyle12"/>
                              </w:rPr>
                              <w:t>Dyrektor Generalny</w:t>
                            </w:r>
                          </w:p>
                          <w:p>
                            <w:pPr>
                              <w:pStyle w:val="Style11"/>
                              <w:keepNext w:val="0"/>
                              <w:keepLines w:val="0"/>
                              <w:widowControl w:val="0"/>
                              <w:shd w:val="clear" w:color="auto" w:fill="auto"/>
                              <w:bidi w:val="0"/>
                              <w:spacing w:before="0" w:after="0" w:line="240" w:lineRule="auto"/>
                              <w:ind w:left="0" w:right="0" w:firstLine="0"/>
                              <w:jc w:val="left"/>
                            </w:pPr>
                            <w:r>
                              <w:rPr>
                                <w:rStyle w:val="CharStyle12"/>
                              </w:rPr>
                              <w:t>Związek Pracodawców Przemysłu</w:t>
                            </w:r>
                          </w:p>
                          <w:p>
                            <w:pPr>
                              <w:pStyle w:val="Style11"/>
                              <w:keepNext w:val="0"/>
                              <w:keepLines w:val="0"/>
                              <w:widowControl w:val="0"/>
                              <w:shd w:val="clear" w:color="auto" w:fill="auto"/>
                              <w:bidi w:val="0"/>
                              <w:spacing w:before="0" w:after="0" w:line="240" w:lineRule="auto"/>
                              <w:ind w:left="0" w:right="0" w:firstLine="0"/>
                              <w:jc w:val="left"/>
                            </w:pPr>
                            <w:r>
                              <w:rPr>
                                <w:rStyle w:val="CharStyle12"/>
                              </w:rPr>
                              <w:t>Piwowarskiego – Browary Polskie</w:t>
                            </w:r>
                          </w:p>
                        </w:txbxContent>
                      </wps:txbx>
                      <wps:bodyPr lIns="0" tIns="0" rIns="0" bIns="0">
                        <a:noAutoFit/>
                      </wps:bodyPr>
                    </wps:wsp>
                  </a:graphicData>
                </a:graphic>
              </wp:anchor>
            </w:drawing>
          </mc:Choice>
          <mc:Fallback>
            <w:pict>
              <v:shape id="_x0000_s1057" type="#_x0000_t202" style="position:absolute;margin-left:301.69999999999999pt;margin-top:76.299999999999997pt;width:155.05000000000001pt;height:52.300000000000004pt;z-index:-12582937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rStyle w:val="CharStyle12"/>
                          <w:b/>
                          <w:bCs/>
                        </w:rPr>
                        <w:t>Bartłomiej Morzycki</w:t>
                      </w:r>
                    </w:p>
                    <w:p>
                      <w:pPr>
                        <w:pStyle w:val="Style11"/>
                        <w:keepNext w:val="0"/>
                        <w:keepLines w:val="0"/>
                        <w:widowControl w:val="0"/>
                        <w:shd w:val="clear" w:color="auto" w:fill="auto"/>
                        <w:bidi w:val="0"/>
                        <w:spacing w:before="0" w:after="0" w:line="240" w:lineRule="auto"/>
                        <w:ind w:left="0" w:right="0" w:firstLine="0"/>
                        <w:jc w:val="left"/>
                      </w:pPr>
                      <w:r>
                        <w:rPr>
                          <w:rStyle w:val="CharStyle12"/>
                        </w:rPr>
                        <w:t>Dyrektor Generalny</w:t>
                      </w:r>
                    </w:p>
                    <w:p>
                      <w:pPr>
                        <w:pStyle w:val="Style11"/>
                        <w:keepNext w:val="0"/>
                        <w:keepLines w:val="0"/>
                        <w:widowControl w:val="0"/>
                        <w:shd w:val="clear" w:color="auto" w:fill="auto"/>
                        <w:bidi w:val="0"/>
                        <w:spacing w:before="0" w:after="0" w:line="240" w:lineRule="auto"/>
                        <w:ind w:left="0" w:right="0" w:firstLine="0"/>
                        <w:jc w:val="left"/>
                      </w:pPr>
                      <w:r>
                        <w:rPr>
                          <w:rStyle w:val="CharStyle12"/>
                        </w:rPr>
                        <w:t>Związek Pracodawców Przemysłu</w:t>
                      </w:r>
                    </w:p>
                    <w:p>
                      <w:pPr>
                        <w:pStyle w:val="Style11"/>
                        <w:keepNext w:val="0"/>
                        <w:keepLines w:val="0"/>
                        <w:widowControl w:val="0"/>
                        <w:shd w:val="clear" w:color="auto" w:fill="auto"/>
                        <w:bidi w:val="0"/>
                        <w:spacing w:before="0" w:after="0" w:line="240" w:lineRule="auto"/>
                        <w:ind w:left="0" w:right="0" w:firstLine="0"/>
                        <w:jc w:val="left"/>
                      </w:pPr>
                      <w:r>
                        <w:rPr>
                          <w:rStyle w:val="CharStyle12"/>
                        </w:rPr>
                        <w:t>Piwowarskiego – Browary Polskie</w:t>
                      </w:r>
                    </w:p>
                  </w:txbxContent>
                </v:textbox>
                <w10:wrap type="square" anchorx="page"/>
              </v:shape>
            </w:pict>
          </mc:Fallback>
        </mc:AlternateContent>
      </w:r>
    </w:p>
    <w:p>
      <w:pPr>
        <w:pStyle w:val="Style15"/>
        <w:keepNext/>
        <w:keepLines/>
        <w:widowControl w:val="0"/>
        <w:shd w:val="clear" w:color="auto" w:fill="auto"/>
        <w:bidi w:val="0"/>
        <w:spacing w:before="0" w:after="420" w:line="240" w:lineRule="auto"/>
        <w:ind w:left="0" w:right="0" w:firstLine="0"/>
        <w:jc w:val="left"/>
      </w:pPr>
      <w:bookmarkStart w:id="31" w:name="bookmark31"/>
      <w:r>
        <w:rPr>
          <w:rStyle w:val="CharStyle16"/>
          <w:b/>
          <w:bCs/>
        </w:rPr>
        <w:t>Z wyrazami szacunku,</w:t>
      </w:r>
      <w:bookmarkEnd w:id="31"/>
    </w:p>
    <w:p>
      <w:pPr>
        <w:pStyle w:val="Style21"/>
        <w:keepNext w:val="0"/>
        <w:keepLines w:val="0"/>
        <w:widowControl w:val="0"/>
        <w:shd w:val="clear" w:color="auto" w:fill="auto"/>
        <w:bidi w:val="0"/>
        <w:spacing w:before="0" w:after="60"/>
        <w:ind w:left="0" w:right="0" w:firstLine="0"/>
        <w:jc w:val="left"/>
      </w:pPr>
      <w:r>
        <w:rPr>
          <w:rStyle w:val="CharStyle22"/>
        </w:rPr>
        <w:t>Signature Not Verified</w:t>
      </w:r>
    </w:p>
    <w:p>
      <w:pPr>
        <w:pStyle w:val="Style21"/>
        <w:keepNext w:val="0"/>
        <w:keepLines w:val="0"/>
        <w:widowControl w:val="0"/>
        <w:shd w:val="clear" w:color="auto" w:fill="auto"/>
        <w:bidi w:val="0"/>
        <w:spacing w:before="0" w:after="0"/>
        <w:ind w:left="0" w:right="0" w:firstLine="0"/>
        <w:jc w:val="left"/>
      </w:pPr>
      <w:r>
        <w:rPr>
          <w:rStyle w:val="CharStyle22"/>
        </w:rPr>
        <w:t>Dokument podpisany przez Dariusz Lizak</w:t>
      </w:r>
    </w:p>
    <w:p>
      <w:pPr>
        <w:pStyle w:val="Style21"/>
        <w:keepNext w:val="0"/>
        <w:keepLines w:val="0"/>
        <w:widowControl w:val="0"/>
        <w:shd w:val="clear" w:color="auto" w:fill="auto"/>
        <w:bidi w:val="0"/>
        <w:spacing w:before="0" w:after="120"/>
        <w:ind w:left="0" w:right="0" w:firstLine="0"/>
        <w:jc w:val="left"/>
      </w:pPr>
      <w:r>
        <w:rPr>
          <w:rStyle w:val="CharStyle22"/>
        </w:rPr>
        <w:t>Data: 2025.07.15 17:22:29 CEST</w:t>
      </w:r>
    </w:p>
    <w:p>
      <w:pPr>
        <w:pStyle w:val="Style15"/>
        <w:keepNext/>
        <w:keepLines/>
        <w:widowControl w:val="0"/>
        <w:shd w:val="clear" w:color="auto" w:fill="auto"/>
        <w:bidi w:val="0"/>
        <w:spacing w:before="0" w:after="0" w:line="240" w:lineRule="auto"/>
        <w:ind w:left="0" w:right="0" w:firstLine="0"/>
        <w:jc w:val="left"/>
      </w:pPr>
      <w:bookmarkStart w:id="33" w:name="bookmark33"/>
      <w:r>
        <w:rPr>
          <w:rStyle w:val="CharStyle16"/>
          <w:b/>
          <w:bCs/>
        </w:rPr>
        <w:t>Dariusz Lizak</w:t>
      </w:r>
      <w:bookmarkEnd w:id="33"/>
    </w:p>
    <w:p>
      <w:pPr>
        <w:pStyle w:val="Style11"/>
        <w:keepNext w:val="0"/>
        <w:keepLines w:val="0"/>
        <w:widowControl w:val="0"/>
        <w:shd w:val="clear" w:color="auto" w:fill="auto"/>
        <w:bidi w:val="0"/>
        <w:spacing w:before="0" w:after="0" w:line="240" w:lineRule="auto"/>
        <w:ind w:left="0" w:right="0" w:firstLine="0"/>
        <w:jc w:val="left"/>
      </w:pPr>
      <w:r>
        <w:rPr>
          <w:rStyle w:val="CharStyle12"/>
        </w:rPr>
        <w:t>Prezes Zarządu</w:t>
      </w:r>
    </w:p>
    <w:p>
      <w:pPr>
        <w:pStyle w:val="Style11"/>
        <w:keepNext w:val="0"/>
        <w:keepLines w:val="0"/>
        <w:widowControl w:val="0"/>
        <w:shd w:val="clear" w:color="auto" w:fill="auto"/>
        <w:bidi w:val="0"/>
        <w:spacing w:before="0" w:after="0" w:line="240" w:lineRule="auto"/>
        <w:ind w:left="0" w:right="0" w:firstLine="0"/>
        <w:jc w:val="left"/>
      </w:pPr>
      <w:r>
        <w:rPr>
          <w:rStyle w:val="CharStyle12"/>
        </w:rPr>
        <w:t>Krajowa Izba Gospodarcza</w:t>
      </w:r>
    </w:p>
    <w:p>
      <w:pPr>
        <w:pStyle w:val="Style11"/>
        <w:keepNext w:val="0"/>
        <w:keepLines w:val="0"/>
        <w:widowControl w:val="0"/>
        <w:shd w:val="clear" w:color="auto" w:fill="auto"/>
        <w:bidi w:val="0"/>
        <w:spacing w:before="0" w:after="120" w:line="240" w:lineRule="auto"/>
        <w:ind w:left="0" w:right="0" w:firstLine="0"/>
        <w:jc w:val="left"/>
      </w:pPr>
      <w:r>
        <w:rPr>
          <w:rStyle w:val="CharStyle12"/>
        </w:rPr>
        <w:t>„Przemysł Rozlewniczy”</w:t>
      </w:r>
    </w:p>
    <w:sectPr>
      <w:footnotePr>
        <w:pos w:val="pageBottom"/>
        <w:numFmt w:val="decimal"/>
        <w:numStart w:val="1"/>
        <w:numRestart w:val="continuous"/>
        <w15:footnoteColumns w:val="1"/>
      </w:footnotePr>
      <w:type w:val="continuous"/>
      <w:pgSz w:w="11900" w:h="16840"/>
      <w:pgMar w:top="1561" w:right="7950" w:bottom="1561" w:left="138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3724910</wp:posOffset>
              </wp:positionH>
              <wp:positionV relativeFrom="page">
                <wp:posOffset>10350500</wp:posOffset>
              </wp:positionV>
              <wp:extent cx="109855" cy="97790"/>
              <wp:wrapNone/>
              <wp:docPr id="9" name="Shape 9"/>
              <a:graphic xmlns:a="http://schemas.openxmlformats.org/drawingml/2006/main">
                <a:graphicData uri="http://schemas.microsoft.com/office/word/2010/wordprocessingShape">
                  <wps:wsp>
                    <wps:cNvSpPr txBox="1"/>
                    <wps:spPr>
                      <a:xfrm>
                        <a:ext cx="109855" cy="977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7"/>
                                <w:sz w:val="22"/>
                                <w:szCs w:val="22"/>
                              </w:rPr>
                              <w:t>#</w:t>
                            </w:r>
                          </w:fldSimple>
                        </w:p>
                      </w:txbxContent>
                    </wps:txbx>
                    <wps:bodyPr wrap="none" lIns="0" tIns="0" rIns="0" bIns="0">
                      <a:spAutoFit/>
                    </wps:bodyPr>
                  </wps:wsp>
                </a:graphicData>
              </a:graphic>
            </wp:anchor>
          </w:drawing>
        </mc:Choice>
        <mc:Fallback>
          <w:pict>
            <v:shape id="_x0000_s1035" type="#_x0000_t202" style="position:absolute;margin-left:293.30000000000001pt;margin-top:815.pt;width:8.6500000000000004pt;height:7.7000000000000002pt;z-index:-18874405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Style w:val="CharStyle7"/>
                          <w:sz w:val="22"/>
                          <w:szCs w:val="22"/>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0"/>
        <w:ind w:left="0" w:right="0" w:firstLine="0"/>
        <w:jc w:val="both"/>
      </w:pPr>
      <w:bookmarkStart w:id="0" w:name="bookmark0"/>
      <w:bookmarkStart w:id="1" w:name="bookmark1"/>
      <w:r>
        <w:rPr>
          <w:rStyle w:val="CharStyle3"/>
          <w:rFonts w:ascii="Arial" w:eastAsia="Arial" w:hAnsi="Arial" w:cs="Arial"/>
          <w:vertAlign w:val="superscript"/>
        </w:rPr>
        <w:footnoteRef/>
      </w:r>
      <w:r>
        <w:rPr>
          <w:rStyle w:val="CharStyle3"/>
          <w:rFonts w:ascii="Arial" w:eastAsia="Arial" w:hAnsi="Arial" w:cs="Arial"/>
        </w:rPr>
        <w:t xml:space="preserve"> </w:t>
      </w:r>
      <w:r>
        <w:rPr>
          <w:rStyle w:val="CharStyle3"/>
          <w:i/>
          <w:iCs/>
        </w:rPr>
        <w:t>Gold-plating i nadregulacja przy implementacji prawa UE do polskiego porządku prawnego</w:t>
      </w:r>
      <w:r>
        <w:rPr>
          <w:rStyle w:val="CharStyle3"/>
        </w:rPr>
        <w:t xml:space="preserve">, raport przygotowany przez SprawdzaMY, Fundacja Wsparcia Przedsiębiorczości i Kancelaria DZP, Warszawa, 27maja2025, </w:t>
      </w:r>
      <w:r>
        <w:fldChar w:fldCharType="begin"/>
      </w:r>
      <w:r>
        <w:rPr/>
        <w:instrText> HYPERLINK "https://sprawdzamy.com/static/files/gold-plating-maj-2025.pdf" </w:instrText>
      </w:r>
      <w:r>
        <w:fldChar w:fldCharType="separate"/>
      </w:r>
      <w:r>
        <w:rPr>
          <w:rStyle w:val="CharStyle3"/>
          <w:lang w:val="en-US" w:eastAsia="en-US"/>
        </w:rPr>
        <w:t>https://sprawdzamy.com/static/files/gold-plating-maj-2025.pdf</w:t>
      </w:r>
      <w:r>
        <w:fldChar w:fldCharType="end"/>
      </w:r>
      <w:r>
        <w:rPr>
          <w:rStyle w:val="CharStyle3"/>
          <w:lang w:val="en-US" w:eastAsia="en-US"/>
        </w:rPr>
        <w:t xml:space="preserve"> </w:t>
      </w:r>
      <w:r>
        <w:rPr>
          <w:rStyle w:val="CharStyle3"/>
        </w:rPr>
        <w:t>[dostęp: 10 lipca2025].</w:t>
      </w:r>
      <w:bookmarkEnd w:id="0"/>
      <w:bookmarkEnd w:id="1"/>
    </w:p>
  </w:footnote>
  <w:footnote w:id="3">
    <w:p>
      <w:pPr>
        <w:pStyle w:val="Style2"/>
        <w:keepNext w:val="0"/>
        <w:keepLines w:val="0"/>
        <w:widowControl w:val="0"/>
        <w:shd w:val="clear" w:color="auto" w:fill="auto"/>
        <w:bidi w:val="0"/>
        <w:spacing w:before="0" w:after="0"/>
        <w:ind w:left="0" w:right="0" w:firstLine="0"/>
        <w:jc w:val="left"/>
      </w:pPr>
      <w:bookmarkStart w:id="2" w:name="bookmark2"/>
      <w:r>
        <w:rPr>
          <w:rStyle w:val="CharStyle3"/>
          <w:rFonts w:ascii="Arial" w:eastAsia="Arial" w:hAnsi="Arial" w:cs="Arial"/>
          <w:vertAlign w:val="superscript"/>
        </w:rPr>
        <w:footnoteRef/>
      </w:r>
      <w:r>
        <w:rPr>
          <w:rStyle w:val="CharStyle3"/>
          <w:rFonts w:ascii="Arial" w:eastAsia="Arial" w:hAnsi="Arial" w:cs="Arial"/>
        </w:rPr>
        <w:t xml:space="preserve"> </w:t>
      </w:r>
      <w:r>
        <w:rPr>
          <w:rStyle w:val="CharStyle3"/>
        </w:rPr>
        <w:t>Dyrektywa Parlamentu Europejskiego i Rady (UE) 2019/904 z dnia 5 czerwca 2019 r. w sprawie zmniejszenia wpływu niektórych produktów z tworzyw sztucznych na środowisko (Dz. Urz. UE L 155 z 12.6.2019, s. 1–19).</w:t>
      </w:r>
      <w:bookmarkEnd w:id="2"/>
    </w:p>
  </w:footnote>
  <w:footnote w:id="4">
    <w:p>
      <w:pPr>
        <w:pStyle w:val="Style2"/>
        <w:keepNext w:val="0"/>
        <w:keepLines w:val="0"/>
        <w:widowControl w:val="0"/>
        <w:shd w:val="clear" w:color="auto" w:fill="auto"/>
        <w:bidi w:val="0"/>
        <w:spacing w:before="0" w:after="0"/>
        <w:ind w:left="0" w:right="0" w:firstLine="0"/>
        <w:jc w:val="both"/>
      </w:pPr>
      <w:r>
        <w:rPr>
          <w:rStyle w:val="CharStyle3"/>
          <w:rFonts w:ascii="Arial" w:eastAsia="Arial" w:hAnsi="Arial" w:cs="Arial"/>
          <w:vertAlign w:val="superscript"/>
        </w:rPr>
        <w:footnoteRef/>
      </w:r>
      <w:r>
        <w:rPr>
          <w:rStyle w:val="CharStyle3"/>
          <w:rFonts w:ascii="Arial" w:eastAsia="Arial" w:hAnsi="Arial" w:cs="Arial"/>
        </w:rPr>
        <w:t xml:space="preserve"> </w:t>
      </w:r>
      <w:r>
        <w:rPr>
          <w:rStyle w:val="CharStyle3"/>
        </w:rPr>
        <w:t>Rozporządzenie Parlamentu Europejskiego i Rady (UE) 2025/40 z dnia 19 grudnia 2024 r. w sprawie opakowań i odpadów opakowaniowych, zmieniające rozporządzenie (UE) 2019/1020 i dyrektywę (UE) 2019/904 oraz uchylające dyrektywę 94/62/WE, Dz. Urz. UE L 40 z 22.1.2025, s. 1–93.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893445</wp:posOffset>
              </wp:positionH>
              <wp:positionV relativeFrom="page">
                <wp:posOffset>445770</wp:posOffset>
              </wp:positionV>
              <wp:extent cx="572770" cy="545465"/>
              <wp:wrapNone/>
              <wp:docPr id="3" name="Shape 3"/>
              <a:graphic xmlns:a="http://schemas.openxmlformats.org/drawingml/2006/main">
                <a:graphicData uri="http://schemas.microsoft.com/office/word/2010/wordprocessingShape">
                  <wps:wsp>
                    <wps:cNvSpPr txBox="1"/>
                    <wps:spPr>
                      <a:xfrm>
                        <a:ext cx="572770" cy="545465"/>
                      </a:xfrm>
                      <a:prstGeom prst="rect"/>
                      <a:noFill/>
                    </wps:spPr>
                    <wps:txbx>
                      <w:txbxContent>
                        <w:p>
                          <w:pPr>
                            <w:widowControl w:val="0"/>
                            <w:rPr>
                              <w:sz w:val="2"/>
                              <w:szCs w:val="2"/>
                            </w:rPr>
                          </w:pPr>
                          <w:r>
                            <w:drawing>
                              <wp:inline>
                                <wp:extent cx="572770" cy="548640"/>
                                <wp:docPr id="4" name="Picutre 4"/>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pic:blipFill>
                                      <pic:spPr>
                                        <a:xfrm>
                                          <a:ext cx="572770" cy="548640"/>
                                        </a:xfrm>
                                        <a:prstGeom prst="rect"/>
                                      </pic:spPr>
                                    </pic:pic>
                                  </a:graphicData>
                                </a:graphic>
                              </wp:inline>
                            </w:drawing>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70.350000000000009pt;margin-top:35.100000000000001pt;width:45.100000000000001pt;height:42.950000000000003pt;z-index:-188744063;mso-wrap-distance-left:0;mso-wrap-distance-right:0;mso-position-horizontal-relative:page;mso-position-vertical-relative:page" wrapcoords="0 0" filled="f" stroked="f">
              <v:textbox inset="0,0,0,0">
                <w:txbxContent>
                  <w:p>
                    <w:pPr>
                      <w:widowControl w:val="0"/>
                      <w:rPr>
                        <w:sz w:val="2"/>
                        <w:szCs w:val="2"/>
                      </w:rPr>
                    </w:pPr>
                    <w:r>
                      <w:drawing>
                        <wp:inline>
                          <wp:extent cx="572770" cy="548640"/>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pic:blipFill>
                                <pic:spPr>
                                  <a:xfrm>
                                    <a:ext cx="572770" cy="54864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1521460</wp:posOffset>
              </wp:positionH>
              <wp:positionV relativeFrom="page">
                <wp:posOffset>494030</wp:posOffset>
              </wp:positionV>
              <wp:extent cx="892810" cy="494030"/>
              <wp:wrapNone/>
              <wp:docPr id="7" name="Shape 7"/>
              <a:graphic xmlns:a="http://schemas.openxmlformats.org/drawingml/2006/main">
                <a:graphicData uri="http://schemas.microsoft.com/office/word/2010/wordprocessingShape">
                  <wps:wsp>
                    <wps:cNvSpPr txBox="1"/>
                    <wps:spPr>
                      <a:xfrm>
                        <a:ext cx="892810" cy="494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Krajowa Izba</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Gospodarcza</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547BB5"/>
                              <w:sz w:val="14"/>
                              <w:szCs w:val="14"/>
                            </w:rPr>
                            <w:t>Przemysł Rozlewniczy</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color w:val="D82A1A"/>
                              <w:sz w:val="22"/>
                              <w:szCs w:val="22"/>
                            </w:rPr>
                            <w:t>HWi</w:t>
                          </w:r>
                        </w:p>
                      </w:txbxContent>
                    </wps:txbx>
                    <wps:bodyPr wrap="none" lIns="0" tIns="0" rIns="0" bIns="0">
                      <a:spAutoFit/>
                    </wps:bodyPr>
                  </wps:wsp>
                </a:graphicData>
              </a:graphic>
            </wp:anchor>
          </w:drawing>
        </mc:Choice>
        <mc:Fallback>
          <w:pict>
            <v:shape id="_x0000_s1033" type="#_x0000_t202" style="position:absolute;margin-left:119.8pt;margin-top:38.899999999999999pt;width:70.299999999999997pt;height:38.899999999999999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Krajowa Izba</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Gospodarcza</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547BB5"/>
                        <w:sz w:val="14"/>
                        <w:szCs w:val="14"/>
                      </w:rPr>
                      <w:t>Przemysł Rozlewniczy</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color w:val="D82A1A"/>
                        <w:sz w:val="22"/>
                        <w:szCs w:val="22"/>
                      </w:rPr>
                      <w:t>HWi</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893445</wp:posOffset>
              </wp:positionH>
              <wp:positionV relativeFrom="page">
                <wp:posOffset>222885</wp:posOffset>
              </wp:positionV>
              <wp:extent cx="572770" cy="545465"/>
              <wp:wrapNone/>
              <wp:docPr id="11" name="Shape 11"/>
              <a:graphic xmlns:a="http://schemas.openxmlformats.org/drawingml/2006/main">
                <a:graphicData uri="http://schemas.microsoft.com/office/word/2010/wordprocessingShape">
                  <wps:wsp>
                    <wps:cNvSpPr txBox="1"/>
                    <wps:spPr>
                      <a:xfrm>
                        <a:ext cx="572770" cy="545465"/>
                      </a:xfrm>
                      <a:prstGeom prst="rect"/>
                      <a:noFill/>
                    </wps:spPr>
                    <wps:txbx>
                      <w:txbxContent>
                        <w:p>
                          <w:pPr>
                            <w:widowControl w:val="0"/>
                            <w:rPr>
                              <w:sz w:val="2"/>
                              <w:szCs w:val="2"/>
                            </w:rPr>
                          </w:pPr>
                          <w:r>
                            <w:drawing>
                              <wp:inline>
                                <wp:extent cx="572770" cy="548640"/>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pic:blipFill>
                                      <pic:spPr>
                                        <a:xfrm>
                                          <a:ext cx="572770" cy="548640"/>
                                        </a:xfrm>
                                        <a:prstGeom prst="rect"/>
                                      </pic:spPr>
                                    </pic:pic>
                                  </a:graphicData>
                                </a:graphic>
                              </wp:inline>
                            </w:drawing>
                          </w:r>
                        </w:p>
                      </w:txbxContent>
                    </wps:txbx>
                    <wps:bodyPr lIns="0" tIns="0" rIns="0" bIns="0">
                      <a:noAutoFit/>
                    </wps:bodyPr>
                  </wps:wsp>
                </a:graphicData>
              </a:graphic>
            </wp:anchor>
          </w:drawing>
        </mc:Choice>
        <mc:Fallback>
          <w:pict>
            <v:shape id="_x0000_s1038" type="#_x0000_t202" style="position:absolute;margin-left:70.350000000000009pt;margin-top:17.550000000000001pt;width:45.100000000000001pt;height:42.950000000000003pt;z-index:-188744057;mso-wrap-distance-left:0;mso-wrap-distance-right:0;mso-position-horizontal-relative:page;mso-position-vertical-relative:page" wrapcoords="0 0" filled="f" stroked="f">
              <v:textbox inset="0,0,0,0">
                <w:txbxContent>
                  <w:p>
                    <w:pPr>
                      <w:widowControl w:val="0"/>
                      <w:rPr>
                        <w:sz w:val="2"/>
                        <w:szCs w:val="2"/>
                      </w:rPr>
                    </w:pPr>
                    <w:r>
                      <w:drawing>
                        <wp:inline>
                          <wp:extent cx="572770" cy="54864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572770" cy="54864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1521460</wp:posOffset>
              </wp:positionH>
              <wp:positionV relativeFrom="page">
                <wp:posOffset>271780</wp:posOffset>
              </wp:positionV>
              <wp:extent cx="892810" cy="494030"/>
              <wp:wrapNone/>
              <wp:docPr id="15" name="Shape 15"/>
              <a:graphic xmlns:a="http://schemas.openxmlformats.org/drawingml/2006/main">
                <a:graphicData uri="http://schemas.microsoft.com/office/word/2010/wordprocessingShape">
                  <wps:wsp>
                    <wps:cNvSpPr txBox="1"/>
                    <wps:spPr>
                      <a:xfrm>
                        <a:ext cx="892810" cy="494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Krajowa Izba</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Gospodarcza</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547BB5"/>
                              <w:sz w:val="14"/>
                              <w:szCs w:val="14"/>
                            </w:rPr>
                            <w:t>Przemysł Rozlewniczy</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color w:val="D82A1A"/>
                              <w:sz w:val="22"/>
                              <w:szCs w:val="22"/>
                            </w:rPr>
                            <w:t>HWi</w:t>
                          </w:r>
                        </w:p>
                      </w:txbxContent>
                    </wps:txbx>
                    <wps:bodyPr wrap="none" lIns="0" tIns="0" rIns="0" bIns="0">
                      <a:spAutoFit/>
                    </wps:bodyPr>
                  </wps:wsp>
                </a:graphicData>
              </a:graphic>
            </wp:anchor>
          </w:drawing>
        </mc:Choice>
        <mc:Fallback>
          <w:pict>
            <v:shape id="_x0000_s1041" type="#_x0000_t202" style="position:absolute;margin-left:119.8pt;margin-top:21.400000000000002pt;width:70.299999999999997pt;height:38.899999999999999pt;z-index:-18874405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Krajowa Izba</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rFonts w:ascii="Arial" w:eastAsia="Arial" w:hAnsi="Arial" w:cs="Arial"/>
                        <w:b/>
                        <w:bCs/>
                        <w:color w:val="295AA4"/>
                        <w:sz w:val="22"/>
                        <w:szCs w:val="22"/>
                      </w:rPr>
                      <w:t>Gospodarcza</w:t>
                    </w:r>
                  </w:p>
                  <w:p>
                    <w:pPr>
                      <w:pStyle w:val="Style6"/>
                      <w:keepNext w:val="0"/>
                      <w:keepLines w:val="0"/>
                      <w:widowControl w:val="0"/>
                      <w:shd w:val="clear" w:color="auto" w:fill="auto"/>
                      <w:bidi w:val="0"/>
                      <w:spacing w:before="0" w:after="0" w:line="240" w:lineRule="auto"/>
                      <w:ind w:left="0" w:right="0" w:firstLine="0"/>
                      <w:jc w:val="left"/>
                      <w:rPr>
                        <w:sz w:val="14"/>
                        <w:szCs w:val="14"/>
                      </w:rPr>
                    </w:pPr>
                    <w:r>
                      <w:rPr>
                        <w:rStyle w:val="CharStyle7"/>
                        <w:rFonts w:ascii="Arial" w:eastAsia="Arial" w:hAnsi="Arial" w:cs="Arial"/>
                        <w:color w:val="547BB5"/>
                        <w:sz w:val="14"/>
                        <w:szCs w:val="14"/>
                      </w:rPr>
                      <w:t>Przemysł Rozlewniczy</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Style w:val="CharStyle7"/>
                        <w:color w:val="D82A1A"/>
                        <w:sz w:val="22"/>
                        <w:szCs w:val="22"/>
                      </w:rPr>
                      <w:t>HWi</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rPr>
    </w:lvl>
    <w:lvl w:ilvl="2">
      <w:start w:val="1"/>
      <w:numFmt w:val="decimal"/>
      <w:lvlText w:val="%1.%2.%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6">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8">
    <w:multiLevelType w:val="multilevel"/>
    <w:lvl w:ilvl="0">
      <w:start w:val="14"/>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0">
    <w:multiLevelType w:val="multilevel"/>
    <w:lvl w:ilvl="0">
      <w:start w:val="15"/>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2">
    <w:multiLevelType w:val="multilevel"/>
    <w:lvl w:ilvl="0">
      <w:start w:val="18"/>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4">
    <w:multiLevelType w:val="multilevel"/>
    <w:lvl w:ilvl="0">
      <w:start w:val="24"/>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0">
    <w:multiLevelType w:val="multilevel"/>
    <w:lvl w:ilvl="0">
      <w:start w:val="27"/>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2">
    <w:multiLevelType w:val="multilevel"/>
    <w:lvl w:ilvl="0">
      <w:start w:val="30"/>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4">
    <w:multiLevelType w:val="multilevel"/>
    <w:lvl w:ilvl="0">
      <w:start w:val="36"/>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abstractNum w:abstractNumId="26">
    <w:multiLevelType w:val="multilevel"/>
    <w:lvl w:ilvl="0">
      <w:start w:val="38"/>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Times New Roman" w:eastAsia="Times New Roman" w:hAnsi="Times New Roman" w:cs="Times New Roman"/>
      <w:b w:val="0"/>
      <w:bCs w:val="0"/>
      <w:i w:val="0"/>
      <w:iCs w:val="0"/>
      <w:smallCaps w:val="0"/>
      <w:strike w:val="0"/>
      <w:sz w:val="18"/>
      <w:szCs w:val="18"/>
      <w:u w:val="none"/>
    </w:rPr>
  </w:style>
  <w:style w:type="character" w:customStyle="1" w:styleId="CharStyle7">
    <w:name w:val="Header or footer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Body text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6">
    <w:name w:val="Heading #1_"/>
    <w:basedOn w:val="DefaultParagraphFont"/>
    <w:link w:val="Style15"/>
    <w:rPr>
      <w:rFonts w:ascii="Times New Roman" w:eastAsia="Times New Roman" w:hAnsi="Times New Roman" w:cs="Times New Roman"/>
      <w:b/>
      <w:bCs/>
      <w:i w:val="0"/>
      <w:iCs w:val="0"/>
      <w:smallCaps w:val="0"/>
      <w:strike w:val="0"/>
      <w:sz w:val="22"/>
      <w:szCs w:val="22"/>
      <w:u w:val="none"/>
    </w:rPr>
  </w:style>
  <w:style w:type="character" w:customStyle="1" w:styleId="CharStyle19">
    <w:name w:val="Body text (2)_"/>
    <w:basedOn w:val="DefaultParagraphFont"/>
    <w:link w:val="Style18"/>
    <w:rPr>
      <w:rFonts w:ascii="Times New Roman" w:eastAsia="Times New Roman" w:hAnsi="Times New Roman" w:cs="Times New Roman"/>
      <w:b w:val="0"/>
      <w:bCs w:val="0"/>
      <w:i w:val="0"/>
      <w:iCs w:val="0"/>
      <w:smallCaps w:val="0"/>
      <w:strike w:val="0"/>
      <w:sz w:val="14"/>
      <w:szCs w:val="14"/>
      <w:u w:val="none"/>
    </w:rPr>
  </w:style>
  <w:style w:type="character" w:customStyle="1" w:styleId="CharStyle22">
    <w:name w:val="Body text (3)_"/>
    <w:basedOn w:val="DefaultParagraphFont"/>
    <w:link w:val="Style21"/>
    <w:rPr>
      <w:rFonts w:ascii="Times New Roman" w:eastAsia="Times New Roman" w:hAnsi="Times New Roman" w:cs="Times New Roman"/>
      <w:b w:val="0"/>
      <w:bCs w:val="0"/>
      <w:i w:val="0"/>
      <w:iCs w:val="0"/>
      <w:smallCaps w:val="0"/>
      <w:strike w:val="0"/>
      <w:sz w:val="15"/>
      <w:szCs w:val="15"/>
      <w:u w:val="none"/>
    </w:rPr>
  </w:style>
  <w:style w:type="paragraph" w:customStyle="1" w:styleId="Style2">
    <w:name w:val="Footnote"/>
    <w:basedOn w:val="Normal"/>
    <w:link w:val="CharStyle3"/>
    <w:pPr>
      <w:widowControl w:val="0"/>
      <w:shd w:val="clear" w:color="auto" w:fill="auto"/>
      <w:spacing w:line="252"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6">
    <w:name w:val="Header or footer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styleId="Style11">
    <w:name w:val="Body text"/>
    <w:basedOn w:val="Normal"/>
    <w:link w:val="CharStyle12"/>
    <w:qFormat/>
    <w:pPr>
      <w:widowControl w:val="0"/>
      <w:shd w:val="clear" w:color="auto" w:fill="auto"/>
      <w:spacing w:after="260" w:line="276"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5">
    <w:name w:val="Heading #1"/>
    <w:basedOn w:val="Normal"/>
    <w:link w:val="CharStyle16"/>
    <w:pPr>
      <w:widowControl w:val="0"/>
      <w:shd w:val="clear" w:color="auto" w:fill="auto"/>
      <w:spacing w:after="230" w:line="276" w:lineRule="auto"/>
      <w:ind w:left="650" w:hanging="290"/>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18">
    <w:name w:val="Body text (2)"/>
    <w:basedOn w:val="Normal"/>
    <w:link w:val="CharStyle19"/>
    <w:pPr>
      <w:widowControl w:val="0"/>
      <w:shd w:val="clear" w:color="auto" w:fill="auto"/>
      <w:spacing w:line="223" w:lineRule="auto"/>
    </w:pPr>
    <w:rPr>
      <w:rFonts w:ascii="Times New Roman" w:eastAsia="Times New Roman" w:hAnsi="Times New Roman" w:cs="Times New Roman"/>
      <w:b w:val="0"/>
      <w:bCs w:val="0"/>
      <w:i w:val="0"/>
      <w:iCs w:val="0"/>
      <w:smallCaps w:val="0"/>
      <w:strike w:val="0"/>
      <w:sz w:val="14"/>
      <w:szCs w:val="14"/>
      <w:u w:val="none"/>
    </w:rPr>
  </w:style>
  <w:style w:type="paragraph" w:customStyle="1" w:styleId="Style21">
    <w:name w:val="Body text (3)"/>
    <w:basedOn w:val="Normal"/>
    <w:link w:val="CharStyle22"/>
    <w:pPr>
      <w:widowControl w:val="0"/>
      <w:shd w:val="clear" w:color="auto" w:fill="auto"/>
      <w:spacing w:after="30" w:line="214" w:lineRule="auto"/>
    </w:pPr>
    <w:rPr>
      <w:rFonts w:ascii="Times New Roman" w:eastAsia="Times New Roman" w:hAnsi="Times New Roman" w:cs="Times New Roman"/>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 Id="rId33" Type="http://schemas.openxmlformats.org/officeDocument/2006/relationships/image" Target="media/image15.jpeg"/><Relationship Id="rId34" Type="http://schemas.openxmlformats.org/officeDocument/2006/relationships/image" Target="media/image15.jpeg"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3.jpeg" TargetMode="External"/></Relationships>
</file>

<file path=word/_rels/header2.xml.rels>&#65279;<?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4.jpeg" TargetMode="External"/></Relationships>
</file>

<file path=docProps/core.xml><?xml version="1.0" encoding="utf-8"?>
<cp:coreProperties xmlns:cp="http://schemas.openxmlformats.org/package/2006/metadata/core-properties" xmlns:dc="http://purl.org/dc/elements/1.1/">
  <dc:title/>
  <dc:subject/>
  <dc:creator>K&amp;P</dc:creator>
  <cp:keywords/>
</cp:coreProperties>
</file>