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2060D" w14:textId="77777777" w:rsidR="00235DF3" w:rsidRPr="00235DF3" w:rsidRDefault="00235DF3" w:rsidP="00235DF3">
      <w:pPr>
        <w:spacing w:after="0" w:line="240" w:lineRule="exact"/>
        <w:rPr>
          <w:rFonts w:ascii="Calibri" w:eastAsiaTheme="minorEastAsia" w:hAnsi="Calibri"/>
          <w:kern w:val="0"/>
          <w:sz w:val="22"/>
          <w:szCs w:val="22"/>
          <w:lang w:eastAsia="pl-PL"/>
          <w14:ligatures w14:val="none"/>
        </w:rPr>
      </w:pPr>
      <w:bookmarkStart w:id="0" w:name="_Hlk192765539"/>
    </w:p>
    <w:p w14:paraId="5B4F0341" w14:textId="77777777" w:rsidR="00235DF3" w:rsidRPr="00235DF3" w:rsidRDefault="00235DF3" w:rsidP="00235DF3">
      <w:pPr>
        <w:autoSpaceDE w:val="0"/>
        <w:autoSpaceDN w:val="0"/>
        <w:adjustRightInd w:val="0"/>
        <w:spacing w:after="0" w:line="240" w:lineRule="auto"/>
        <w:rPr>
          <w:rFonts w:ascii="Calibri" w:hAnsi="Calibri" w:cs="Calibri"/>
          <w:color w:val="000000"/>
          <w:kern w:val="0"/>
        </w:rPr>
      </w:pPr>
    </w:p>
    <w:p w14:paraId="013CA8FD" w14:textId="77777777" w:rsidR="00235DF3" w:rsidRPr="00235DF3" w:rsidRDefault="00235DF3" w:rsidP="00235DF3">
      <w:pPr>
        <w:autoSpaceDE w:val="0"/>
        <w:autoSpaceDN w:val="0"/>
        <w:adjustRightInd w:val="0"/>
        <w:spacing w:after="0" w:line="240" w:lineRule="auto"/>
        <w:rPr>
          <w:rFonts w:ascii="Calibri" w:hAnsi="Calibri" w:cs="Calibri"/>
          <w:color w:val="000000"/>
          <w:kern w:val="0"/>
          <w:sz w:val="22"/>
          <w:szCs w:val="22"/>
        </w:rPr>
      </w:pPr>
    </w:p>
    <w:p w14:paraId="0F2B9342" w14:textId="77777777" w:rsidR="00235DF3" w:rsidRPr="00235DF3" w:rsidRDefault="00235DF3" w:rsidP="00235DF3">
      <w:pPr>
        <w:autoSpaceDE w:val="0"/>
        <w:autoSpaceDN w:val="0"/>
        <w:adjustRightInd w:val="0"/>
        <w:spacing w:after="0" w:line="240" w:lineRule="auto"/>
        <w:rPr>
          <w:rFonts w:ascii="Calibri" w:hAnsi="Calibri" w:cs="Calibri"/>
          <w:color w:val="000000"/>
          <w:kern w:val="0"/>
          <w:sz w:val="22"/>
          <w:szCs w:val="22"/>
        </w:rPr>
      </w:pPr>
    </w:p>
    <w:p w14:paraId="15BCF7F0" w14:textId="77777777" w:rsidR="00235DF3" w:rsidRPr="00235DF3" w:rsidRDefault="00235DF3" w:rsidP="00235DF3">
      <w:pPr>
        <w:autoSpaceDE w:val="0"/>
        <w:autoSpaceDN w:val="0"/>
        <w:adjustRightInd w:val="0"/>
        <w:spacing w:after="0" w:line="240" w:lineRule="auto"/>
        <w:rPr>
          <w:rFonts w:ascii="Calibri" w:hAnsi="Calibri" w:cs="Calibri"/>
          <w:color w:val="000000"/>
          <w:kern w:val="0"/>
          <w:sz w:val="22"/>
          <w:szCs w:val="22"/>
        </w:rPr>
      </w:pPr>
    </w:p>
    <w:p w14:paraId="0D807092" w14:textId="7231E03C" w:rsidR="00235DF3" w:rsidRPr="00C46809" w:rsidRDefault="00235DF3" w:rsidP="00235DF3">
      <w:pPr>
        <w:autoSpaceDE w:val="0"/>
        <w:autoSpaceDN w:val="0"/>
        <w:adjustRightInd w:val="0"/>
        <w:spacing w:after="0" w:line="240" w:lineRule="auto"/>
        <w:rPr>
          <w:rFonts w:ascii="Times New Roman" w:hAnsi="Times New Roman" w:cs="Times New Roman"/>
          <w:color w:val="000000"/>
          <w:kern w:val="0"/>
        </w:rPr>
      </w:pPr>
      <w:r w:rsidRPr="00C46809">
        <w:rPr>
          <w:rFonts w:ascii="Times New Roman" w:hAnsi="Times New Roman" w:cs="Times New Roman"/>
          <w:color w:val="000000"/>
          <w:kern w:val="0"/>
        </w:rPr>
        <w:t>Warszawa,</w:t>
      </w:r>
      <w:r w:rsidR="00C46809" w:rsidRPr="00C46809">
        <w:rPr>
          <w:rFonts w:ascii="Times New Roman" w:hAnsi="Times New Roman" w:cs="Times New Roman"/>
          <w:color w:val="000000"/>
          <w:kern w:val="0"/>
        </w:rPr>
        <w:t xml:space="preserve"> 15 kwietnia 2025</w:t>
      </w:r>
      <w:r w:rsidRPr="00C46809">
        <w:rPr>
          <w:rFonts w:ascii="Times New Roman" w:hAnsi="Times New Roman" w:cs="Times New Roman"/>
          <w:color w:val="000000"/>
          <w:kern w:val="0"/>
        </w:rPr>
        <w:t xml:space="preserve"> r. </w:t>
      </w:r>
    </w:p>
    <w:bookmarkEnd w:id="0"/>
    <w:p w14:paraId="73406856" w14:textId="77777777" w:rsidR="00C46809" w:rsidRPr="00C46809" w:rsidRDefault="00C46809" w:rsidP="00C46809">
      <w:pPr>
        <w:autoSpaceDE w:val="0"/>
        <w:autoSpaceDN w:val="0"/>
        <w:adjustRightInd w:val="0"/>
        <w:spacing w:after="0" w:line="240" w:lineRule="auto"/>
        <w:rPr>
          <w:rFonts w:ascii="Times New Roman" w:hAnsi="Times New Roman" w:cs="Times New Roman"/>
          <w:b/>
          <w:bCs/>
        </w:rPr>
      </w:pPr>
    </w:p>
    <w:p w14:paraId="3F53784D" w14:textId="77777777" w:rsidR="00C46809" w:rsidRPr="00C46809" w:rsidRDefault="00C46809" w:rsidP="00C46809">
      <w:pPr>
        <w:autoSpaceDE w:val="0"/>
        <w:autoSpaceDN w:val="0"/>
        <w:adjustRightInd w:val="0"/>
        <w:spacing w:after="0" w:line="240" w:lineRule="auto"/>
        <w:rPr>
          <w:rFonts w:ascii="Times New Roman" w:hAnsi="Times New Roman" w:cs="Times New Roman"/>
          <w:b/>
          <w:bCs/>
        </w:rPr>
      </w:pPr>
    </w:p>
    <w:p w14:paraId="709EFA75" w14:textId="77777777" w:rsidR="00C46809" w:rsidRPr="00C46809" w:rsidRDefault="00C46809" w:rsidP="00C46809">
      <w:pPr>
        <w:autoSpaceDE w:val="0"/>
        <w:autoSpaceDN w:val="0"/>
        <w:adjustRightInd w:val="0"/>
        <w:spacing w:after="0" w:line="240" w:lineRule="auto"/>
        <w:rPr>
          <w:rFonts w:ascii="Times New Roman" w:hAnsi="Times New Roman" w:cs="Times New Roman"/>
          <w:b/>
          <w:bCs/>
        </w:rPr>
      </w:pPr>
    </w:p>
    <w:p w14:paraId="74A6AB62" w14:textId="0611AFC3" w:rsidR="00C46809" w:rsidRPr="00C46809" w:rsidRDefault="00C46809" w:rsidP="00C46809">
      <w:pPr>
        <w:autoSpaceDE w:val="0"/>
        <w:autoSpaceDN w:val="0"/>
        <w:adjustRightInd w:val="0"/>
        <w:spacing w:after="0" w:line="240" w:lineRule="auto"/>
        <w:jc w:val="both"/>
        <w:rPr>
          <w:rFonts w:ascii="Times New Roman" w:hAnsi="Times New Roman" w:cs="Times New Roman"/>
          <w:b/>
          <w:bCs/>
        </w:rPr>
      </w:pPr>
      <w:r w:rsidRPr="00C46809">
        <w:rPr>
          <w:rFonts w:ascii="Times New Roman" w:hAnsi="Times New Roman" w:cs="Times New Roman"/>
          <w:b/>
          <w:bCs/>
        </w:rPr>
        <w:t xml:space="preserve">Opinia Komisji Kodyfikacyjnej Ustroju Sądownictwa i Prokuratury o projekcie z dnia 14 lutego 2025 r. ustawy </w:t>
      </w:r>
      <w:r w:rsidRPr="00C46809">
        <w:rPr>
          <w:rFonts w:ascii="Times New Roman" w:hAnsi="Times New Roman" w:cs="Times New Roman"/>
          <w:b/>
          <w:bCs/>
          <w:i/>
          <w:iCs/>
        </w:rPr>
        <w:t>o biegłych sądowych oraz</w:t>
      </w:r>
      <w:r>
        <w:rPr>
          <w:rFonts w:ascii="Times New Roman" w:hAnsi="Times New Roman" w:cs="Times New Roman"/>
          <w:b/>
          <w:bCs/>
          <w:i/>
          <w:iCs/>
        </w:rPr>
        <w:t xml:space="preserve"> </w:t>
      </w:r>
      <w:r w:rsidRPr="00C46809">
        <w:rPr>
          <w:rFonts w:ascii="Times New Roman" w:hAnsi="Times New Roman" w:cs="Times New Roman"/>
          <w:b/>
          <w:bCs/>
          <w:i/>
          <w:iCs/>
        </w:rPr>
        <w:t>instytucjach opiniujących</w:t>
      </w:r>
    </w:p>
    <w:p w14:paraId="3909CE6E" w14:textId="77777777" w:rsidR="00C46809" w:rsidRPr="00C46809" w:rsidRDefault="00C46809" w:rsidP="00C46809">
      <w:pPr>
        <w:pStyle w:val="Bezodstpw"/>
        <w:spacing w:line="360" w:lineRule="auto"/>
        <w:jc w:val="both"/>
        <w:rPr>
          <w:rFonts w:ascii="Times New Roman" w:hAnsi="Times New Roman" w:cs="Times New Roman"/>
          <w:sz w:val="24"/>
          <w:szCs w:val="24"/>
        </w:rPr>
      </w:pPr>
    </w:p>
    <w:p w14:paraId="4841274E" w14:textId="77777777" w:rsidR="00C46809" w:rsidRPr="00C46809" w:rsidRDefault="00C46809" w:rsidP="00C46809">
      <w:pPr>
        <w:pStyle w:val="Bezodstpw"/>
        <w:spacing w:line="360" w:lineRule="auto"/>
        <w:jc w:val="both"/>
        <w:rPr>
          <w:rFonts w:ascii="Times New Roman" w:hAnsi="Times New Roman" w:cs="Times New Roman"/>
          <w:sz w:val="24"/>
          <w:szCs w:val="24"/>
        </w:rPr>
      </w:pPr>
    </w:p>
    <w:p w14:paraId="068DB0E8" w14:textId="77777777" w:rsidR="00C46809" w:rsidRPr="00C46809" w:rsidRDefault="00C46809" w:rsidP="00C46809">
      <w:pPr>
        <w:pStyle w:val="Bezodstpw"/>
        <w:spacing w:line="360" w:lineRule="auto"/>
        <w:jc w:val="both"/>
        <w:rPr>
          <w:rFonts w:ascii="Times New Roman" w:hAnsi="Times New Roman" w:cs="Times New Roman"/>
          <w:sz w:val="24"/>
          <w:szCs w:val="24"/>
        </w:rPr>
      </w:pPr>
    </w:p>
    <w:p w14:paraId="04C87865" w14:textId="77777777" w:rsidR="00C46809" w:rsidRPr="00C46809" w:rsidRDefault="00C46809" w:rsidP="00C46809">
      <w:pPr>
        <w:pStyle w:val="Bezodstpw"/>
        <w:numPr>
          <w:ilvl w:val="0"/>
          <w:numId w:val="6"/>
        </w:numPr>
        <w:spacing w:line="360" w:lineRule="auto"/>
        <w:jc w:val="both"/>
        <w:rPr>
          <w:rFonts w:ascii="Times New Roman" w:hAnsi="Times New Roman" w:cs="Times New Roman"/>
          <w:b/>
          <w:bCs/>
          <w:sz w:val="24"/>
          <w:szCs w:val="24"/>
        </w:rPr>
      </w:pPr>
      <w:r w:rsidRPr="00C46809">
        <w:rPr>
          <w:rFonts w:ascii="Times New Roman" w:hAnsi="Times New Roman" w:cs="Times New Roman"/>
          <w:b/>
          <w:bCs/>
          <w:sz w:val="24"/>
          <w:szCs w:val="24"/>
        </w:rPr>
        <w:t xml:space="preserve">Wprowadzenie   </w:t>
      </w:r>
    </w:p>
    <w:p w14:paraId="19BF7271" w14:textId="77777777" w:rsidR="00C46809" w:rsidRPr="00C46809" w:rsidRDefault="00C46809" w:rsidP="00C46809">
      <w:pPr>
        <w:pStyle w:val="Bezodstpw"/>
        <w:spacing w:line="360" w:lineRule="auto"/>
        <w:ind w:firstLine="284"/>
        <w:jc w:val="both"/>
        <w:rPr>
          <w:rFonts w:ascii="Times New Roman" w:hAnsi="Times New Roman" w:cs="Times New Roman"/>
          <w:sz w:val="24"/>
          <w:szCs w:val="24"/>
        </w:rPr>
      </w:pPr>
    </w:p>
    <w:p w14:paraId="609611EB" w14:textId="77777777" w:rsidR="00C46809" w:rsidRPr="00C46809" w:rsidRDefault="00C46809" w:rsidP="00C46809">
      <w:pPr>
        <w:pStyle w:val="Bezodstpw"/>
        <w:spacing w:line="360" w:lineRule="auto"/>
        <w:ind w:firstLine="567"/>
        <w:jc w:val="both"/>
        <w:rPr>
          <w:rFonts w:ascii="Times New Roman" w:hAnsi="Times New Roman" w:cs="Times New Roman"/>
          <w:sz w:val="24"/>
          <w:szCs w:val="24"/>
        </w:rPr>
      </w:pPr>
      <w:r w:rsidRPr="00C46809">
        <w:rPr>
          <w:rFonts w:ascii="Times New Roman" w:hAnsi="Times New Roman" w:cs="Times New Roman"/>
          <w:sz w:val="24"/>
          <w:szCs w:val="24"/>
        </w:rPr>
        <w:t xml:space="preserve">W dniu 18 lutego 2025 r. Komisja Kodyfikacyjnej Ustroju Sądownictwa </w:t>
      </w:r>
      <w:r w:rsidRPr="00C46809">
        <w:rPr>
          <w:rFonts w:ascii="Times New Roman" w:hAnsi="Times New Roman" w:cs="Times New Roman"/>
          <w:sz w:val="24"/>
          <w:szCs w:val="24"/>
        </w:rPr>
        <w:br/>
        <w:t xml:space="preserve">i Prokuratury (dalej: </w:t>
      </w:r>
      <w:r w:rsidRPr="00C46809">
        <w:rPr>
          <w:rFonts w:ascii="Times New Roman" w:hAnsi="Times New Roman" w:cs="Times New Roman"/>
          <w:b/>
          <w:bCs/>
          <w:sz w:val="24"/>
          <w:szCs w:val="24"/>
        </w:rPr>
        <w:t>Komisja</w:t>
      </w:r>
      <w:r w:rsidRPr="00C46809">
        <w:rPr>
          <w:rFonts w:ascii="Times New Roman" w:hAnsi="Times New Roman" w:cs="Times New Roman"/>
          <w:sz w:val="24"/>
          <w:szCs w:val="24"/>
        </w:rPr>
        <w:t xml:space="preserve">) otrzymała celem zaopiniowania projekt ustawy o biegłych sądowych oraz instytucjach opiniujących wraz z uzasadnieniem oraz Oceną Skutków Regulacji (dalej: </w:t>
      </w:r>
      <w:r w:rsidRPr="00C46809">
        <w:rPr>
          <w:rFonts w:ascii="Times New Roman" w:hAnsi="Times New Roman" w:cs="Times New Roman"/>
          <w:b/>
          <w:bCs/>
          <w:sz w:val="24"/>
          <w:szCs w:val="24"/>
        </w:rPr>
        <w:t>Projekt</w:t>
      </w:r>
      <w:r w:rsidRPr="00C46809">
        <w:rPr>
          <w:rFonts w:ascii="Times New Roman" w:hAnsi="Times New Roman" w:cs="Times New Roman"/>
          <w:sz w:val="24"/>
          <w:szCs w:val="24"/>
        </w:rPr>
        <w:t>).</w:t>
      </w:r>
    </w:p>
    <w:p w14:paraId="783A5F66" w14:textId="77777777" w:rsidR="00C46809" w:rsidRPr="00C46809" w:rsidRDefault="00C46809" w:rsidP="00C46809">
      <w:pPr>
        <w:pStyle w:val="Bezodstpw"/>
        <w:spacing w:line="360" w:lineRule="auto"/>
        <w:ind w:firstLine="567"/>
        <w:jc w:val="both"/>
        <w:rPr>
          <w:rFonts w:ascii="Times New Roman" w:hAnsi="Times New Roman" w:cs="Times New Roman"/>
          <w:sz w:val="24"/>
          <w:szCs w:val="24"/>
        </w:rPr>
      </w:pPr>
      <w:r w:rsidRPr="00C46809">
        <w:rPr>
          <w:rFonts w:ascii="Times New Roman" w:hAnsi="Times New Roman" w:cs="Times New Roman"/>
          <w:sz w:val="24"/>
          <w:szCs w:val="24"/>
        </w:rPr>
        <w:t xml:space="preserve">Projekt stał się przedmiotem dyskusji na posiedzeniu Komisji w dniu 18 marca oraz 15 kwietnia 2025 r. Po przeprowadzonej dyskusji Komisja przyjęła następujące stanowisko w sprawie Projektu. </w:t>
      </w:r>
    </w:p>
    <w:p w14:paraId="726AD5FF" w14:textId="77777777" w:rsidR="00C46809" w:rsidRPr="00C46809" w:rsidRDefault="00C46809" w:rsidP="00C46809">
      <w:pPr>
        <w:pStyle w:val="Bezodstpw"/>
        <w:spacing w:line="360" w:lineRule="auto"/>
        <w:ind w:firstLine="284"/>
        <w:jc w:val="both"/>
        <w:rPr>
          <w:rFonts w:ascii="Times New Roman" w:hAnsi="Times New Roman" w:cs="Times New Roman"/>
          <w:sz w:val="24"/>
          <w:szCs w:val="24"/>
        </w:rPr>
      </w:pPr>
      <w:r w:rsidRPr="00C46809">
        <w:rPr>
          <w:rFonts w:ascii="Times New Roman" w:hAnsi="Times New Roman" w:cs="Times New Roman"/>
          <w:sz w:val="24"/>
          <w:szCs w:val="24"/>
        </w:rPr>
        <w:t xml:space="preserve">       </w:t>
      </w:r>
    </w:p>
    <w:p w14:paraId="07A080EA" w14:textId="77777777" w:rsidR="00C46809" w:rsidRPr="00C46809" w:rsidRDefault="00C46809" w:rsidP="00C46809">
      <w:pPr>
        <w:pStyle w:val="Bezodstpw"/>
        <w:numPr>
          <w:ilvl w:val="0"/>
          <w:numId w:val="6"/>
        </w:numPr>
        <w:spacing w:line="360" w:lineRule="auto"/>
        <w:jc w:val="both"/>
        <w:rPr>
          <w:rFonts w:ascii="Times New Roman" w:hAnsi="Times New Roman" w:cs="Times New Roman"/>
          <w:b/>
          <w:bCs/>
          <w:sz w:val="24"/>
          <w:szCs w:val="24"/>
        </w:rPr>
      </w:pPr>
      <w:r w:rsidRPr="00C46809">
        <w:rPr>
          <w:rFonts w:ascii="Times New Roman" w:hAnsi="Times New Roman" w:cs="Times New Roman"/>
          <w:b/>
          <w:bCs/>
          <w:i/>
          <w:iCs/>
          <w:sz w:val="24"/>
          <w:szCs w:val="24"/>
        </w:rPr>
        <w:t>Ratio legis</w:t>
      </w:r>
      <w:r w:rsidRPr="00C46809">
        <w:rPr>
          <w:rFonts w:ascii="Times New Roman" w:hAnsi="Times New Roman" w:cs="Times New Roman"/>
          <w:b/>
          <w:bCs/>
          <w:sz w:val="24"/>
          <w:szCs w:val="24"/>
        </w:rPr>
        <w:t xml:space="preserve"> Projektu</w:t>
      </w:r>
    </w:p>
    <w:p w14:paraId="337E4C6D" w14:textId="77777777" w:rsidR="00C46809" w:rsidRPr="00C46809" w:rsidRDefault="00C46809" w:rsidP="00C46809">
      <w:pPr>
        <w:pStyle w:val="Bezodstpw"/>
        <w:spacing w:line="360" w:lineRule="auto"/>
        <w:jc w:val="both"/>
        <w:rPr>
          <w:rFonts w:ascii="Times New Roman" w:hAnsi="Times New Roman" w:cs="Times New Roman"/>
          <w:sz w:val="24"/>
          <w:szCs w:val="24"/>
        </w:rPr>
      </w:pPr>
    </w:p>
    <w:p w14:paraId="0F46CD03" w14:textId="77777777" w:rsidR="00C46809" w:rsidRPr="00C46809" w:rsidRDefault="00C46809" w:rsidP="00C46809">
      <w:pPr>
        <w:pStyle w:val="Bezodstpw"/>
        <w:spacing w:line="360" w:lineRule="auto"/>
        <w:ind w:firstLine="567"/>
        <w:jc w:val="both"/>
        <w:rPr>
          <w:rFonts w:ascii="Times New Roman" w:hAnsi="Times New Roman" w:cs="Times New Roman"/>
          <w:sz w:val="24"/>
          <w:szCs w:val="24"/>
        </w:rPr>
      </w:pPr>
      <w:r w:rsidRPr="00C46809">
        <w:rPr>
          <w:rFonts w:ascii="Times New Roman" w:hAnsi="Times New Roman" w:cs="Times New Roman"/>
          <w:sz w:val="24"/>
          <w:szCs w:val="24"/>
        </w:rPr>
        <w:t xml:space="preserve">Przedmiotem Projektu – jak precyzuje się w jego uzasadnieniu – jest uregulowanie problematyki ustanawiania biegłych, w toku postępowań sądowych i prokuratorskich, w sposób zapewniający dostęp organów procesowych do wysoko kwalifikowanego korpusu ekspertów. Projekt stanowi zatem odpowiedź na istotny problem dotyczący wymiaru sprawiedliwości. Nie ulega bowiem wątpliwości Komisji, że ograniczony dostęp do rzetelnej opinii biegłego, wiedzy eksperckiej przedstawianej w rozsądnym terminie, jest istotnym problemem, prowadzącym często do nieuzasadnionej przewlekłości postępowania. </w:t>
      </w:r>
    </w:p>
    <w:p w14:paraId="2A33B6A5" w14:textId="77777777" w:rsidR="00C46809" w:rsidRPr="00C46809" w:rsidRDefault="00C46809" w:rsidP="00C46809">
      <w:pPr>
        <w:pStyle w:val="Bezodstpw"/>
        <w:spacing w:line="360" w:lineRule="auto"/>
        <w:ind w:firstLine="567"/>
        <w:jc w:val="both"/>
        <w:rPr>
          <w:rFonts w:ascii="Times New Roman" w:hAnsi="Times New Roman" w:cs="Times New Roman"/>
          <w:sz w:val="24"/>
          <w:szCs w:val="24"/>
        </w:rPr>
      </w:pPr>
      <w:r w:rsidRPr="00C46809">
        <w:rPr>
          <w:rFonts w:ascii="Times New Roman" w:hAnsi="Times New Roman" w:cs="Times New Roman"/>
          <w:sz w:val="24"/>
          <w:szCs w:val="24"/>
        </w:rPr>
        <w:lastRenderedPageBreak/>
        <w:t>Przez dekady brakowało bowiem aktu prawnego regulującego całościowo funkcjonowanie biegłych indywidualnych i instytucji opiniujących na potrzeby różnych elementów szeroko rozumianego wymiaru sprawiedliwości: sądów, Prokuratury, organów ścigania, co było niezrozumiałe i rodziło poważne problemy. Zarówno na płaszczyźnie współpracy pomiędzy organami procesowymi a takimi podmiotami, ale przede wszystkim w aspekcie stopnia pewności co do fachowości i poziomu wiedzy specjalnej, którą dysponować winien konkretny biegły.</w:t>
      </w:r>
    </w:p>
    <w:p w14:paraId="1CF2A785" w14:textId="77777777" w:rsidR="00C46809" w:rsidRPr="00C46809" w:rsidRDefault="00C46809" w:rsidP="00C46809">
      <w:pPr>
        <w:pStyle w:val="Bezodstpw"/>
        <w:spacing w:line="360" w:lineRule="auto"/>
        <w:ind w:firstLine="567"/>
        <w:jc w:val="both"/>
        <w:rPr>
          <w:rFonts w:ascii="Times New Roman" w:hAnsi="Times New Roman" w:cs="Times New Roman"/>
          <w:sz w:val="24"/>
          <w:szCs w:val="24"/>
        </w:rPr>
      </w:pPr>
      <w:r w:rsidRPr="00C46809">
        <w:rPr>
          <w:rFonts w:ascii="Times New Roman" w:hAnsi="Times New Roman" w:cs="Times New Roman"/>
          <w:sz w:val="24"/>
          <w:szCs w:val="24"/>
        </w:rPr>
        <w:t xml:space="preserve">Projekt dostrzega tę lukę i zamierza ją wypełnić, co należy uznać za jego istotną zaletę. Przyjęty kierunek zmian normatywnych rodzi jednak opisane niżej poważne wątpliwości i istotnych wymaga zmian, choć sama inicjatywa ustawodawcza i jej </w:t>
      </w:r>
      <w:r w:rsidRPr="00C46809">
        <w:rPr>
          <w:rFonts w:ascii="Times New Roman" w:hAnsi="Times New Roman" w:cs="Times New Roman"/>
          <w:i/>
          <w:iCs/>
          <w:sz w:val="24"/>
          <w:szCs w:val="24"/>
        </w:rPr>
        <w:t>ratio legis</w:t>
      </w:r>
      <w:r w:rsidRPr="00C46809">
        <w:rPr>
          <w:rFonts w:ascii="Times New Roman" w:hAnsi="Times New Roman" w:cs="Times New Roman"/>
          <w:sz w:val="24"/>
          <w:szCs w:val="24"/>
        </w:rPr>
        <w:t xml:space="preserve"> zasługują na pełna aprobatę.  </w:t>
      </w:r>
    </w:p>
    <w:p w14:paraId="2411490C" w14:textId="77777777" w:rsidR="00C46809" w:rsidRPr="00C46809" w:rsidRDefault="00C46809" w:rsidP="00C46809">
      <w:pPr>
        <w:pStyle w:val="Bezodstpw"/>
        <w:spacing w:line="360" w:lineRule="auto"/>
        <w:ind w:firstLine="567"/>
        <w:jc w:val="both"/>
        <w:rPr>
          <w:rFonts w:ascii="Times New Roman" w:hAnsi="Times New Roman" w:cs="Times New Roman"/>
          <w:sz w:val="24"/>
          <w:szCs w:val="24"/>
        </w:rPr>
      </w:pPr>
    </w:p>
    <w:p w14:paraId="462C1FE2" w14:textId="77777777" w:rsidR="00C46809" w:rsidRPr="00C46809" w:rsidRDefault="00C46809" w:rsidP="00C46809">
      <w:pPr>
        <w:pStyle w:val="Bezodstpw"/>
        <w:numPr>
          <w:ilvl w:val="0"/>
          <w:numId w:val="6"/>
        </w:numPr>
        <w:spacing w:line="360" w:lineRule="auto"/>
        <w:jc w:val="both"/>
        <w:rPr>
          <w:rFonts w:ascii="Times New Roman" w:hAnsi="Times New Roman" w:cs="Times New Roman"/>
          <w:b/>
          <w:bCs/>
          <w:sz w:val="24"/>
          <w:szCs w:val="24"/>
        </w:rPr>
      </w:pPr>
      <w:r w:rsidRPr="00C46809">
        <w:rPr>
          <w:rFonts w:ascii="Times New Roman" w:hAnsi="Times New Roman" w:cs="Times New Roman"/>
          <w:b/>
          <w:bCs/>
          <w:sz w:val="24"/>
          <w:szCs w:val="24"/>
        </w:rPr>
        <w:t xml:space="preserve">Uwagi systemowe do treści Projektu </w:t>
      </w:r>
    </w:p>
    <w:p w14:paraId="25D008BB" w14:textId="77777777" w:rsidR="00C46809" w:rsidRPr="00C46809" w:rsidRDefault="00C46809" w:rsidP="00C46809">
      <w:pPr>
        <w:pStyle w:val="Bezodstpw"/>
        <w:spacing w:line="360" w:lineRule="auto"/>
        <w:jc w:val="both"/>
        <w:rPr>
          <w:rFonts w:ascii="Times New Roman" w:hAnsi="Times New Roman" w:cs="Times New Roman"/>
          <w:sz w:val="24"/>
          <w:szCs w:val="24"/>
        </w:rPr>
      </w:pPr>
    </w:p>
    <w:p w14:paraId="38EBA96D" w14:textId="77777777" w:rsidR="00C46809" w:rsidRPr="00C46809" w:rsidRDefault="00C46809" w:rsidP="00C46809">
      <w:pPr>
        <w:pStyle w:val="Bezodstpw"/>
        <w:spacing w:line="360" w:lineRule="auto"/>
        <w:ind w:firstLine="567"/>
        <w:jc w:val="both"/>
        <w:rPr>
          <w:rFonts w:ascii="Times New Roman" w:hAnsi="Times New Roman" w:cs="Times New Roman"/>
          <w:sz w:val="24"/>
          <w:szCs w:val="24"/>
        </w:rPr>
      </w:pPr>
      <w:r w:rsidRPr="00C46809">
        <w:rPr>
          <w:rFonts w:ascii="Times New Roman" w:hAnsi="Times New Roman" w:cs="Times New Roman"/>
          <w:sz w:val="24"/>
          <w:szCs w:val="24"/>
        </w:rPr>
        <w:t>Dokonując analizy prawnej Projektu w pierwszej kolejności należy odnieść się do zagadnień systemowych, zasadniczych rozstrzygnięć normatywnych przyjętych w projekcie oraz trafności, racjonalności i celowości projektowanego kierunku zmian prawnych.</w:t>
      </w:r>
    </w:p>
    <w:p w14:paraId="43CF9CFB" w14:textId="77777777" w:rsidR="00C46809" w:rsidRPr="00C46809" w:rsidRDefault="00C46809" w:rsidP="00C46809">
      <w:pPr>
        <w:pStyle w:val="Bezodstpw"/>
        <w:spacing w:line="360" w:lineRule="auto"/>
        <w:ind w:firstLine="567"/>
        <w:jc w:val="both"/>
        <w:rPr>
          <w:rFonts w:ascii="Times New Roman" w:hAnsi="Times New Roman" w:cs="Times New Roman"/>
          <w:sz w:val="24"/>
          <w:szCs w:val="24"/>
        </w:rPr>
      </w:pPr>
      <w:r w:rsidRPr="00C46809">
        <w:rPr>
          <w:rFonts w:ascii="Times New Roman" w:hAnsi="Times New Roman" w:cs="Times New Roman"/>
          <w:sz w:val="24"/>
          <w:szCs w:val="24"/>
        </w:rPr>
        <w:t xml:space="preserve">Projekt trafnie diagnozuje opisany wyżej problem regulacyjny, jednakże zasadnicze środki proponowane w celu jego rozwiązania – w ocenie Komisji – należy uznać co najmniej za nieproporcjonalne. Mianowicie: </w:t>
      </w:r>
    </w:p>
    <w:p w14:paraId="0EC60F9F" w14:textId="77777777" w:rsidR="00C46809" w:rsidRPr="00C46809" w:rsidRDefault="00C46809" w:rsidP="00C46809">
      <w:pPr>
        <w:pStyle w:val="Bezodstpw"/>
        <w:numPr>
          <w:ilvl w:val="0"/>
          <w:numId w:val="7"/>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 xml:space="preserve">Projekt przewiduje powołanie Komisji Certyfikacyjnej Biegłych Sądowych i Instytucji Opiniujących (dalej: </w:t>
      </w:r>
      <w:r w:rsidRPr="00C46809">
        <w:rPr>
          <w:rFonts w:ascii="Times New Roman" w:hAnsi="Times New Roman" w:cs="Times New Roman"/>
          <w:b/>
          <w:bCs/>
          <w:sz w:val="24"/>
          <w:szCs w:val="24"/>
        </w:rPr>
        <w:t>Komisja Certyfikacyjna</w:t>
      </w:r>
      <w:r w:rsidRPr="00C46809">
        <w:rPr>
          <w:rFonts w:ascii="Times New Roman" w:hAnsi="Times New Roman" w:cs="Times New Roman"/>
          <w:sz w:val="24"/>
          <w:szCs w:val="24"/>
        </w:rPr>
        <w:t xml:space="preserve">), działającej na rzecz zapewnienia jakości opiniowania przez biegłych sądowych i instytucje opiniujące na zlecenie organów prowadzących postępowanie (art. 8 ust. 1 Projektu). Komisja Certyfikująca ma być centralnym organem administracji rządowej (art. 8 ust. 2 Projektu), W skład Komisji Certyfikacyjnej ma wejść 25 osób powołanych na 5 – letnią kadencję. Obsługę administracyjną Komisji Certyfikacyjnej ma zapewniać Biuro Komisji Certyfikacyjnej, kierowane przez Dyrektora Biura (art. 19 Projektu). </w:t>
      </w:r>
    </w:p>
    <w:p w14:paraId="5F51F058" w14:textId="77777777" w:rsidR="00C46809" w:rsidRPr="00C46809" w:rsidRDefault="00C46809" w:rsidP="00C46809">
      <w:pPr>
        <w:pStyle w:val="Bezodstpw"/>
        <w:numPr>
          <w:ilvl w:val="0"/>
          <w:numId w:val="7"/>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lastRenderedPageBreak/>
        <w:t>Do zadań Komisji Certyfikacyjnej należy przede wszystkim organizowanie procesu weryfikacji kandydatów na biegłych sądowych i instytucji opiniujących, występowanie do Ministra Sprawiedliwości o wpis biegłego do rejestru, powoływanie zespołów oceniających kandydatów na biegłych, a także szereg kompetencji standaryzacyjnych, kontrolnych oraz sprawozdawczych (art. 14 Projektu). Ponadto Komisja Certyfikacyjna ma współpracować z Radą Biegłych utworzoną przy Ministrze Sprawiedliwości. Niektóre kompetencje powierzone Komisji Certyfikacyjnej wydają się dość enigmatyczne i wymagałyby dookreślenia. Przykładowo, prawo do „</w:t>
      </w:r>
      <w:r w:rsidRPr="00C46809">
        <w:rPr>
          <w:rFonts w:ascii="Times New Roman" w:hAnsi="Times New Roman" w:cs="Times New Roman"/>
          <w:i/>
          <w:iCs/>
          <w:sz w:val="24"/>
          <w:szCs w:val="24"/>
        </w:rPr>
        <w:t>zatwierdzania czasochłonności procedur stosowanych w różnych rodzajach badań</w:t>
      </w:r>
      <w:r w:rsidRPr="00C46809">
        <w:rPr>
          <w:rFonts w:ascii="Times New Roman" w:hAnsi="Times New Roman" w:cs="Times New Roman"/>
          <w:sz w:val="24"/>
          <w:szCs w:val="24"/>
        </w:rPr>
        <w:t>” może prowadzić do nadmiernej ingerencji w autonomię badawczą biegłego i limitowania czasu na ekspertyzę, gdy złożoność sprawy tego czasu wymaga.</w:t>
      </w:r>
    </w:p>
    <w:p w14:paraId="657E58E7" w14:textId="77777777" w:rsidR="00C46809" w:rsidRPr="00C46809" w:rsidRDefault="00C46809" w:rsidP="00C46809">
      <w:pPr>
        <w:pStyle w:val="Bezodstpw"/>
        <w:numPr>
          <w:ilvl w:val="0"/>
          <w:numId w:val="7"/>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 xml:space="preserve">Komisja Certyfikacyjna, jako centralny organ administracji rządowej, ma zostać obdarzona szeroką autonomią budżetową. Koszty działalności Komisji Certyfikacyjnej mają być pokrywane bezpośrednio z budżetu państwa, a wydatki i dochody Komisji Certyfikacyjnej mają stanowić odrębna część budżetu państwa, której dysponentem ma być przewodniczący Komisji Certyfikacyjnej (art. 21 Projektu).  </w:t>
      </w:r>
    </w:p>
    <w:p w14:paraId="3B257634" w14:textId="77777777" w:rsidR="00C46809" w:rsidRPr="00C46809" w:rsidRDefault="00C46809" w:rsidP="00C46809">
      <w:pPr>
        <w:pStyle w:val="Bezodstpw"/>
        <w:numPr>
          <w:ilvl w:val="0"/>
          <w:numId w:val="7"/>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Projekt tworzy Krajowy Rejestr Biegłych Sądowych i Instytucji Oceniających.</w:t>
      </w:r>
    </w:p>
    <w:p w14:paraId="27346C07" w14:textId="77777777" w:rsidR="00C46809" w:rsidRPr="00C46809" w:rsidRDefault="00C46809" w:rsidP="00C46809">
      <w:pPr>
        <w:pStyle w:val="Bezodstpw"/>
        <w:numPr>
          <w:ilvl w:val="0"/>
          <w:numId w:val="7"/>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 xml:space="preserve">Projekt powołuje przy Ministrze Sprawiedliwości Radę Biegłych Sądowych, organ opiniodawczo – doradczy składających się z 25 osób powołanych przez Ministra Sprawiedliwości na 4 lata. </w:t>
      </w:r>
    </w:p>
    <w:p w14:paraId="212118CB" w14:textId="77777777" w:rsidR="00C46809" w:rsidRPr="00C46809" w:rsidRDefault="00C46809" w:rsidP="00C46809">
      <w:pPr>
        <w:pStyle w:val="Bezodstpw"/>
        <w:numPr>
          <w:ilvl w:val="0"/>
          <w:numId w:val="7"/>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 xml:space="preserve">Projekt w art. 110 przewiduje, że jego wejście w życie w 2026 r. pociągnie za sobą koszt dla budżetu państwa w wysokości (sic !) 1 856 000 000 mln zł (w OSR wskazuje się bardziej realną, choć także bardzo wysoką kwotę 1 856 mln zł). W kolejnych latach koszt ten będzie sukcesywnie rósł aż do kwoty 3 063 000 000 mln zł w 2035 r. (w OSR wskazuje się 3 063 mln zł).  </w:t>
      </w:r>
    </w:p>
    <w:p w14:paraId="0DC0EBD5" w14:textId="77777777" w:rsidR="00C46809" w:rsidRPr="00C46809" w:rsidRDefault="00C46809" w:rsidP="00C46809">
      <w:pPr>
        <w:pStyle w:val="Bezodstpw"/>
        <w:spacing w:line="360" w:lineRule="auto"/>
        <w:jc w:val="both"/>
        <w:rPr>
          <w:rFonts w:ascii="Times New Roman" w:hAnsi="Times New Roman" w:cs="Times New Roman"/>
          <w:sz w:val="24"/>
          <w:szCs w:val="24"/>
        </w:rPr>
      </w:pPr>
    </w:p>
    <w:p w14:paraId="3D23F3D1" w14:textId="77777777" w:rsidR="00C46809" w:rsidRPr="00C46809" w:rsidRDefault="00C46809" w:rsidP="00C46809">
      <w:pPr>
        <w:pStyle w:val="Bezodstpw"/>
        <w:spacing w:line="360" w:lineRule="auto"/>
        <w:ind w:firstLine="567"/>
        <w:jc w:val="both"/>
        <w:rPr>
          <w:rFonts w:ascii="Times New Roman" w:hAnsi="Times New Roman" w:cs="Times New Roman"/>
          <w:sz w:val="24"/>
          <w:szCs w:val="24"/>
        </w:rPr>
      </w:pPr>
      <w:r w:rsidRPr="00C46809">
        <w:rPr>
          <w:rFonts w:ascii="Times New Roman" w:hAnsi="Times New Roman" w:cs="Times New Roman"/>
          <w:sz w:val="24"/>
          <w:szCs w:val="24"/>
        </w:rPr>
        <w:lastRenderedPageBreak/>
        <w:t xml:space="preserve">Komisja ma poważne wątpliwości, czy rozwiązanie stwierdzonego problemu regulacyjnego, tj. zapewnienie stabilności normatywnej w zakresie zasad udziału biegłych sądowych w funkcjonowaniu wymiaru sprawiedliwości, podniesienia jakości i sprawności opracowywania opinii biegłego w toku postępowania sądowego, wymaga aż tak daleko idących działań o charakterze administracyjnym, biurokratycznym i infrastrukturalnym. Zamierzony cel – w ocenie Komisji – można zrealizować bez konieczności powoływania centralnego organu administracji rządowej, wyodrębniania dla niego osobnej części budżetowej oraz – przede wszystkim – przy znacznie oszczędniejszym gospodarowaniu środkami publicznymi (niezależnie od pomyłki znajdującej się w art. 110 Projektu). </w:t>
      </w:r>
    </w:p>
    <w:p w14:paraId="274D5D90" w14:textId="77777777" w:rsidR="00C46809" w:rsidRPr="00C46809" w:rsidRDefault="00C46809" w:rsidP="00C46809">
      <w:pPr>
        <w:pStyle w:val="Bezodstpw"/>
        <w:spacing w:line="360" w:lineRule="auto"/>
        <w:ind w:firstLine="567"/>
        <w:jc w:val="both"/>
        <w:rPr>
          <w:rFonts w:ascii="Times New Roman" w:hAnsi="Times New Roman" w:cs="Times New Roman"/>
          <w:sz w:val="24"/>
          <w:szCs w:val="24"/>
        </w:rPr>
      </w:pPr>
      <w:r w:rsidRPr="00C46809">
        <w:rPr>
          <w:rFonts w:ascii="Times New Roman" w:hAnsi="Times New Roman" w:cs="Times New Roman"/>
          <w:sz w:val="24"/>
          <w:szCs w:val="24"/>
        </w:rPr>
        <w:t xml:space="preserve">Wydaje się także, że projekt nie rozwiązuje, a przynajmniej nie w pełni, jednego z istotnych z punktu widzenia obywatela problemów, a więc stopnia dostępności opiniujących. Obecne braki w niektórych specjalnościach, albo niewystarczająca liczba biegłych, powodują istotne opóźnienia postępowania (co zauważono także w uzasadnieniu projektu na s. 56). Jako przykład można podać ekspertyzy w sprawach karnych w zakresie sądowo-psychiatrycznym, co zauważalnie przekłada się na sprawność postępowania przygotowawczego, a co za tym idzie wpływa np. na czas trwania środków zapobiegawczych (w tym tymczasowego aresztowania). </w:t>
      </w:r>
    </w:p>
    <w:p w14:paraId="5E0B1F79" w14:textId="77777777" w:rsidR="00C46809" w:rsidRPr="00C46809" w:rsidRDefault="00C46809" w:rsidP="00C46809">
      <w:pPr>
        <w:pStyle w:val="Bezodstpw"/>
        <w:spacing w:line="360" w:lineRule="auto"/>
        <w:ind w:firstLine="567"/>
        <w:jc w:val="both"/>
        <w:rPr>
          <w:rFonts w:ascii="Times New Roman" w:hAnsi="Times New Roman" w:cs="Times New Roman"/>
          <w:sz w:val="24"/>
          <w:szCs w:val="24"/>
        </w:rPr>
      </w:pPr>
      <w:r w:rsidRPr="00C46809">
        <w:rPr>
          <w:rFonts w:ascii="Times New Roman" w:hAnsi="Times New Roman" w:cs="Times New Roman"/>
          <w:sz w:val="24"/>
          <w:szCs w:val="24"/>
        </w:rPr>
        <w:t xml:space="preserve">Skupienie się projektodawców na kwestii podniesienia jakości opiniowania, w przypadku uchwalenia ustawy w takim kształcie,  niewątpliwie spowoduje w efekcie zwiększenie wymagań o charakterze administracyjnym, a co z tym idzie w naturalny sposób może zmniejszyć liczbę chętnych do uzyskania certyfikatu biegłego. </w:t>
      </w:r>
    </w:p>
    <w:p w14:paraId="6BC34DB4" w14:textId="77777777" w:rsidR="00C46809" w:rsidRPr="00C46809" w:rsidRDefault="00C46809" w:rsidP="00C46809">
      <w:pPr>
        <w:pStyle w:val="Bezodstpw"/>
        <w:spacing w:line="360" w:lineRule="auto"/>
        <w:ind w:firstLine="567"/>
        <w:jc w:val="both"/>
        <w:rPr>
          <w:rFonts w:ascii="Times New Roman" w:hAnsi="Times New Roman" w:cs="Times New Roman"/>
          <w:sz w:val="24"/>
          <w:szCs w:val="24"/>
        </w:rPr>
      </w:pPr>
      <w:r w:rsidRPr="00C46809">
        <w:rPr>
          <w:rFonts w:ascii="Times New Roman" w:hAnsi="Times New Roman" w:cs="Times New Roman"/>
          <w:sz w:val="24"/>
          <w:szCs w:val="24"/>
        </w:rPr>
        <w:t xml:space="preserve">Ujednolicenia standardów i podniesienia wymagań merytorycznych dla osób mających mieć „uprawnienia do wykonywania czynności biegłego sądowego” (por. art. 26 ust. 1 Projektu) samo w sobie jest rozwiązaniem absolutnie trafnym. Jednak z drugiej strony, w niektórych regulacjach tworzony jest stan, który może ograniczać dostępność biegłych, np. związanie biegłych z okręgiem sądu apelacyjnego – art. 27 ust. 7 Projektu, art. 62 pkt 5 Projektu,  a zwłaszcza art. 73 ust. 1 Projektu. Co dodatkowo nie wydaje się być spójne z koncepcją jednolitej i </w:t>
      </w:r>
      <w:r w:rsidRPr="00C46809">
        <w:rPr>
          <w:rFonts w:ascii="Times New Roman" w:hAnsi="Times New Roman" w:cs="Times New Roman"/>
          <w:sz w:val="24"/>
          <w:szCs w:val="24"/>
        </w:rPr>
        <w:lastRenderedPageBreak/>
        <w:t>ogólnopolskiej organizacji opiniowania przez osoby posiadające wiadomości specjalne. Projekt przewiduje również rozbudowane postępowanie certyfikacyjne składając się z postępowania przed Zespołem Opiniującym, który orzeka na podstawie dokumentów i rozmowy kwalifikacyjnej z możliwością zobowiązania kandydata do sporządzenia opinii próbnej (art. 31 Projektu), a następnie Komisją (połączone z uzyskaniem stosownych informacji  - art. 32 ust. 3 Projektu), z uwzględnieniem wielu wymagań (art. 27 ust. 3 i 6 Projektu, art. 28 ust. 1 Projektu). Dodatkowo postępowanie certyfikacyjne jest odpłatne (art. 33 ust. 5 Projektu), a prawo do wykonania czynności biegłego sądowego wymaga złożenia ślubowania i wpisu do Rejestru (art. 35 ust. 1 Projektu).</w:t>
      </w:r>
    </w:p>
    <w:p w14:paraId="3E88F00C" w14:textId="77777777" w:rsidR="00C46809" w:rsidRPr="00C46809" w:rsidRDefault="00C46809" w:rsidP="00C46809">
      <w:pPr>
        <w:pStyle w:val="Bezodstpw"/>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 xml:space="preserve">         Istnieje zatem potrzeba wyważenia między administracyjną procedurą uzyskania certyfikatu, która nie byłaby zniechęcająca do jego zdobycia, a odpowiednimi wymaganiami merytorycznymi. Wydaje się, że należałoby się zastanowić jeszcze nad wzbogaceniem mechanizmów lub korzyści (poza finansowymi), które podniosłyby atrakcyjność pozycji biegłego sądowego, zachęcałyby do trudu uzyskania certyfikatu, a więc poprawiłyby sytuację z punktu widzenia ich dostępności.</w:t>
      </w:r>
    </w:p>
    <w:p w14:paraId="266DC75D" w14:textId="77777777" w:rsidR="00C46809" w:rsidRPr="00C46809" w:rsidRDefault="00C46809" w:rsidP="00C46809">
      <w:pPr>
        <w:pStyle w:val="Bezodstpw"/>
        <w:spacing w:line="360" w:lineRule="auto"/>
        <w:jc w:val="both"/>
        <w:rPr>
          <w:rFonts w:ascii="Times New Roman" w:hAnsi="Times New Roman" w:cs="Times New Roman"/>
          <w:sz w:val="24"/>
          <w:szCs w:val="24"/>
        </w:rPr>
      </w:pPr>
    </w:p>
    <w:p w14:paraId="5C860DCE" w14:textId="77777777" w:rsidR="00C46809" w:rsidRPr="00C46809" w:rsidRDefault="00C46809" w:rsidP="00C46809">
      <w:pPr>
        <w:pStyle w:val="Bezodstpw"/>
        <w:numPr>
          <w:ilvl w:val="0"/>
          <w:numId w:val="6"/>
        </w:numPr>
        <w:spacing w:line="360" w:lineRule="auto"/>
        <w:jc w:val="both"/>
        <w:rPr>
          <w:rFonts w:ascii="Times New Roman" w:hAnsi="Times New Roman" w:cs="Times New Roman"/>
          <w:b/>
          <w:bCs/>
          <w:sz w:val="24"/>
          <w:szCs w:val="24"/>
        </w:rPr>
      </w:pPr>
      <w:r w:rsidRPr="00C46809">
        <w:rPr>
          <w:rFonts w:ascii="Times New Roman" w:hAnsi="Times New Roman" w:cs="Times New Roman"/>
          <w:b/>
          <w:bCs/>
          <w:sz w:val="24"/>
          <w:szCs w:val="24"/>
        </w:rPr>
        <w:t xml:space="preserve">Uwagi szczegółowe do treści Projektu </w:t>
      </w:r>
    </w:p>
    <w:p w14:paraId="1DCC7B91" w14:textId="77777777" w:rsidR="00C46809" w:rsidRPr="00C46809" w:rsidRDefault="00C46809" w:rsidP="00C46809">
      <w:pPr>
        <w:pStyle w:val="Bezodstpw"/>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 xml:space="preserve">           </w:t>
      </w:r>
    </w:p>
    <w:p w14:paraId="48AD3A73" w14:textId="77777777" w:rsidR="00C46809" w:rsidRPr="00C46809" w:rsidRDefault="00C46809" w:rsidP="00C46809">
      <w:pPr>
        <w:pStyle w:val="Bezodstpw"/>
        <w:spacing w:line="360" w:lineRule="auto"/>
        <w:ind w:firstLine="567"/>
        <w:jc w:val="both"/>
        <w:rPr>
          <w:rFonts w:ascii="Times New Roman" w:hAnsi="Times New Roman" w:cs="Times New Roman"/>
          <w:sz w:val="24"/>
          <w:szCs w:val="24"/>
        </w:rPr>
      </w:pPr>
      <w:r w:rsidRPr="00C46809">
        <w:rPr>
          <w:rFonts w:ascii="Times New Roman" w:hAnsi="Times New Roman" w:cs="Times New Roman"/>
          <w:sz w:val="24"/>
          <w:szCs w:val="24"/>
        </w:rPr>
        <w:t>Komisja przedstawia poniżej następujące bardziej szczegółowe uwagi, wątpliwości i propozycje co do kształtu projektu i jego konkretnych przepisów:</w:t>
      </w:r>
    </w:p>
    <w:p w14:paraId="38A82046" w14:textId="77777777" w:rsidR="00C46809" w:rsidRPr="00C46809" w:rsidRDefault="00C46809" w:rsidP="00C46809">
      <w:pPr>
        <w:pStyle w:val="Bezodstpw"/>
        <w:spacing w:line="360" w:lineRule="auto"/>
        <w:jc w:val="both"/>
        <w:rPr>
          <w:rFonts w:ascii="Times New Roman" w:hAnsi="Times New Roman" w:cs="Times New Roman"/>
          <w:sz w:val="24"/>
          <w:szCs w:val="24"/>
        </w:rPr>
      </w:pPr>
    </w:p>
    <w:p w14:paraId="24EAF6BF"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art.5 ust.1 Projektu</w:t>
      </w:r>
      <w:r w:rsidRPr="00C46809">
        <w:rPr>
          <w:rFonts w:ascii="Times New Roman" w:hAnsi="Times New Roman" w:cs="Times New Roman"/>
          <w:sz w:val="24"/>
          <w:szCs w:val="24"/>
        </w:rPr>
        <w:t>: Przepis stwierdza „</w:t>
      </w:r>
      <w:r w:rsidRPr="00C46809">
        <w:rPr>
          <w:rFonts w:ascii="Times New Roman" w:hAnsi="Times New Roman" w:cs="Times New Roman"/>
          <w:i/>
          <w:iCs/>
          <w:sz w:val="24"/>
          <w:szCs w:val="24"/>
        </w:rPr>
        <w:t>Biegły sądowy oraz osoba wydająca opinię w imieniu instytucji opiniującej w związku z wykonywaniem czynności biegłego sądowego korzystają z ochrony prawnej przysługującej funkcjonariuszom publicznym</w:t>
      </w:r>
      <w:r w:rsidRPr="00C46809">
        <w:rPr>
          <w:rFonts w:ascii="Times New Roman" w:hAnsi="Times New Roman" w:cs="Times New Roman"/>
          <w:sz w:val="24"/>
          <w:szCs w:val="24"/>
        </w:rPr>
        <w:t xml:space="preserve">.”. Uzasadnienie Projektu nie rozwija tej kwestii. Należałoby przynajmniej doprecyzować w przepisie, że mowa tu o ochronie wynikającej z przepisów kodeksu karnego, jak np. czyni to art.5 ust.1 ustawy z dnia 8 września 2006 r. </w:t>
      </w:r>
      <w:r w:rsidRPr="00C46809">
        <w:rPr>
          <w:rFonts w:ascii="Times New Roman" w:hAnsi="Times New Roman" w:cs="Times New Roman"/>
          <w:i/>
          <w:iCs/>
          <w:sz w:val="24"/>
          <w:szCs w:val="24"/>
        </w:rPr>
        <w:t xml:space="preserve">o Państwowym Ratownictwie Medycznym </w:t>
      </w:r>
      <w:r w:rsidRPr="00C46809">
        <w:rPr>
          <w:rFonts w:ascii="Times New Roman" w:hAnsi="Times New Roman" w:cs="Times New Roman"/>
          <w:sz w:val="24"/>
          <w:szCs w:val="24"/>
        </w:rPr>
        <w:t>(</w:t>
      </w:r>
      <w:proofErr w:type="spellStart"/>
      <w:r w:rsidRPr="00C46809">
        <w:rPr>
          <w:rFonts w:ascii="Times New Roman" w:hAnsi="Times New Roman" w:cs="Times New Roman"/>
          <w:sz w:val="24"/>
          <w:szCs w:val="24"/>
        </w:rPr>
        <w:t>t.j</w:t>
      </w:r>
      <w:proofErr w:type="spellEnd"/>
      <w:r w:rsidRPr="00C46809">
        <w:rPr>
          <w:rFonts w:ascii="Times New Roman" w:hAnsi="Times New Roman" w:cs="Times New Roman"/>
          <w:sz w:val="24"/>
          <w:szCs w:val="24"/>
        </w:rPr>
        <w:t>. Dz. U. z 2025 r. poz. 91).</w:t>
      </w:r>
    </w:p>
    <w:p w14:paraId="6508C4A4"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lastRenderedPageBreak/>
        <w:t>art.8 ust.3</w:t>
      </w:r>
      <w:r w:rsidRPr="00C46809">
        <w:rPr>
          <w:rFonts w:ascii="Times New Roman" w:hAnsi="Times New Roman" w:cs="Times New Roman"/>
          <w:sz w:val="24"/>
          <w:szCs w:val="24"/>
        </w:rPr>
        <w:t xml:space="preserve"> oraz </w:t>
      </w:r>
      <w:r w:rsidRPr="00C46809">
        <w:rPr>
          <w:rFonts w:ascii="Times New Roman" w:hAnsi="Times New Roman" w:cs="Times New Roman"/>
          <w:b/>
          <w:bCs/>
          <w:sz w:val="24"/>
          <w:szCs w:val="24"/>
        </w:rPr>
        <w:t>art.21 ust.1 i 2 Projektu</w:t>
      </w:r>
      <w:r w:rsidRPr="00C46809">
        <w:rPr>
          <w:rFonts w:ascii="Times New Roman" w:hAnsi="Times New Roman" w:cs="Times New Roman"/>
          <w:sz w:val="24"/>
          <w:szCs w:val="24"/>
        </w:rPr>
        <w:t xml:space="preserve">: Przepisy stanowią, Komisja Certyfikacyjna jest centralnym organem administracji rządowej nadzorowanym przez Ministra Sprawiedliwości, a jej dochody i wydatki stanowią odrębną część w budżecie państwa. Taka regulacja – poza zasadniczymi, przywołanymi wyżej – budzi wątpliwości z punktu widzenia spójności ustrojowej i terminologicznej. Ustawa z dnia 4 września 1997 r. </w:t>
      </w:r>
      <w:r w:rsidRPr="00C46809">
        <w:rPr>
          <w:rFonts w:ascii="Times New Roman" w:hAnsi="Times New Roman" w:cs="Times New Roman"/>
          <w:i/>
          <w:iCs/>
          <w:sz w:val="24"/>
          <w:szCs w:val="24"/>
        </w:rPr>
        <w:t>o działach administracji rządowej</w:t>
      </w:r>
      <w:r w:rsidRPr="00C46809">
        <w:rPr>
          <w:rFonts w:ascii="Times New Roman" w:hAnsi="Times New Roman" w:cs="Times New Roman"/>
          <w:sz w:val="24"/>
          <w:szCs w:val="24"/>
        </w:rPr>
        <w:t xml:space="preserve"> (</w:t>
      </w:r>
      <w:proofErr w:type="spellStart"/>
      <w:r w:rsidRPr="00C46809">
        <w:rPr>
          <w:rFonts w:ascii="Times New Roman" w:hAnsi="Times New Roman" w:cs="Times New Roman"/>
          <w:sz w:val="24"/>
          <w:szCs w:val="24"/>
        </w:rPr>
        <w:t>t.j</w:t>
      </w:r>
      <w:proofErr w:type="spellEnd"/>
      <w:r w:rsidRPr="00C46809">
        <w:rPr>
          <w:rFonts w:ascii="Times New Roman" w:hAnsi="Times New Roman" w:cs="Times New Roman"/>
          <w:sz w:val="24"/>
          <w:szCs w:val="24"/>
        </w:rPr>
        <w:t xml:space="preserve">. Dz. U. z 2024 r. poz. 1370 z </w:t>
      </w:r>
      <w:proofErr w:type="spellStart"/>
      <w:r w:rsidRPr="00C46809">
        <w:rPr>
          <w:rFonts w:ascii="Times New Roman" w:hAnsi="Times New Roman" w:cs="Times New Roman"/>
          <w:sz w:val="24"/>
          <w:szCs w:val="24"/>
        </w:rPr>
        <w:t>późn</w:t>
      </w:r>
      <w:proofErr w:type="spellEnd"/>
      <w:r w:rsidRPr="00C46809">
        <w:rPr>
          <w:rFonts w:ascii="Times New Roman" w:hAnsi="Times New Roman" w:cs="Times New Roman"/>
          <w:sz w:val="24"/>
          <w:szCs w:val="24"/>
        </w:rPr>
        <w:t xml:space="preserve">. zm.), co prawda wspomina o centralnym organie administracji rządowej, ale tylko jednorazowo (art.34 ust.2). W praktyce ustrojowej (zwłaszcza po 2002 r.) odstępuje się jednak od tworzenia centralnych organów administracji rządowej, jako instytucji kosztowych i mało efektywnych w zakresie realizacji zadań publicznych. Nadanie Komisji tak daleko idącej autonomii budżetowej budzi także zastrzeżenia w świetle ustawy z dnia 27 sierpnia 2009 r. </w:t>
      </w:r>
      <w:r w:rsidRPr="00C46809">
        <w:rPr>
          <w:rFonts w:ascii="Times New Roman" w:hAnsi="Times New Roman" w:cs="Times New Roman"/>
          <w:i/>
          <w:iCs/>
          <w:sz w:val="24"/>
          <w:szCs w:val="24"/>
        </w:rPr>
        <w:t>o finansach publicznych</w:t>
      </w:r>
      <w:r w:rsidRPr="00C46809">
        <w:rPr>
          <w:rFonts w:ascii="Times New Roman" w:hAnsi="Times New Roman" w:cs="Times New Roman"/>
          <w:sz w:val="24"/>
          <w:szCs w:val="24"/>
        </w:rPr>
        <w:t xml:space="preserve"> (</w:t>
      </w:r>
      <w:proofErr w:type="spellStart"/>
      <w:r w:rsidRPr="00C46809">
        <w:rPr>
          <w:rFonts w:ascii="Times New Roman" w:hAnsi="Times New Roman" w:cs="Times New Roman"/>
          <w:sz w:val="24"/>
          <w:szCs w:val="24"/>
        </w:rPr>
        <w:t>t.j</w:t>
      </w:r>
      <w:proofErr w:type="spellEnd"/>
      <w:r w:rsidRPr="00C46809">
        <w:rPr>
          <w:rFonts w:ascii="Times New Roman" w:hAnsi="Times New Roman" w:cs="Times New Roman"/>
          <w:sz w:val="24"/>
          <w:szCs w:val="24"/>
        </w:rPr>
        <w:t xml:space="preserve">. Dz. U. z 2024 r. poz. 1530 z </w:t>
      </w:r>
      <w:proofErr w:type="spellStart"/>
      <w:r w:rsidRPr="00C46809">
        <w:rPr>
          <w:rFonts w:ascii="Times New Roman" w:hAnsi="Times New Roman" w:cs="Times New Roman"/>
          <w:sz w:val="24"/>
          <w:szCs w:val="24"/>
        </w:rPr>
        <w:t>późn</w:t>
      </w:r>
      <w:proofErr w:type="spellEnd"/>
      <w:r w:rsidRPr="00C46809">
        <w:rPr>
          <w:rFonts w:ascii="Times New Roman" w:hAnsi="Times New Roman" w:cs="Times New Roman"/>
          <w:sz w:val="24"/>
          <w:szCs w:val="24"/>
        </w:rPr>
        <w:t>. zm.).  Uzasadnienie Projektu nie poświęca tej kwestii wystarczającej uwagi</w:t>
      </w:r>
    </w:p>
    <w:p w14:paraId="1C6CBDD1"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art.9 ust.3 Projektu</w:t>
      </w:r>
      <w:r w:rsidRPr="00C46809">
        <w:rPr>
          <w:rFonts w:ascii="Times New Roman" w:hAnsi="Times New Roman" w:cs="Times New Roman"/>
          <w:sz w:val="24"/>
          <w:szCs w:val="24"/>
        </w:rPr>
        <w:t xml:space="preserve">: Projekt nie wskazuje żadnego zawężenia kryteriów dla kandydatów zgłaszanych przez poszczególne podmioty, w związku z czym niejasnym jest, czy np. Prokurator Generalny może zgłosić osoby spoza kręgu prokuratorów. </w:t>
      </w:r>
    </w:p>
    <w:p w14:paraId="12BAC688"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art.9 ust.5 pkt 6 Projektu</w:t>
      </w:r>
      <w:r w:rsidRPr="00C46809">
        <w:rPr>
          <w:rFonts w:ascii="Times New Roman" w:hAnsi="Times New Roman" w:cs="Times New Roman"/>
          <w:sz w:val="24"/>
          <w:szCs w:val="24"/>
        </w:rPr>
        <w:t xml:space="preserve">: Projekt przewiduje ustanie kadencji sędziego lub prokuratora - członka Komisji Certyfikacyjnej w razie jego przejścia w stan spoczynku. Wydaje się, że regulacja ta nie jest trafna. Przejście w stan spoczynku nie jest przecież tożsame z utratą kwalifikacji merytorycznych do pełnienia funkcji członka Komisji Certyfikacyjnej, a nadto wręcz sprzyja zwiększeniu dyspozycyjności czasowej takiej osoby na potrzeby pracy Komisji. </w:t>
      </w:r>
    </w:p>
    <w:p w14:paraId="225F0D73"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art.11 ust.2 Projektu</w:t>
      </w:r>
      <w:r w:rsidRPr="00C46809">
        <w:rPr>
          <w:rFonts w:ascii="Times New Roman" w:hAnsi="Times New Roman" w:cs="Times New Roman"/>
          <w:sz w:val="24"/>
          <w:szCs w:val="24"/>
        </w:rPr>
        <w:t xml:space="preserve">: Projekt nie doprecyzowuje, czy klauzula maksymalnej dwukadencyjności dotyczy kadencji następujących bezpośrednio po sobie, czy dowolnych dwóch kadencji. Wydaje się również, że zbędne jest określanie kadencji Prezydium na okres 5-letni, skoro tyle samo trwa kadencja członków całej Komisji. Należałoby chyba doprecyzować, iż </w:t>
      </w:r>
      <w:r w:rsidRPr="00C46809">
        <w:rPr>
          <w:rFonts w:ascii="Times New Roman" w:hAnsi="Times New Roman" w:cs="Times New Roman"/>
          <w:sz w:val="24"/>
          <w:szCs w:val="24"/>
        </w:rPr>
        <w:lastRenderedPageBreak/>
        <w:t xml:space="preserve">kadencja Prezydium ulega zakończeniu wraz z zakończeniem kadencji Komisji. </w:t>
      </w:r>
    </w:p>
    <w:p w14:paraId="3393B78A"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art.17 Projektu</w:t>
      </w:r>
      <w:r w:rsidRPr="00C46809">
        <w:rPr>
          <w:rFonts w:ascii="Times New Roman" w:hAnsi="Times New Roman" w:cs="Times New Roman"/>
          <w:sz w:val="24"/>
          <w:szCs w:val="24"/>
        </w:rPr>
        <w:t xml:space="preserve">: Dyskusyjne jest – mając na względzie transparentność działania Komisji – wprowadzenie zapisu, aby głos choćby tylko jednego członka Komisji (przy ogólnej liczbie 25) był wystarczający do zastosowanie tajnego trybu glosowania, czy to na forum Komisji, czy to na posiedzeniu Zespołu Oceniającego oraz Zespołu do spraw Standaryzacji. Wydaje się, że decyzja o tajności powinna zapadać większością głosów. </w:t>
      </w:r>
    </w:p>
    <w:p w14:paraId="44F4FCE7"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art.22 i art.30 Projektu</w:t>
      </w:r>
      <w:r w:rsidRPr="00C46809">
        <w:rPr>
          <w:rFonts w:ascii="Times New Roman" w:hAnsi="Times New Roman" w:cs="Times New Roman"/>
          <w:sz w:val="24"/>
          <w:szCs w:val="24"/>
        </w:rPr>
        <w:t xml:space="preserve">: Projekt określa że Komisja Certyfikacyjna powołuje Zespół Oceniający składający się z dwóch specjalistów wyróżniających się wiedzą i doświadczeniem z dziedziny będącej przedmiotem specjalności opiniowanego oraz jednej osoby będącej sędzią, prokuratorem, adwokatem bądź radcą prawnym. Nigdzie jednak nie doprecyzowano zasad wyboru członków Zespołu, choć jawi się to jako niezbędne, a zwłaszcza, czy chodzi tu osoby ze składu Komisji, czy też spoza niej.  </w:t>
      </w:r>
    </w:p>
    <w:p w14:paraId="0597069C"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art.23 ust.4 Projektu</w:t>
      </w:r>
      <w:r w:rsidRPr="00C46809">
        <w:rPr>
          <w:rFonts w:ascii="Times New Roman" w:hAnsi="Times New Roman" w:cs="Times New Roman"/>
          <w:sz w:val="24"/>
          <w:szCs w:val="24"/>
        </w:rPr>
        <w:t xml:space="preserve">: Budzi wątpliwości zaliczenie do  szczegółowych zadań Zespołów Oceniających określanie szczegółowych kryteriów certyfikacji dla danej specjalności. Wydaje się, że zdecydowanie winno to należeć do Zespołów do spraw Standaryzacji w poszczególnych dziedzinach. </w:t>
      </w:r>
    </w:p>
    <w:p w14:paraId="0DE5363D"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art.25 pkt 6,  8, 10 i 11 Projektu</w:t>
      </w:r>
      <w:r w:rsidRPr="00C46809">
        <w:rPr>
          <w:rFonts w:ascii="Times New Roman" w:hAnsi="Times New Roman" w:cs="Times New Roman"/>
          <w:sz w:val="24"/>
          <w:szCs w:val="24"/>
        </w:rPr>
        <w:t>: Do jednego z kryteriów uzyskania certyfikatu biegłego sądowego Projekt zalicza: „</w:t>
      </w:r>
      <w:r w:rsidRPr="00C46809">
        <w:rPr>
          <w:rFonts w:ascii="Times New Roman" w:hAnsi="Times New Roman" w:cs="Times New Roman"/>
          <w:i/>
          <w:iCs/>
          <w:sz w:val="24"/>
          <w:szCs w:val="24"/>
        </w:rPr>
        <w:t>posiada wiadomości specjalne z danej dziedziny nauki, techniki, sztuki, rzemiosła lub w innej dziedzinie, w której ma wykonywać czynności biegłego sądowego</w:t>
      </w:r>
      <w:r w:rsidRPr="00C46809">
        <w:rPr>
          <w:rFonts w:ascii="Times New Roman" w:hAnsi="Times New Roman" w:cs="Times New Roman"/>
          <w:sz w:val="24"/>
          <w:szCs w:val="24"/>
        </w:rPr>
        <w:t>”. Proponuje się, aby ująć to następująco: „</w:t>
      </w:r>
      <w:r w:rsidRPr="00C46809">
        <w:rPr>
          <w:rFonts w:ascii="Times New Roman" w:hAnsi="Times New Roman" w:cs="Times New Roman"/>
          <w:i/>
          <w:iCs/>
          <w:sz w:val="24"/>
          <w:szCs w:val="24"/>
        </w:rPr>
        <w:t xml:space="preserve">posiada </w:t>
      </w:r>
      <w:r w:rsidRPr="00C46809">
        <w:rPr>
          <w:rFonts w:ascii="Times New Roman" w:hAnsi="Times New Roman" w:cs="Times New Roman"/>
          <w:sz w:val="24"/>
          <w:szCs w:val="24"/>
        </w:rPr>
        <w:t>udokumentowane, lub w inny sposób potwierdzone</w:t>
      </w:r>
      <w:r w:rsidRPr="00C46809">
        <w:rPr>
          <w:rFonts w:ascii="Times New Roman" w:hAnsi="Times New Roman" w:cs="Times New Roman"/>
          <w:i/>
          <w:iCs/>
          <w:sz w:val="24"/>
          <w:szCs w:val="24"/>
        </w:rPr>
        <w:t xml:space="preserve"> wiadomości specjalne z danej dziedziny nauki, techniki, sztuki, rzemiosła lub w innej dziedzinie, w której ma wykonywać czynności biegłego sądowego</w:t>
      </w:r>
      <w:r w:rsidRPr="00C46809">
        <w:rPr>
          <w:rFonts w:ascii="Times New Roman" w:hAnsi="Times New Roman" w:cs="Times New Roman"/>
          <w:sz w:val="24"/>
          <w:szCs w:val="24"/>
        </w:rPr>
        <w:t>”. W pkt.8 Projekt proponuje jako kryterium; „</w:t>
      </w:r>
      <w:r w:rsidRPr="00C46809">
        <w:rPr>
          <w:rFonts w:ascii="Times New Roman" w:hAnsi="Times New Roman" w:cs="Times New Roman"/>
          <w:i/>
          <w:iCs/>
          <w:sz w:val="24"/>
          <w:szCs w:val="24"/>
        </w:rPr>
        <w:t>posiada nieposzlakowaną opinię i daje rękojmię prawidłowego wykonywania czynności biegłego sądowego</w:t>
      </w:r>
      <w:r w:rsidRPr="00C46809">
        <w:rPr>
          <w:rFonts w:ascii="Times New Roman" w:hAnsi="Times New Roman" w:cs="Times New Roman"/>
          <w:sz w:val="24"/>
          <w:szCs w:val="24"/>
        </w:rPr>
        <w:t xml:space="preserve">”. Wydaje się, że regulacje te się dublują. Wystarczające jest określenie, iż kandydat na biegłego winien dawać </w:t>
      </w:r>
      <w:r w:rsidRPr="00C46809">
        <w:rPr>
          <w:rFonts w:ascii="Times New Roman" w:hAnsi="Times New Roman" w:cs="Times New Roman"/>
          <w:sz w:val="24"/>
          <w:szCs w:val="24"/>
        </w:rPr>
        <w:lastRenderedPageBreak/>
        <w:t>wskazaną rękojmią, co immanentnie wiąże się z należytą opinią o jego osobie. W pkt.10 Projekt proponuje jako kryterium: „</w:t>
      </w:r>
      <w:r w:rsidRPr="00C46809">
        <w:rPr>
          <w:rFonts w:ascii="Times New Roman" w:hAnsi="Times New Roman" w:cs="Times New Roman"/>
          <w:i/>
          <w:iCs/>
          <w:sz w:val="24"/>
          <w:szCs w:val="24"/>
        </w:rPr>
        <w:t>nie podlega zakazowi wykonywania zawodu w dziedzinie, w której zamierza wykonywać czynności biegłego sądowego</w:t>
      </w:r>
      <w:r w:rsidRPr="00C46809">
        <w:rPr>
          <w:rFonts w:ascii="Times New Roman" w:hAnsi="Times New Roman" w:cs="Times New Roman"/>
          <w:sz w:val="24"/>
          <w:szCs w:val="24"/>
        </w:rPr>
        <w:t>”. Punkt ten jest zbędny. Wystarczające byłoby dodanie w pkt.9: „</w:t>
      </w:r>
      <w:r w:rsidRPr="00C46809">
        <w:rPr>
          <w:rFonts w:ascii="Times New Roman" w:hAnsi="Times New Roman" w:cs="Times New Roman"/>
          <w:i/>
          <w:iCs/>
          <w:sz w:val="24"/>
          <w:szCs w:val="24"/>
        </w:rPr>
        <w:t xml:space="preserve">w przypadku osób wykonujących zawody regulowane – posiada </w:t>
      </w:r>
      <w:r w:rsidRPr="00C46809">
        <w:rPr>
          <w:rFonts w:ascii="Times New Roman" w:hAnsi="Times New Roman" w:cs="Times New Roman"/>
          <w:sz w:val="24"/>
          <w:szCs w:val="24"/>
        </w:rPr>
        <w:t>czynne</w:t>
      </w:r>
      <w:r w:rsidRPr="00C46809">
        <w:rPr>
          <w:rFonts w:ascii="Times New Roman" w:hAnsi="Times New Roman" w:cs="Times New Roman"/>
          <w:i/>
          <w:iCs/>
          <w:sz w:val="24"/>
          <w:szCs w:val="24"/>
        </w:rPr>
        <w:t xml:space="preserve"> uprawnienia do wykonywania zawodu w dziedzinie, w której zamierza wykonywać czynności biegłego sądowego</w:t>
      </w:r>
      <w:r w:rsidRPr="00C46809">
        <w:rPr>
          <w:rFonts w:ascii="Times New Roman" w:hAnsi="Times New Roman" w:cs="Times New Roman"/>
          <w:sz w:val="24"/>
          <w:szCs w:val="24"/>
        </w:rPr>
        <w:t xml:space="preserve">”. </w:t>
      </w:r>
      <w:r w:rsidRPr="00C46809">
        <w:rPr>
          <w:rFonts w:ascii="Times New Roman" w:hAnsi="Times New Roman" w:cs="Times New Roman"/>
          <w:color w:val="000000" w:themeColor="text1"/>
          <w:sz w:val="24"/>
          <w:szCs w:val="24"/>
        </w:rPr>
        <w:t>W pkt.11 bezwzględnym kryterium objęcia funkcji biegłego sądowego powinna być całkowita niekaralność. Trudno bowiem sobie wyobrazić pełnienie funkcji certyfikowanego biegłego z zakresu medycyny przez osobę, która została skazana z art.155 k.k. (nieumyślne spowodowanie śmierci), albo za nieumyślną odmianę przestępstwa z art.160 k.k., tj. narażenia na bezpośrednie niebezpieczeństwo utarty życia lub doznania ciężkiego uszczerbku na zdrowiu (zwłaszcza w związku czynnościami podejmowanymi w swojej dziedzinie zawodowej), czy specjalistę z zakresu rekonstrukcji wypadków drogowych uznanego winnym nieumyślnego spowodowania takiego wypadku (art.177 k.k.).</w:t>
      </w:r>
    </w:p>
    <w:p w14:paraId="2D5E720A"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art.26 Projektu</w:t>
      </w:r>
      <w:r w:rsidRPr="00C46809">
        <w:rPr>
          <w:rFonts w:ascii="Times New Roman" w:hAnsi="Times New Roman" w:cs="Times New Roman"/>
          <w:sz w:val="24"/>
          <w:szCs w:val="24"/>
        </w:rPr>
        <w:t>: Niejasne jest zawarcie w tym artykule dwóch paragrafów, które treściowe są niezwykle zbliżone, zawierając w istocie niemal tożsamą normę. W pełni wystarczające jest ograniczenie się do bieżąco proponowanej treści § 1. Fakt, iż formalnym potwierdzeniem kompetencji jest certyfikat wydany przez Komisję Certyfikacyjną wynika z licznych innych przepisów, w tym zwłaszcza z art.2 pkt.5 i 6.</w:t>
      </w:r>
    </w:p>
    <w:p w14:paraId="1B49C619"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art.27 ust.3 pkt 7 i szereg innych przepisów Projektu odwołujących się do obszaru apelacyjnego / prezesa sądu apelacyjnego:</w:t>
      </w:r>
      <w:r w:rsidRPr="00C46809">
        <w:rPr>
          <w:rFonts w:ascii="Times New Roman" w:hAnsi="Times New Roman" w:cs="Times New Roman"/>
          <w:sz w:val="24"/>
          <w:szCs w:val="24"/>
        </w:rPr>
        <w:t xml:space="preserve"> Nie jest czytelnym – także wobec zupełnego braku wyjaśnienia tej kwestii w uzasadnieniu Projektu – przyjęcie, jak się wydaje, zasady wykonywania czynności biegłego w obszarze apelacji. Tym bardziej w sytuacji tworzenia ustawą centralnego i ogólnopolskiego systemu weryfikacji i potwierdzania kwalifikacji biegłych oraz prowadzenia Krajowego Rejestru Biegłych Sądowych i Instytucji Opiniujących. Skoro ideą ustawy jest zapewnienie </w:t>
      </w:r>
      <w:r w:rsidRPr="00C46809">
        <w:rPr>
          <w:rFonts w:ascii="Times New Roman" w:hAnsi="Times New Roman" w:cs="Times New Roman"/>
          <w:sz w:val="24"/>
          <w:szCs w:val="24"/>
        </w:rPr>
        <w:lastRenderedPageBreak/>
        <w:t xml:space="preserve">sądom, Prokuraturze i innych organom procesowym dostępu do odpowiedniej ilości należycie kwalifikowanych biegłych, a jednocześnie ich właściwe wynagrodzenia (łącznie ze zwrotem wszelkich kosztów pełnienia funkcji biegłego), to winni oni być dostępni i mieć obowiązek świadczenia swoich usług na terenie całego kraju bez możliwości odmowy z przyczyn geograficznych. </w:t>
      </w:r>
    </w:p>
    <w:p w14:paraId="78416619"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color w:val="3A7C22" w:themeColor="accent6" w:themeShade="BF"/>
          <w:sz w:val="24"/>
          <w:szCs w:val="24"/>
        </w:rPr>
      </w:pPr>
      <w:r w:rsidRPr="00C46809">
        <w:rPr>
          <w:rFonts w:ascii="Times New Roman" w:hAnsi="Times New Roman" w:cs="Times New Roman"/>
          <w:b/>
          <w:bCs/>
          <w:sz w:val="24"/>
          <w:szCs w:val="24"/>
        </w:rPr>
        <w:t>art.27 ust.4 pkt 8 Projektu</w:t>
      </w:r>
      <w:r w:rsidRPr="00C46809">
        <w:rPr>
          <w:rFonts w:ascii="Times New Roman" w:hAnsi="Times New Roman" w:cs="Times New Roman"/>
          <w:sz w:val="24"/>
          <w:szCs w:val="24"/>
        </w:rPr>
        <w:t xml:space="preserve">: Wydaje się, że do wniosku o wpis do Rejestru biegłych kandydat winien składać – w zakresie niepodlegania zakazowi wykonywania zawodu w dziedzinie, w której kandydat na biegłego sądowego ma wykonywać czynności biegłego sądowego – odpowiednie zaświadczenie, a nie własne oświadczenie (chyba, że uzyskanie zaświadczenie jest niemożliwe). </w:t>
      </w:r>
    </w:p>
    <w:p w14:paraId="7FF6D60C"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color w:val="3A7C22" w:themeColor="accent6" w:themeShade="BF"/>
          <w:sz w:val="24"/>
          <w:szCs w:val="24"/>
        </w:rPr>
      </w:pPr>
      <w:r w:rsidRPr="00C46809">
        <w:rPr>
          <w:rFonts w:ascii="Times New Roman" w:hAnsi="Times New Roman" w:cs="Times New Roman"/>
          <w:b/>
          <w:bCs/>
          <w:sz w:val="24"/>
          <w:szCs w:val="24"/>
        </w:rPr>
        <w:t>art.28 ust. 1 i 2 Projektu</w:t>
      </w:r>
      <w:r w:rsidRPr="00C46809">
        <w:rPr>
          <w:rFonts w:ascii="Times New Roman" w:hAnsi="Times New Roman" w:cs="Times New Roman"/>
          <w:sz w:val="24"/>
          <w:szCs w:val="24"/>
        </w:rPr>
        <w:t xml:space="preserve">: Wątpliwości budzi określenie, że kandydat na biegłego sądowego jest zobowiązany do ukończenia szkolenia w formie zajęć o charakterze teoretycznym, trwających co najmniej 15 godzin z zakresu przepisów dotyczących statusu biegłego sądowego, jego praw i obowiązków w postępowaniu sądowym i przygotowawczym, aspektów etycznych sprawowania funkcji oraz zasad przeprowadzania dowodu z opinii biegłego i wymogów formalnych opinii. Wydaje się zasadnym wskazanie – czego projekt nie czyni - kto organizuje i przeprowadza stosowne szkolenia (np. sama Komisja Certyfikacyjna z udziałem specjalistów spoza Komisji, Krajowa Szkoła Sądownictwa i Prokuratury, prezesi sądów apelacyjnych). Zupełnie nieprzekonujące jest również zwolnienie z powyższego obowiązku szkoleniowego osób posiadających wykształcenie prawnicze, lekarzy specjalistów w dziedzinie medycyny sądowej lub lekarzy specjalistów w dziedzinie psychiatrii.  </w:t>
      </w:r>
    </w:p>
    <w:p w14:paraId="3B7E8C10"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 30 pkt 1 Projektu</w:t>
      </w:r>
      <w:r w:rsidRPr="00C46809">
        <w:rPr>
          <w:rFonts w:ascii="Times New Roman" w:hAnsi="Times New Roman" w:cs="Times New Roman"/>
          <w:sz w:val="24"/>
          <w:szCs w:val="24"/>
        </w:rPr>
        <w:t xml:space="preserve">: Wydaje się, że ujęta w pkt. 1 ocena kompetencji kandydata w tym zakresie posiadanych umiejętności przygotowania opinii pisemnej i jej przedstawienia przed sądem oraz zdolności poprawnego, logicznego i zrozumiałego wyjaśnienia różnych aspektów opiniowanej kwestii) powinna być jedynie uzupełnieniem, dopełnieniem oceny opisanej </w:t>
      </w:r>
      <w:r w:rsidRPr="00C46809">
        <w:rPr>
          <w:rFonts w:ascii="Times New Roman" w:hAnsi="Times New Roman" w:cs="Times New Roman"/>
          <w:sz w:val="24"/>
          <w:szCs w:val="24"/>
        </w:rPr>
        <w:lastRenderedPageBreak/>
        <w:t>w art. 30 pkt 2 Projektu (posiadania przez kandydata wiadomości specjalnych w danej dziedzinie nauki, techniki, sztuki, rzemiosła lub w innej dziedzinie, w której ma wykonywać czynności biegłego sądowego). Obecne brzmienie sugeruje, że obydwa rodzaje kompetencji są równie ważne, a nawet komunikatywność jest istotniejsza od posiadania wiadomości specjalnych.</w:t>
      </w:r>
    </w:p>
    <w:p w14:paraId="00D0057A"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 31 ust. 6 i art. 49 ust. 4 Projektu</w:t>
      </w:r>
      <w:r w:rsidRPr="00C46809">
        <w:rPr>
          <w:rFonts w:ascii="Times New Roman" w:hAnsi="Times New Roman" w:cs="Times New Roman"/>
          <w:sz w:val="24"/>
          <w:szCs w:val="24"/>
        </w:rPr>
        <w:t>: Przepis zbyt wąsko określa zakreśla podstawy do wydania opinii negatywnej (która jak należy się domyślać jest alternatywna wobec opinii pozytywnej), wskazując że podstawę do wydania opinii negatywnej o kandydacie na biegłego sądowego przez Zespół Oceniający stanowi:</w:t>
      </w:r>
    </w:p>
    <w:p w14:paraId="476ECD9F" w14:textId="77777777" w:rsidR="00C46809" w:rsidRPr="00C46809" w:rsidRDefault="00C46809" w:rsidP="00C46809">
      <w:pPr>
        <w:pStyle w:val="Bezodstpw"/>
        <w:numPr>
          <w:ilvl w:val="0"/>
          <w:numId w:val="9"/>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odmowa udziału w rozmowie kwalifikacyjnej;</w:t>
      </w:r>
    </w:p>
    <w:p w14:paraId="00D31E5D" w14:textId="77777777" w:rsidR="00C46809" w:rsidRPr="00C46809" w:rsidRDefault="00C46809" w:rsidP="00C46809">
      <w:pPr>
        <w:pStyle w:val="Bezodstpw"/>
        <w:numPr>
          <w:ilvl w:val="0"/>
          <w:numId w:val="9"/>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odmowa sporządzenia próbnej opinii w wyznaczonym terminie.</w:t>
      </w:r>
    </w:p>
    <w:p w14:paraId="3E408D4F" w14:textId="77777777" w:rsidR="00C46809" w:rsidRPr="00C46809" w:rsidRDefault="00C46809" w:rsidP="00C46809">
      <w:pPr>
        <w:pStyle w:val="Bezodstpw"/>
        <w:spacing w:line="360" w:lineRule="auto"/>
        <w:ind w:left="720"/>
        <w:jc w:val="both"/>
        <w:rPr>
          <w:rFonts w:ascii="Times New Roman" w:hAnsi="Times New Roman" w:cs="Times New Roman"/>
          <w:sz w:val="24"/>
          <w:szCs w:val="24"/>
        </w:rPr>
      </w:pPr>
      <w:r w:rsidRPr="00C46809">
        <w:rPr>
          <w:rFonts w:ascii="Times New Roman" w:hAnsi="Times New Roman" w:cs="Times New Roman"/>
          <w:sz w:val="24"/>
          <w:szCs w:val="24"/>
        </w:rPr>
        <w:t>Podstawą do wydania opinii negatywnej winno być niewątpliwie, oprócz tych przypadków, także uzasadnione przekonanie Zespołu o tym, że kandydat nie posiada umiejętności opiniowania lub/i wiadomości specjalnych (por. art. 30 projektu). Tymczasem obecne brzmienie omawianego art. 31 ust. 6 Projektu ma charakter wyczerpujący (brak sformułowania „ w szczególności” lub „także” - w kontekście chociażby możliwości wydania opinii negatywnej z art. 31 ust. 2 projektu).</w:t>
      </w:r>
    </w:p>
    <w:p w14:paraId="4D79DA07"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color w:val="3A7C22" w:themeColor="accent6" w:themeShade="BF"/>
          <w:sz w:val="24"/>
          <w:szCs w:val="24"/>
        </w:rPr>
      </w:pPr>
      <w:r w:rsidRPr="00C46809">
        <w:rPr>
          <w:rFonts w:ascii="Times New Roman" w:hAnsi="Times New Roman" w:cs="Times New Roman"/>
          <w:b/>
          <w:bCs/>
          <w:sz w:val="24"/>
          <w:szCs w:val="24"/>
        </w:rPr>
        <w:t>art.32 ust. 3 Projektu</w:t>
      </w:r>
      <w:r w:rsidRPr="00C46809">
        <w:rPr>
          <w:rFonts w:ascii="Times New Roman" w:hAnsi="Times New Roman" w:cs="Times New Roman"/>
          <w:sz w:val="24"/>
          <w:szCs w:val="24"/>
        </w:rPr>
        <w:t>: Projekt stanowi: „</w:t>
      </w:r>
      <w:r w:rsidRPr="00C46809">
        <w:rPr>
          <w:rFonts w:ascii="Times New Roman" w:hAnsi="Times New Roman" w:cs="Times New Roman"/>
          <w:i/>
          <w:iCs/>
          <w:sz w:val="24"/>
          <w:szCs w:val="24"/>
        </w:rPr>
        <w:t>Przed przyznaniem certyfikatu biegłego sądowego Komisja Certyfikacyjna uzyskuje informacje o dotychczasowym wykonywaniu czynności przez biegłego sądowego, w tym zapoznaje się z oceną pracy biegłego zawartą w Rejestrze oraz ustala, czy działalność biegłego była przedmiotem zawiadomień, o których mowa w art. 41 ust. 1 i art. 42 ust. 1.</w:t>
      </w:r>
      <w:r w:rsidRPr="00C46809">
        <w:rPr>
          <w:rFonts w:ascii="Times New Roman" w:hAnsi="Times New Roman" w:cs="Times New Roman"/>
          <w:sz w:val="24"/>
          <w:szCs w:val="24"/>
        </w:rPr>
        <w:t>”. Ewidentnie brakuje w tej regulacji również odwołania się do procedur przedłużania ważności certyfikatu oraz jego cofnięcia, o których mowa np. w art.23 pkt 3 Projektu.</w:t>
      </w:r>
    </w:p>
    <w:p w14:paraId="56AE2B0A"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color w:val="3A7C22" w:themeColor="accent6" w:themeShade="BF"/>
          <w:sz w:val="24"/>
          <w:szCs w:val="24"/>
        </w:rPr>
      </w:pPr>
      <w:r w:rsidRPr="00C46809">
        <w:rPr>
          <w:rFonts w:ascii="Times New Roman" w:hAnsi="Times New Roman" w:cs="Times New Roman"/>
          <w:sz w:val="24"/>
          <w:szCs w:val="24"/>
        </w:rPr>
        <w:t xml:space="preserve"> </w:t>
      </w:r>
      <w:r w:rsidRPr="00C46809">
        <w:rPr>
          <w:rFonts w:ascii="Times New Roman" w:hAnsi="Times New Roman" w:cs="Times New Roman"/>
          <w:b/>
          <w:bCs/>
          <w:sz w:val="24"/>
          <w:szCs w:val="24"/>
        </w:rPr>
        <w:t>art.33 ust. 2 Projektu</w:t>
      </w:r>
      <w:r w:rsidRPr="00C46809">
        <w:rPr>
          <w:rFonts w:ascii="Times New Roman" w:hAnsi="Times New Roman" w:cs="Times New Roman"/>
          <w:sz w:val="24"/>
          <w:szCs w:val="24"/>
        </w:rPr>
        <w:t xml:space="preserve">: Projekt stanowi, że czas certyfikacji wynosi 5 lat. Powstaje pytanie, czy nie jest to okres zbyt krótki, lub też, czy nie należałoby go zróżnicować i w niektórych dziedzinach, gdzie rozwój nauki jest bardzo szybki (np. informatyka, genetyka) określić go relatywnie krótko, a w innych </w:t>
      </w:r>
      <w:r w:rsidRPr="00C46809">
        <w:rPr>
          <w:rFonts w:ascii="Times New Roman" w:hAnsi="Times New Roman" w:cs="Times New Roman"/>
          <w:sz w:val="24"/>
          <w:szCs w:val="24"/>
        </w:rPr>
        <w:lastRenderedPageBreak/>
        <w:t xml:space="preserve">ustalić na czas dłuższy (np. 7 lat). W tym zakresie Projekt może być oceniony jako tworzący nadmierne obciążenia administracyjne dla biegłych, a jego wejście w życie może wywołać skutki odmienne od zamierzonych.   </w:t>
      </w:r>
    </w:p>
    <w:p w14:paraId="72B5F912"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color w:val="3A7C22" w:themeColor="accent6" w:themeShade="BF"/>
          <w:sz w:val="24"/>
          <w:szCs w:val="24"/>
        </w:rPr>
      </w:pPr>
      <w:r w:rsidRPr="00C46809">
        <w:rPr>
          <w:rFonts w:ascii="Times New Roman" w:hAnsi="Times New Roman" w:cs="Times New Roman"/>
          <w:b/>
          <w:bCs/>
          <w:sz w:val="24"/>
          <w:szCs w:val="24"/>
        </w:rPr>
        <w:t>art.40 ust. 1 pkt 1 i ust.2 oraz  art.57 ust. 1 pkt 1 i ust. 2 Projektu</w:t>
      </w:r>
      <w:r w:rsidRPr="00C46809">
        <w:rPr>
          <w:rFonts w:ascii="Times New Roman" w:hAnsi="Times New Roman" w:cs="Times New Roman"/>
          <w:sz w:val="24"/>
          <w:szCs w:val="24"/>
        </w:rPr>
        <w:t>: Projekt w tym punkcie stanowi obwiązek powiadamiania Komisji przez zleceniodawcę opinii o każdym przypadku  „</w:t>
      </w:r>
      <w:r w:rsidRPr="00C46809">
        <w:rPr>
          <w:rFonts w:ascii="Times New Roman" w:hAnsi="Times New Roman" w:cs="Times New Roman"/>
          <w:i/>
          <w:iCs/>
          <w:sz w:val="24"/>
          <w:szCs w:val="24"/>
        </w:rPr>
        <w:t>wystąpienia rażących uchybień w realizacji powierzonych biegłemu sądowemu obowiązków, w szczególności o nieusprawiedliwionej odmowie wykonania czynności, powtarzającym się nieusprawiedliwionym niestawiennictwie na posiedzeniu, albo rażącej zwłoce w wydaniu opinii</w:t>
      </w:r>
      <w:r w:rsidRPr="00C46809">
        <w:rPr>
          <w:rFonts w:ascii="Times New Roman" w:hAnsi="Times New Roman" w:cs="Times New Roman"/>
          <w:sz w:val="24"/>
          <w:szCs w:val="24"/>
        </w:rPr>
        <w:t>.”. Stany faktyczne ujęto zbyt wąsko, albowiem winny one także obejmować niestawiennictwa na rozprawach oraz w czynnościach prowadzonych przez organ niesądowe (prokuratora, Policję itd.).</w:t>
      </w:r>
    </w:p>
    <w:p w14:paraId="4A210A98" w14:textId="77777777" w:rsidR="00C46809" w:rsidRPr="00C46809" w:rsidRDefault="00C46809" w:rsidP="00C46809">
      <w:pPr>
        <w:pStyle w:val="Bezodstpw"/>
        <w:spacing w:line="360" w:lineRule="auto"/>
        <w:ind w:left="567"/>
        <w:jc w:val="both"/>
        <w:rPr>
          <w:rFonts w:ascii="Times New Roman" w:hAnsi="Times New Roman" w:cs="Times New Roman"/>
          <w:sz w:val="24"/>
          <w:szCs w:val="24"/>
        </w:rPr>
      </w:pPr>
      <w:r w:rsidRPr="00C46809">
        <w:rPr>
          <w:rFonts w:ascii="Times New Roman" w:hAnsi="Times New Roman" w:cs="Times New Roman"/>
          <w:sz w:val="24"/>
          <w:szCs w:val="24"/>
        </w:rPr>
        <w:t xml:space="preserve">W ust. 2 określono zbyt krótki, 7-dniowy termin dla biegłego na ewentualne wyjaśnienie powyższej sytuacji. Powinien być to okres 14-dniowy.  </w:t>
      </w:r>
    </w:p>
    <w:p w14:paraId="70A04826" w14:textId="77777777" w:rsidR="00C46809" w:rsidRPr="00C46809" w:rsidRDefault="00C46809" w:rsidP="00C46809">
      <w:pPr>
        <w:pStyle w:val="Bezodstpw"/>
        <w:spacing w:line="360" w:lineRule="auto"/>
        <w:ind w:left="567"/>
        <w:jc w:val="both"/>
        <w:rPr>
          <w:rFonts w:ascii="Times New Roman" w:hAnsi="Times New Roman" w:cs="Times New Roman"/>
          <w:color w:val="3A7C22" w:themeColor="accent6" w:themeShade="BF"/>
          <w:sz w:val="24"/>
          <w:szCs w:val="24"/>
        </w:rPr>
      </w:pPr>
      <w:r w:rsidRPr="00C46809">
        <w:rPr>
          <w:rFonts w:ascii="Times New Roman" w:hAnsi="Times New Roman" w:cs="Times New Roman"/>
          <w:sz w:val="24"/>
          <w:szCs w:val="24"/>
        </w:rPr>
        <w:t xml:space="preserve">Te same uwagi dotyczą art.57 Projektu, co do działalności instytucji opiniujących. </w:t>
      </w:r>
    </w:p>
    <w:p w14:paraId="4FFCDF54"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art.44 ust.1 pkt 2 w zw. z ust. 3 pkt 1 Projektu</w:t>
      </w:r>
      <w:r w:rsidRPr="00C46809">
        <w:rPr>
          <w:rFonts w:ascii="Times New Roman" w:hAnsi="Times New Roman" w:cs="Times New Roman"/>
          <w:sz w:val="24"/>
          <w:szCs w:val="24"/>
        </w:rPr>
        <w:t>: Projekt stanowi, że kryterium instytucji opiniującej (naukowej lub specjalistycznej) spełnia taka, która w tym celu zatrudnia osoby spełniające wymogi przewidziane w art. 25 (kryteria dla uzyskania certyfikatu biegłego sądowego), upoważnione do wydawania w jej imieniu opinii. Nasuwają się tu dwie poważne wątpliwości, wobec braku rozwinięcia tego tematu w uzasadnieniu:</w:t>
      </w:r>
    </w:p>
    <w:p w14:paraId="3310675E" w14:textId="77777777" w:rsidR="00C46809" w:rsidRPr="00C46809" w:rsidRDefault="00C46809" w:rsidP="00C46809">
      <w:pPr>
        <w:pStyle w:val="Bezodstpw"/>
        <w:numPr>
          <w:ilvl w:val="0"/>
          <w:numId w:val="3"/>
        </w:numPr>
        <w:spacing w:line="360" w:lineRule="auto"/>
        <w:ind w:left="851" w:hanging="284"/>
        <w:jc w:val="both"/>
        <w:rPr>
          <w:rFonts w:ascii="Times New Roman" w:hAnsi="Times New Roman" w:cs="Times New Roman"/>
          <w:sz w:val="24"/>
          <w:szCs w:val="24"/>
        </w:rPr>
      </w:pPr>
      <w:r w:rsidRPr="00C46809">
        <w:rPr>
          <w:rFonts w:ascii="Times New Roman" w:hAnsi="Times New Roman" w:cs="Times New Roman"/>
          <w:sz w:val="24"/>
          <w:szCs w:val="24"/>
        </w:rPr>
        <w:t>w pierwszym przepisie (ust.1 pkt 2) mowa jest o liczbie osób niezbędnej dla realizacji zadań w zakresie opiniowanie w określonej dziedzinie i specjalności, zaś w drugim (ust.3 pkt 1), że wystarczające jest zatrudnienie co najmniej jednej osoby z danej dziedziny lub specjalności spełniającej wymogi określone w art. 25 – przepisy te wydają się sprzeczne, albo bowiem musi być to ilość wystarczająca, albo wystarczy już tylko jedna osoba (która tym samym, jak się wydaje, autoryzować będzie każdą ekspertyzę);</w:t>
      </w:r>
    </w:p>
    <w:p w14:paraId="175A506D" w14:textId="77777777" w:rsidR="00C46809" w:rsidRPr="00C46809" w:rsidRDefault="00C46809" w:rsidP="00C46809">
      <w:pPr>
        <w:pStyle w:val="Bezodstpw"/>
        <w:numPr>
          <w:ilvl w:val="0"/>
          <w:numId w:val="3"/>
        </w:numPr>
        <w:spacing w:line="360" w:lineRule="auto"/>
        <w:ind w:left="851" w:hanging="284"/>
        <w:jc w:val="both"/>
        <w:rPr>
          <w:rFonts w:ascii="Times New Roman" w:hAnsi="Times New Roman" w:cs="Times New Roman"/>
          <w:sz w:val="24"/>
          <w:szCs w:val="24"/>
        </w:rPr>
      </w:pPr>
      <w:r w:rsidRPr="00C46809">
        <w:rPr>
          <w:rFonts w:ascii="Times New Roman" w:hAnsi="Times New Roman" w:cs="Times New Roman"/>
          <w:sz w:val="24"/>
          <w:szCs w:val="24"/>
        </w:rPr>
        <w:lastRenderedPageBreak/>
        <w:t>w obu powyższych przepisach mowa jest, że wystarczające jest, by ww. osoba (lub osoby) spełniały kryteria uprawniające do ubiegania się o certyfikat biegłego sądowego, a nie że certyfikat taki winny posiadać; wydaje się to być nietrafnym rozwiązaniem – instytucja opiniującą (zarówno specjalistyczna, jak i naukowa) w danej dziedzinie powinna zatrudniać co najmniej jednego certyfikowanego biegłego.</w:t>
      </w:r>
    </w:p>
    <w:p w14:paraId="7ECC1FD0"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color w:val="3A7C22" w:themeColor="accent6" w:themeShade="BF"/>
          <w:sz w:val="24"/>
          <w:szCs w:val="24"/>
        </w:rPr>
      </w:pPr>
      <w:bookmarkStart w:id="1" w:name="_Hlk192521839"/>
      <w:r w:rsidRPr="00C46809">
        <w:rPr>
          <w:rFonts w:ascii="Times New Roman" w:hAnsi="Times New Roman" w:cs="Times New Roman"/>
          <w:b/>
          <w:bCs/>
          <w:sz w:val="24"/>
          <w:szCs w:val="24"/>
        </w:rPr>
        <w:t>art.64 ust.1 Projektu</w:t>
      </w:r>
      <w:r w:rsidRPr="00C46809">
        <w:rPr>
          <w:rFonts w:ascii="Times New Roman" w:hAnsi="Times New Roman" w:cs="Times New Roman"/>
          <w:sz w:val="24"/>
          <w:szCs w:val="24"/>
        </w:rPr>
        <w:t xml:space="preserve">: Projekt stanowi że Krajowy Rejestr Biegłych Sądowych i Instytucji Opiniujących jest prowadzony z uwzględnieniem podziału biegłych sądowych i instytucji opiniujących według dziedzin i specjalności. Należałoby rozważyć wskazania poszczególnych biegłych i instytucji w kolejności alfabetycznej (wedle nazwisk i nazw) oraz w podziale na lokalizację geograficzną miejsca zamieszkania lub siedziby. </w:t>
      </w:r>
      <w:bookmarkEnd w:id="1"/>
    </w:p>
    <w:p w14:paraId="77ED73EF"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color w:val="3A7C22" w:themeColor="accent6" w:themeShade="BF"/>
          <w:sz w:val="24"/>
          <w:szCs w:val="24"/>
        </w:rPr>
      </w:pPr>
      <w:r w:rsidRPr="00C46809">
        <w:rPr>
          <w:rFonts w:ascii="Times New Roman" w:hAnsi="Times New Roman" w:cs="Times New Roman"/>
          <w:b/>
          <w:bCs/>
          <w:sz w:val="24"/>
          <w:szCs w:val="24"/>
        </w:rPr>
        <w:t>art.66 ust.4 Projektu</w:t>
      </w:r>
      <w:r w:rsidRPr="00C46809">
        <w:rPr>
          <w:rFonts w:ascii="Times New Roman" w:hAnsi="Times New Roman" w:cs="Times New Roman"/>
          <w:sz w:val="24"/>
          <w:szCs w:val="24"/>
        </w:rPr>
        <w:t>: W projektowany przepisie doszło wadliwego ujęcia redakcyjnego oraz istotnego pominięcia podmiotowego. Stanowi on: „</w:t>
      </w:r>
      <w:r w:rsidRPr="00C46809">
        <w:rPr>
          <w:rFonts w:ascii="Times New Roman" w:hAnsi="Times New Roman" w:cs="Times New Roman"/>
          <w:i/>
          <w:iCs/>
          <w:sz w:val="24"/>
          <w:szCs w:val="24"/>
        </w:rPr>
        <w:t>Minister Sprawiedliwości udostępnia sądom sprawującym w Rzeczypospolitej Polskiej wymiar sprawiedliwości – w związku z prowadzonym postępowaniem; Prokuratorowi Generalnemu, prokuratorom powszechnych jednostek organizacyjnych prokuratury – w związku z prowadzonym postępowaniem; rejestr, o którym mowa w ust. 1, za pośrednictwem wskazanego tam systemu teleinformatycznego, w zakresie wszystkich danych w nim zawartych</w:t>
      </w:r>
      <w:r w:rsidRPr="00C46809">
        <w:rPr>
          <w:rFonts w:ascii="Times New Roman" w:hAnsi="Times New Roman" w:cs="Times New Roman"/>
          <w:sz w:val="24"/>
          <w:szCs w:val="24"/>
        </w:rPr>
        <w:t>.”</w:t>
      </w:r>
    </w:p>
    <w:p w14:paraId="6B857DF3" w14:textId="77777777" w:rsidR="00C46809" w:rsidRPr="00C46809" w:rsidRDefault="00C46809" w:rsidP="00C46809">
      <w:pPr>
        <w:pStyle w:val="Bezodstpw"/>
        <w:spacing w:line="360" w:lineRule="auto"/>
        <w:ind w:left="567"/>
        <w:jc w:val="both"/>
        <w:rPr>
          <w:rFonts w:ascii="Times New Roman" w:hAnsi="Times New Roman" w:cs="Times New Roman"/>
          <w:sz w:val="24"/>
          <w:szCs w:val="24"/>
        </w:rPr>
      </w:pPr>
      <w:r w:rsidRPr="00C46809">
        <w:rPr>
          <w:rFonts w:ascii="Times New Roman" w:hAnsi="Times New Roman" w:cs="Times New Roman"/>
          <w:sz w:val="24"/>
          <w:szCs w:val="24"/>
        </w:rPr>
        <w:t>Wydaje się, że powinien on brzmieć: „</w:t>
      </w:r>
      <w:r w:rsidRPr="00C46809">
        <w:rPr>
          <w:rFonts w:ascii="Times New Roman" w:hAnsi="Times New Roman" w:cs="Times New Roman"/>
          <w:i/>
          <w:iCs/>
          <w:sz w:val="24"/>
          <w:szCs w:val="24"/>
        </w:rPr>
        <w:t>Minister Sprawiedliwości udostępnia Rejestr w zakresie wszystkich danych w nim zawartych sądom i prokuratorom, a także sądom rozstrzygającym w zakresie odpowiedzialności zawodowej i dyscyplinarnej</w:t>
      </w:r>
      <w:r w:rsidRPr="00C46809">
        <w:rPr>
          <w:rFonts w:ascii="Times New Roman" w:hAnsi="Times New Roman" w:cs="Times New Roman"/>
          <w:sz w:val="24"/>
          <w:szCs w:val="24"/>
        </w:rPr>
        <w:t>”.</w:t>
      </w:r>
    </w:p>
    <w:p w14:paraId="7B3DC34B"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color w:val="3A7C22" w:themeColor="accent6" w:themeShade="BF"/>
          <w:sz w:val="24"/>
          <w:szCs w:val="24"/>
        </w:rPr>
      </w:pPr>
      <w:r w:rsidRPr="00C46809">
        <w:rPr>
          <w:rFonts w:ascii="Times New Roman" w:hAnsi="Times New Roman" w:cs="Times New Roman"/>
          <w:b/>
          <w:bCs/>
          <w:sz w:val="24"/>
          <w:szCs w:val="24"/>
        </w:rPr>
        <w:t>art.69 ust.1 pkt. 1 i 4 Projektu</w:t>
      </w:r>
      <w:r w:rsidRPr="00C46809">
        <w:rPr>
          <w:rFonts w:ascii="Times New Roman" w:hAnsi="Times New Roman" w:cs="Times New Roman"/>
          <w:sz w:val="24"/>
          <w:szCs w:val="24"/>
        </w:rPr>
        <w:t>: Pierwszy zapis stanowi, że biegły sądowy winien wykonywać opinie „</w:t>
      </w:r>
      <w:r w:rsidRPr="00C46809">
        <w:rPr>
          <w:rFonts w:ascii="Times New Roman" w:hAnsi="Times New Roman" w:cs="Times New Roman"/>
          <w:i/>
          <w:iCs/>
          <w:sz w:val="24"/>
          <w:szCs w:val="24"/>
        </w:rPr>
        <w:t>ze szczególną starannością i bezstronnością</w:t>
      </w:r>
      <w:r w:rsidRPr="00C46809">
        <w:rPr>
          <w:rFonts w:ascii="Times New Roman" w:hAnsi="Times New Roman" w:cs="Times New Roman"/>
          <w:sz w:val="24"/>
          <w:szCs w:val="24"/>
        </w:rPr>
        <w:t xml:space="preserve">”. Wydaje się, że dodawanie przymiotnika ‘szczególna’ jest zbędne i konfudująco sugeruje, że tylko na potrzeby wykonywania biegłego konkretna osoba winna działać szczególnie starannie, a inne swoje zadania  i obwiązki </w:t>
      </w:r>
      <w:r w:rsidRPr="00C46809">
        <w:rPr>
          <w:rFonts w:ascii="Times New Roman" w:hAnsi="Times New Roman" w:cs="Times New Roman"/>
          <w:sz w:val="24"/>
          <w:szCs w:val="24"/>
        </w:rPr>
        <w:lastRenderedPageBreak/>
        <w:t xml:space="preserve">może wykonywać „zaledwie” starannie. Nadto, nie istnieje żadne kryterium czytelnie odróżniające staranność ‘szczególną’ od ‘zwykłej’. </w:t>
      </w:r>
    </w:p>
    <w:p w14:paraId="0B7A035E" w14:textId="77777777" w:rsidR="00C46809" w:rsidRPr="00C46809" w:rsidRDefault="00C46809" w:rsidP="00C46809">
      <w:pPr>
        <w:pStyle w:val="Bezodstpw"/>
        <w:spacing w:line="360" w:lineRule="auto"/>
        <w:ind w:left="567"/>
        <w:jc w:val="both"/>
        <w:rPr>
          <w:rFonts w:ascii="Times New Roman" w:hAnsi="Times New Roman" w:cs="Times New Roman"/>
          <w:color w:val="3A7C22" w:themeColor="accent6" w:themeShade="BF"/>
          <w:sz w:val="24"/>
          <w:szCs w:val="24"/>
        </w:rPr>
      </w:pPr>
      <w:r w:rsidRPr="00C46809">
        <w:rPr>
          <w:rFonts w:ascii="Times New Roman" w:hAnsi="Times New Roman" w:cs="Times New Roman"/>
          <w:sz w:val="24"/>
          <w:szCs w:val="24"/>
        </w:rPr>
        <w:t xml:space="preserve">Drugi zapis nakazuje biegłemu zachować w tajemnicy fakty i okoliczności, z którymi zapoznał się w związku z wydawaną opinią. Brakuje tu dopełnienia, że chodzi o fakty i okoliczności konkretnej sprawy. </w:t>
      </w:r>
    </w:p>
    <w:p w14:paraId="62DFEF02" w14:textId="77777777" w:rsidR="00C46809" w:rsidRPr="00C46809" w:rsidRDefault="00C46809" w:rsidP="00C46809">
      <w:pPr>
        <w:pStyle w:val="Bezodstpw"/>
        <w:spacing w:line="360" w:lineRule="auto"/>
        <w:ind w:left="567"/>
        <w:jc w:val="both"/>
        <w:rPr>
          <w:rFonts w:ascii="Times New Roman" w:hAnsi="Times New Roman" w:cs="Times New Roman"/>
          <w:color w:val="3A7C22" w:themeColor="accent6" w:themeShade="BF"/>
          <w:sz w:val="24"/>
          <w:szCs w:val="24"/>
        </w:rPr>
      </w:pPr>
      <w:r w:rsidRPr="00C46809">
        <w:rPr>
          <w:rFonts w:ascii="Times New Roman" w:hAnsi="Times New Roman" w:cs="Times New Roman"/>
          <w:sz w:val="24"/>
          <w:szCs w:val="24"/>
        </w:rPr>
        <w:t xml:space="preserve">Jednocześnie powyższy przepis brzmi zbyt rygorystycznie, gdyż uniemożliwia on wykorzystywanie wyników i doświadczeń (wiedzy) biegłego nabywanych przy realizacji ekspertyz, w działalności naukowej i szkoleniowej, a niekiedy także na potrzeby innych toczących się postępowań;  </w:t>
      </w:r>
    </w:p>
    <w:p w14:paraId="43E112F7" w14:textId="77777777" w:rsidR="00C46809" w:rsidRPr="00C46809" w:rsidRDefault="00C46809" w:rsidP="00C46809">
      <w:pPr>
        <w:pStyle w:val="Bezodstpw"/>
        <w:spacing w:line="360" w:lineRule="auto"/>
        <w:ind w:left="567"/>
        <w:jc w:val="both"/>
        <w:rPr>
          <w:rFonts w:ascii="Times New Roman" w:hAnsi="Times New Roman" w:cs="Times New Roman"/>
          <w:color w:val="3A7C22" w:themeColor="accent6" w:themeShade="BF"/>
          <w:sz w:val="24"/>
          <w:szCs w:val="24"/>
        </w:rPr>
      </w:pPr>
      <w:r w:rsidRPr="00C46809">
        <w:rPr>
          <w:rFonts w:ascii="Times New Roman" w:hAnsi="Times New Roman" w:cs="Times New Roman"/>
          <w:sz w:val="24"/>
          <w:szCs w:val="24"/>
        </w:rPr>
        <w:t xml:space="preserve">W związku z powyższym proponuje się brzmienia art.69 ust.1 pkt 4 ukształtować następująco: </w:t>
      </w:r>
    </w:p>
    <w:p w14:paraId="2CA17582" w14:textId="77777777" w:rsidR="00C46809" w:rsidRPr="00C46809" w:rsidRDefault="00C46809" w:rsidP="00C46809">
      <w:pPr>
        <w:pStyle w:val="Bezodstpw"/>
        <w:spacing w:line="360" w:lineRule="auto"/>
        <w:ind w:left="567"/>
        <w:jc w:val="both"/>
        <w:rPr>
          <w:rFonts w:ascii="Times New Roman" w:hAnsi="Times New Roman" w:cs="Times New Roman"/>
          <w:i/>
          <w:iCs/>
          <w:sz w:val="24"/>
          <w:szCs w:val="24"/>
        </w:rPr>
      </w:pPr>
      <w:r w:rsidRPr="00C46809">
        <w:rPr>
          <w:rFonts w:ascii="Times New Roman" w:hAnsi="Times New Roman" w:cs="Times New Roman"/>
          <w:sz w:val="24"/>
          <w:szCs w:val="24"/>
        </w:rPr>
        <w:t>„</w:t>
      </w:r>
      <w:r w:rsidRPr="00C46809">
        <w:rPr>
          <w:rFonts w:ascii="Times New Roman" w:hAnsi="Times New Roman" w:cs="Times New Roman"/>
          <w:i/>
          <w:iCs/>
          <w:sz w:val="24"/>
          <w:szCs w:val="24"/>
        </w:rPr>
        <w:t xml:space="preserve">4) zachowuje w tajemnicy fakty i okoliczności konkretnej sprawy, z którymi zapoznał się w związku z wydawaną opinią; nie dotyczy to wykorzystania spostrzeżeń i wyników opinii na potrzeby </w:t>
      </w:r>
    </w:p>
    <w:p w14:paraId="4925C5A8" w14:textId="77777777" w:rsidR="00C46809" w:rsidRPr="00C46809" w:rsidRDefault="00C46809" w:rsidP="00C46809">
      <w:pPr>
        <w:pStyle w:val="Bezodstpw"/>
        <w:spacing w:line="360" w:lineRule="auto"/>
        <w:ind w:left="567"/>
        <w:jc w:val="both"/>
        <w:rPr>
          <w:rFonts w:ascii="Times New Roman" w:hAnsi="Times New Roman" w:cs="Times New Roman"/>
          <w:i/>
          <w:iCs/>
          <w:sz w:val="24"/>
          <w:szCs w:val="24"/>
        </w:rPr>
      </w:pPr>
      <w:r w:rsidRPr="00C46809">
        <w:rPr>
          <w:rFonts w:ascii="Times New Roman" w:hAnsi="Times New Roman" w:cs="Times New Roman"/>
          <w:sz w:val="24"/>
          <w:szCs w:val="24"/>
        </w:rPr>
        <w:t xml:space="preserve"> </w:t>
      </w:r>
      <w:r w:rsidRPr="00C46809">
        <w:rPr>
          <w:rFonts w:ascii="Times New Roman" w:hAnsi="Times New Roman" w:cs="Times New Roman"/>
          <w:i/>
          <w:iCs/>
          <w:sz w:val="24"/>
          <w:szCs w:val="24"/>
        </w:rPr>
        <w:t xml:space="preserve">- działalności naukowej lub szkoleniowej prowadzonej przez biegłego, pod warunkiem </w:t>
      </w:r>
      <w:proofErr w:type="spellStart"/>
      <w:r w:rsidRPr="00C46809">
        <w:rPr>
          <w:rFonts w:ascii="Times New Roman" w:hAnsi="Times New Roman" w:cs="Times New Roman"/>
          <w:i/>
          <w:iCs/>
          <w:sz w:val="24"/>
          <w:szCs w:val="24"/>
        </w:rPr>
        <w:t>anonimizacji</w:t>
      </w:r>
      <w:proofErr w:type="spellEnd"/>
      <w:r w:rsidRPr="00C46809">
        <w:rPr>
          <w:rFonts w:ascii="Times New Roman" w:hAnsi="Times New Roman" w:cs="Times New Roman"/>
          <w:i/>
          <w:iCs/>
          <w:sz w:val="24"/>
          <w:szCs w:val="24"/>
        </w:rPr>
        <w:t xml:space="preserve"> danych identyfikujących sprawę, chyba że organ zlecający opiniowania zezwoli na ich ujawnienie albo </w:t>
      </w:r>
    </w:p>
    <w:p w14:paraId="491C982B" w14:textId="77777777" w:rsidR="00C46809" w:rsidRPr="00C46809" w:rsidRDefault="00C46809" w:rsidP="00C46809">
      <w:pPr>
        <w:pStyle w:val="Bezodstpw"/>
        <w:spacing w:line="360" w:lineRule="auto"/>
        <w:ind w:left="567"/>
        <w:jc w:val="both"/>
        <w:rPr>
          <w:rFonts w:ascii="Times New Roman" w:hAnsi="Times New Roman" w:cs="Times New Roman"/>
          <w:i/>
          <w:iCs/>
          <w:sz w:val="24"/>
          <w:szCs w:val="24"/>
        </w:rPr>
      </w:pPr>
      <w:r w:rsidRPr="00C46809">
        <w:rPr>
          <w:rFonts w:ascii="Times New Roman" w:hAnsi="Times New Roman" w:cs="Times New Roman"/>
          <w:i/>
          <w:iCs/>
          <w:sz w:val="24"/>
          <w:szCs w:val="24"/>
        </w:rPr>
        <w:t>- opiniowania na potrzeby innego postępowania prowadzonego na podstawie ustawy.”.</w:t>
      </w:r>
    </w:p>
    <w:p w14:paraId="6906972A" w14:textId="77777777" w:rsidR="00C46809" w:rsidRPr="00C46809" w:rsidRDefault="00C46809" w:rsidP="00C46809">
      <w:pPr>
        <w:pStyle w:val="Bezodstpw"/>
        <w:spacing w:line="360" w:lineRule="auto"/>
        <w:ind w:left="567"/>
        <w:jc w:val="both"/>
        <w:rPr>
          <w:rFonts w:ascii="Times New Roman" w:hAnsi="Times New Roman" w:cs="Times New Roman"/>
          <w:color w:val="3A7C22" w:themeColor="accent6" w:themeShade="BF"/>
          <w:sz w:val="24"/>
          <w:szCs w:val="24"/>
        </w:rPr>
      </w:pPr>
      <w:r w:rsidRPr="00C46809">
        <w:rPr>
          <w:rFonts w:ascii="Times New Roman" w:hAnsi="Times New Roman" w:cs="Times New Roman"/>
          <w:sz w:val="24"/>
          <w:szCs w:val="24"/>
        </w:rPr>
        <w:t>Przepisy tzw. RODO, czyli Rozporządzenie Parlamentu Europejskiego i Rady (UE) 2016/679 z dnia 27 kwietnia 2016 r.</w:t>
      </w:r>
      <w:r w:rsidRPr="00C46809">
        <w:rPr>
          <w:rFonts w:ascii="Times New Roman" w:hAnsi="Times New Roman" w:cs="Times New Roman"/>
          <w:i/>
          <w:iCs/>
          <w:sz w:val="24"/>
          <w:szCs w:val="24"/>
        </w:rPr>
        <w:t xml:space="preserve"> w sprawie ochrony osób fizycznych w związku z przetwarzaniem danych osobowych i w sprawie swobodnego przepływu takich danych oraz uchylenia dyrektywy 95/46/WE (ogólne rozporządzenie o ochronie danych) </w:t>
      </w:r>
      <w:r w:rsidRPr="00C46809">
        <w:rPr>
          <w:rFonts w:ascii="Times New Roman" w:hAnsi="Times New Roman" w:cs="Times New Roman"/>
          <w:sz w:val="24"/>
          <w:szCs w:val="24"/>
        </w:rPr>
        <w:t xml:space="preserve">(Dz. U. UE. L. z 2016 r. Nr 119, str. 1 z </w:t>
      </w:r>
      <w:proofErr w:type="spellStart"/>
      <w:r w:rsidRPr="00C46809">
        <w:rPr>
          <w:rFonts w:ascii="Times New Roman" w:hAnsi="Times New Roman" w:cs="Times New Roman"/>
          <w:sz w:val="24"/>
          <w:szCs w:val="24"/>
        </w:rPr>
        <w:t>późn</w:t>
      </w:r>
      <w:proofErr w:type="spellEnd"/>
      <w:r w:rsidRPr="00C46809">
        <w:rPr>
          <w:rFonts w:ascii="Times New Roman" w:hAnsi="Times New Roman" w:cs="Times New Roman"/>
          <w:sz w:val="24"/>
          <w:szCs w:val="24"/>
        </w:rPr>
        <w:t xml:space="preserve">. zm.), wspomniane w uzasadnieniu Projektu, nie wydają się w żadnej mierze sprzeciwiać takiemu rozwiązaniu. </w:t>
      </w:r>
    </w:p>
    <w:p w14:paraId="3CE21587"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color w:val="3A7C22" w:themeColor="accent6" w:themeShade="BF"/>
          <w:sz w:val="24"/>
          <w:szCs w:val="24"/>
        </w:rPr>
      </w:pPr>
      <w:r w:rsidRPr="00C46809">
        <w:rPr>
          <w:rFonts w:ascii="Times New Roman" w:hAnsi="Times New Roman" w:cs="Times New Roman"/>
          <w:b/>
          <w:bCs/>
          <w:sz w:val="24"/>
          <w:szCs w:val="24"/>
        </w:rPr>
        <w:t>art.73 Projektu</w:t>
      </w:r>
      <w:r w:rsidRPr="00C46809">
        <w:rPr>
          <w:rFonts w:ascii="Times New Roman" w:hAnsi="Times New Roman" w:cs="Times New Roman"/>
          <w:sz w:val="24"/>
          <w:szCs w:val="24"/>
        </w:rPr>
        <w:t>: Zgodnie z przepisem: „</w:t>
      </w:r>
      <w:r w:rsidRPr="00C46809">
        <w:rPr>
          <w:rFonts w:ascii="Times New Roman" w:hAnsi="Times New Roman" w:cs="Times New Roman"/>
          <w:i/>
          <w:iCs/>
          <w:sz w:val="24"/>
          <w:szCs w:val="24"/>
        </w:rPr>
        <w:t xml:space="preserve">1. Biegły sądowy nie może odmówić wydania opinii zleconej przez organ prowadzący postępowanie z obszaru apelacji, o której mowa w art. 27 ust. 3 pkt 7, z wyjątkiem przypadków określonych w przepisach regulujących postępowanie przed tymi organami. 2. Instytucja opiniująca nie może odmówić wydania opinii zleconej przez </w:t>
      </w:r>
      <w:r w:rsidRPr="00C46809">
        <w:rPr>
          <w:rFonts w:ascii="Times New Roman" w:hAnsi="Times New Roman" w:cs="Times New Roman"/>
          <w:i/>
          <w:iCs/>
          <w:sz w:val="24"/>
          <w:szCs w:val="24"/>
        </w:rPr>
        <w:lastRenderedPageBreak/>
        <w:t>organ prowadzący postępowanie, z wyjątkiem przypadków określonych w przepisach regulujących postępowanie przed tymi organami</w:t>
      </w:r>
      <w:r w:rsidRPr="00C46809">
        <w:rPr>
          <w:rFonts w:ascii="Times New Roman" w:hAnsi="Times New Roman" w:cs="Times New Roman"/>
          <w:sz w:val="24"/>
          <w:szCs w:val="24"/>
        </w:rPr>
        <w:t xml:space="preserve">.”. </w:t>
      </w:r>
    </w:p>
    <w:p w14:paraId="4860ABC4" w14:textId="77777777" w:rsidR="00C46809" w:rsidRPr="00C46809" w:rsidRDefault="00C46809" w:rsidP="00C46809">
      <w:pPr>
        <w:pStyle w:val="Bezodstpw"/>
        <w:spacing w:line="360" w:lineRule="auto"/>
        <w:ind w:left="567"/>
        <w:jc w:val="both"/>
        <w:rPr>
          <w:rFonts w:ascii="Times New Roman" w:hAnsi="Times New Roman" w:cs="Times New Roman"/>
          <w:sz w:val="24"/>
          <w:szCs w:val="24"/>
        </w:rPr>
      </w:pPr>
      <w:r w:rsidRPr="00C46809">
        <w:rPr>
          <w:rFonts w:ascii="Times New Roman" w:hAnsi="Times New Roman" w:cs="Times New Roman"/>
          <w:sz w:val="24"/>
          <w:szCs w:val="24"/>
        </w:rPr>
        <w:t xml:space="preserve">Pierwsza wątpliwość wiąże się z uwagą zawartą już w pkt. 13 niniejszej opinii (dot. regionalizacji działania biegłych). </w:t>
      </w:r>
    </w:p>
    <w:p w14:paraId="3FAA623C" w14:textId="77777777" w:rsidR="00C46809" w:rsidRPr="00C46809" w:rsidRDefault="00C46809" w:rsidP="00C46809">
      <w:pPr>
        <w:pStyle w:val="Bezodstpw"/>
        <w:spacing w:line="360" w:lineRule="auto"/>
        <w:ind w:left="567"/>
        <w:jc w:val="both"/>
        <w:rPr>
          <w:rFonts w:ascii="Times New Roman" w:hAnsi="Times New Roman" w:cs="Times New Roman"/>
          <w:sz w:val="24"/>
          <w:szCs w:val="24"/>
        </w:rPr>
      </w:pPr>
      <w:r w:rsidRPr="00C46809">
        <w:rPr>
          <w:rFonts w:ascii="Times New Roman" w:hAnsi="Times New Roman" w:cs="Times New Roman"/>
          <w:sz w:val="24"/>
          <w:szCs w:val="24"/>
        </w:rPr>
        <w:t>Z kolei odwołania się w zakresie odmowy do przesłanek określonych w przepisach dot. organów zlecających opinię jest zupełnie niejasne. Przykładowo,  nie wiadomo, co miałoby być przesłanką odmowy opiniowania w postępowaniu karnym, gdyż k.p.k. nie przewiduje takiej regulacji. Wydaje się, że Projekt powinien zawrzeć zamiast tego trzy czytelne przesłanki faktyczne odmowy, wspólne dla biegłych indywidualnych i instytucji opiniujących:</w:t>
      </w:r>
    </w:p>
    <w:p w14:paraId="06875E15" w14:textId="77777777" w:rsidR="00C46809" w:rsidRPr="00C46809" w:rsidRDefault="00C46809" w:rsidP="00C46809">
      <w:pPr>
        <w:pStyle w:val="Bezodstpw"/>
        <w:numPr>
          <w:ilvl w:val="0"/>
          <w:numId w:val="4"/>
        </w:numPr>
        <w:spacing w:line="360" w:lineRule="auto"/>
        <w:ind w:left="851" w:hanging="284"/>
        <w:jc w:val="both"/>
        <w:rPr>
          <w:rFonts w:ascii="Times New Roman" w:hAnsi="Times New Roman" w:cs="Times New Roman"/>
          <w:sz w:val="24"/>
          <w:szCs w:val="24"/>
        </w:rPr>
      </w:pPr>
      <w:r w:rsidRPr="00C46809">
        <w:rPr>
          <w:rFonts w:ascii="Times New Roman" w:hAnsi="Times New Roman" w:cs="Times New Roman"/>
          <w:sz w:val="24"/>
          <w:szCs w:val="24"/>
        </w:rPr>
        <w:t>udokumentowane obciążenie innymi ekspertyzami;</w:t>
      </w:r>
    </w:p>
    <w:p w14:paraId="12310DA5" w14:textId="77777777" w:rsidR="00C46809" w:rsidRPr="00C46809" w:rsidRDefault="00C46809" w:rsidP="00C46809">
      <w:pPr>
        <w:pStyle w:val="Bezodstpw"/>
        <w:numPr>
          <w:ilvl w:val="0"/>
          <w:numId w:val="4"/>
        </w:numPr>
        <w:spacing w:line="360" w:lineRule="auto"/>
        <w:ind w:left="851" w:hanging="284"/>
        <w:jc w:val="both"/>
        <w:rPr>
          <w:rFonts w:ascii="Times New Roman" w:hAnsi="Times New Roman" w:cs="Times New Roman"/>
          <w:sz w:val="24"/>
          <w:szCs w:val="24"/>
        </w:rPr>
      </w:pPr>
      <w:r w:rsidRPr="00C46809">
        <w:rPr>
          <w:rFonts w:ascii="Times New Roman" w:hAnsi="Times New Roman" w:cs="Times New Roman"/>
          <w:sz w:val="24"/>
          <w:szCs w:val="24"/>
        </w:rPr>
        <w:t>wykraczania zlecenia poza kompetencje biegłego, co winien on uzasadnić (wykazać);</w:t>
      </w:r>
    </w:p>
    <w:p w14:paraId="7EE52763" w14:textId="77777777" w:rsidR="00C46809" w:rsidRPr="00C46809" w:rsidRDefault="00C46809" w:rsidP="00C46809">
      <w:pPr>
        <w:pStyle w:val="Bezodstpw"/>
        <w:numPr>
          <w:ilvl w:val="0"/>
          <w:numId w:val="4"/>
        </w:numPr>
        <w:spacing w:line="360" w:lineRule="auto"/>
        <w:ind w:left="851" w:hanging="284"/>
        <w:jc w:val="both"/>
        <w:rPr>
          <w:rFonts w:ascii="Times New Roman" w:hAnsi="Times New Roman" w:cs="Times New Roman"/>
          <w:sz w:val="24"/>
          <w:szCs w:val="24"/>
        </w:rPr>
      </w:pPr>
      <w:r w:rsidRPr="00C46809">
        <w:rPr>
          <w:rFonts w:ascii="Times New Roman" w:hAnsi="Times New Roman" w:cs="Times New Roman"/>
          <w:sz w:val="24"/>
          <w:szCs w:val="24"/>
        </w:rPr>
        <w:t>gdy proponowane przez zleceniodawcę wynagrodzenie odbiega na niekorzyść od wynagrodzenia obliczonego zgodnie z regułami ustawowymi.</w:t>
      </w:r>
    </w:p>
    <w:p w14:paraId="382506DD"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color w:val="3A7C22" w:themeColor="accent6" w:themeShade="BF"/>
          <w:sz w:val="24"/>
          <w:szCs w:val="24"/>
        </w:rPr>
      </w:pPr>
      <w:r w:rsidRPr="00C46809">
        <w:rPr>
          <w:rFonts w:ascii="Times New Roman" w:hAnsi="Times New Roman" w:cs="Times New Roman"/>
          <w:b/>
          <w:bCs/>
          <w:sz w:val="24"/>
          <w:szCs w:val="24"/>
        </w:rPr>
        <w:t>art.75 ust.7 Projektu</w:t>
      </w:r>
      <w:r w:rsidRPr="00C46809">
        <w:rPr>
          <w:rFonts w:ascii="Times New Roman" w:hAnsi="Times New Roman" w:cs="Times New Roman"/>
          <w:sz w:val="24"/>
          <w:szCs w:val="24"/>
        </w:rPr>
        <w:t xml:space="preserve">: Przepis udziela delegacji ustawowej Ministrowi Sprawiedliwości do ustalenia stawek wynagrodzenia biegłych, w tym w razie złożoności problemu badawczego. Obserwując praktykę częstego przypisywania przez biegłych nawet w prostym opiniowaniu rzekomej złożoności problemu (co po części tłumaczą obecne niskie stawki wynagrodzeń) ustawa winna wskazać jakie obiektywne i w miarę możliwości mierzalne kryteria winny służyć stwierdzeniu, czy rzeczywiście mamy do czynienia z taką sytuacją.  </w:t>
      </w:r>
    </w:p>
    <w:p w14:paraId="7F851689"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color w:val="3A7C22" w:themeColor="accent6" w:themeShade="BF"/>
          <w:sz w:val="24"/>
          <w:szCs w:val="24"/>
        </w:rPr>
      </w:pPr>
      <w:r w:rsidRPr="00C46809">
        <w:rPr>
          <w:rFonts w:ascii="Times New Roman" w:hAnsi="Times New Roman" w:cs="Times New Roman"/>
          <w:b/>
          <w:bCs/>
          <w:sz w:val="24"/>
          <w:szCs w:val="24"/>
        </w:rPr>
        <w:t>art.76 ust.5 Projektu</w:t>
      </w:r>
      <w:r w:rsidRPr="00C46809">
        <w:rPr>
          <w:rFonts w:ascii="Times New Roman" w:hAnsi="Times New Roman" w:cs="Times New Roman"/>
          <w:sz w:val="24"/>
          <w:szCs w:val="24"/>
        </w:rPr>
        <w:t>: Przepis wskazuje, że biegłemu przysługuje zwrot kosztów także „</w:t>
      </w:r>
      <w:r w:rsidRPr="00C46809">
        <w:rPr>
          <w:rFonts w:ascii="Times New Roman" w:hAnsi="Times New Roman" w:cs="Times New Roman"/>
          <w:i/>
          <w:iCs/>
          <w:sz w:val="24"/>
          <w:szCs w:val="24"/>
        </w:rPr>
        <w:t>w sytuacji nieskorzystania przez organ prowadzący postępowanie z pomocy takiego biegłego sądowego</w:t>
      </w:r>
      <w:r w:rsidRPr="00C46809">
        <w:rPr>
          <w:rFonts w:ascii="Times New Roman" w:hAnsi="Times New Roman" w:cs="Times New Roman"/>
          <w:sz w:val="24"/>
          <w:szCs w:val="24"/>
        </w:rPr>
        <w:t>”. Proponuje się korektę (podobnie w brzmieniu art.77 ust.1): „</w:t>
      </w:r>
      <w:r w:rsidRPr="00C46809">
        <w:rPr>
          <w:rFonts w:ascii="Times New Roman" w:hAnsi="Times New Roman" w:cs="Times New Roman"/>
          <w:i/>
          <w:iCs/>
          <w:sz w:val="24"/>
          <w:szCs w:val="24"/>
        </w:rPr>
        <w:t>w sytuacji nieprzeprowadzenia czynności z udziałem biegłego sądowego</w:t>
      </w:r>
      <w:r w:rsidRPr="00C46809">
        <w:rPr>
          <w:rFonts w:ascii="Times New Roman" w:hAnsi="Times New Roman" w:cs="Times New Roman"/>
          <w:sz w:val="24"/>
          <w:szCs w:val="24"/>
        </w:rPr>
        <w:t>”.</w:t>
      </w:r>
    </w:p>
    <w:p w14:paraId="2FBE8633"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color w:val="3A7C22" w:themeColor="accent6" w:themeShade="BF"/>
          <w:sz w:val="24"/>
          <w:szCs w:val="24"/>
        </w:rPr>
      </w:pPr>
      <w:r w:rsidRPr="00C46809">
        <w:rPr>
          <w:rFonts w:ascii="Times New Roman" w:hAnsi="Times New Roman" w:cs="Times New Roman"/>
          <w:b/>
          <w:bCs/>
          <w:sz w:val="24"/>
          <w:szCs w:val="24"/>
        </w:rPr>
        <w:lastRenderedPageBreak/>
        <w:t>art.77 Projektu</w:t>
      </w:r>
      <w:r w:rsidRPr="00C46809">
        <w:rPr>
          <w:rFonts w:ascii="Times New Roman" w:hAnsi="Times New Roman" w:cs="Times New Roman"/>
          <w:sz w:val="24"/>
          <w:szCs w:val="24"/>
        </w:rPr>
        <w:t>: Nie do końca jasna jest relacja tych przepisów do norm art.76, skoro biegły nie wykonywał realnie czynności eksperckich, a jedynie „stracił” czas. Rekompensata za utracony czas nie może być ustalana wedle takich samych reguł jak wynagrodzenia za faktyczne opiniowanie, co proponuje Projekt.</w:t>
      </w:r>
    </w:p>
    <w:p w14:paraId="3B2F12E4"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 79 Projektu</w:t>
      </w:r>
      <w:r w:rsidRPr="00C46809">
        <w:rPr>
          <w:rFonts w:ascii="Times New Roman" w:hAnsi="Times New Roman" w:cs="Times New Roman"/>
          <w:sz w:val="24"/>
          <w:szCs w:val="24"/>
        </w:rPr>
        <w:t xml:space="preserve">: Projekt słusznie przewiduje możliwość reakcji wobec biegłych, którzy przedłożyli fałszywą, nierzetelną lub wydaną ze znacznym opóźnieniem opinię. Można jednak zwrócić uwagę, że regulacja ta w pewnych przypadkach nie będzie wystarczająca. Dotyczy to sytuacji, w której nierzetelność opinii została wykazana dopiero na późniejszym etapie postępowania np. na skutek inicjatywy stron lub przez sąd z urzędu (w trakcie odpowiedniego postępowania). Obecnie projektowany przepis nie przewiduje możliwości zwrotu wynagrodzenia w takim wypadku, zakładając, że organ akceptujący wykonanie opinii ostatecznie rozstrzyga o jej rzetelności. Należałoby więc rozważyć wprowadzenie regulacji (o skutku podobnym jak w przypadku projektowanego art. 79 ust. 1) dającej możliwości zmiany decyzji o przyznaniu wynagrodzenia w sytuacji, gdy pojawiły się nowe okoliczności wskazujące na nierzetelność opinii. Nie jest przy tym wykluczone, że takie rozwiązanie powinno znaleźć się w ustawie procesowej (choć i opiniowana ustawa zawiera wprost przepis typowo procesowe, np. 82 ust. 1 projektu). </w:t>
      </w:r>
    </w:p>
    <w:p w14:paraId="17F48FCB"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color w:val="3A7C22" w:themeColor="accent6" w:themeShade="BF"/>
          <w:sz w:val="24"/>
          <w:szCs w:val="24"/>
        </w:rPr>
      </w:pPr>
      <w:r w:rsidRPr="00C46809">
        <w:rPr>
          <w:rFonts w:ascii="Times New Roman" w:hAnsi="Times New Roman" w:cs="Times New Roman"/>
          <w:b/>
          <w:bCs/>
          <w:sz w:val="24"/>
          <w:szCs w:val="24"/>
        </w:rPr>
        <w:t>art.81 Projektu</w:t>
      </w:r>
      <w:r w:rsidRPr="00C46809">
        <w:rPr>
          <w:rFonts w:ascii="Times New Roman" w:hAnsi="Times New Roman" w:cs="Times New Roman"/>
          <w:sz w:val="24"/>
          <w:szCs w:val="24"/>
        </w:rPr>
        <w:t xml:space="preserve">: Przepisy tego artykułu regulują wypłacanie zaliczki na wynagrodzenie. Praktyka, przynajmniej śledcza, wskazuje, że ustawa powinna także uregulować pokrywanie pewnych kosztów przez zleceniodawcę, gdy nie jest możliwe lub jest bardzo utrudnione dokonanie tego przez biegłego, a zakup określonej usługi, towaru lub innego świadczenia jest niezbędny dla ekspertyzy.    </w:t>
      </w:r>
    </w:p>
    <w:p w14:paraId="1C3D25DB"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color w:val="3A7C22" w:themeColor="accent6" w:themeShade="BF"/>
          <w:sz w:val="24"/>
          <w:szCs w:val="24"/>
        </w:rPr>
      </w:pPr>
      <w:r w:rsidRPr="00C46809">
        <w:rPr>
          <w:rFonts w:ascii="Times New Roman" w:hAnsi="Times New Roman" w:cs="Times New Roman"/>
          <w:b/>
          <w:bCs/>
          <w:sz w:val="24"/>
          <w:szCs w:val="24"/>
        </w:rPr>
        <w:t>art.82 ust.2 Projektu</w:t>
      </w:r>
      <w:r w:rsidRPr="00C46809">
        <w:rPr>
          <w:rFonts w:ascii="Times New Roman" w:hAnsi="Times New Roman" w:cs="Times New Roman"/>
          <w:sz w:val="24"/>
          <w:szCs w:val="24"/>
        </w:rPr>
        <w:t xml:space="preserve">: Projektodawca  winien rozważyć zniesienie obowiązku doręczania biegłemu postanowienia o przyznaniu wynagrodzenia, a nawet w ogóle wydawania takiego orzeczenia, względnie zastąpić go zarządzeniem organu procesowego, jeżeli faktura VAT lub rachunek </w:t>
      </w:r>
      <w:r w:rsidRPr="00C46809">
        <w:rPr>
          <w:rFonts w:ascii="Times New Roman" w:hAnsi="Times New Roman" w:cs="Times New Roman"/>
          <w:sz w:val="24"/>
          <w:szCs w:val="24"/>
        </w:rPr>
        <w:lastRenderedPageBreak/>
        <w:t xml:space="preserve">wystawiony przez biegłego zostaje uwzględniony w całości. Jest to bowiem zbędna formalność generująca koszty i stratę czasu po obu stronach. Dla zaliczenia rachunku lub faktury za usługę opiniowania do kosztów postępowania w zupełności wystarczające jest ich włączenie w poczet materiału procesowego ze stosowną adnotacją. </w:t>
      </w:r>
    </w:p>
    <w:p w14:paraId="70E2047E"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 82 ust. 2 Projektu</w:t>
      </w:r>
      <w:r w:rsidRPr="00C46809">
        <w:rPr>
          <w:rFonts w:ascii="Times New Roman" w:hAnsi="Times New Roman" w:cs="Times New Roman"/>
          <w:sz w:val="24"/>
          <w:szCs w:val="24"/>
        </w:rPr>
        <w:t>: Co prawda projekt przewiduje składanie rachunków wraz z samą opinią (por. zmiany wynikające z art. 93 pkt 2 projektu i art. 95 pkt 5 b projektu), ale jednocześnie wskazuje, że biegły powinien złożyć stosowny wniosek o przyznanie należności, a może to uczynić w terminie do 15 dnia miesiąca następującego po miesiącu, w którym zakończono czynność z udziałem biegłego. Tymczasem opiniowany przepis wskazujący na termin zatwierdzenia rachunku i wydania postanowienia odnosi tę czynność do chwili wpłynięcia opinii (</w:t>
      </w:r>
      <w:r w:rsidRPr="00C46809">
        <w:rPr>
          <w:rFonts w:ascii="Times New Roman" w:hAnsi="Times New Roman" w:cs="Times New Roman"/>
          <w:i/>
          <w:iCs/>
          <w:sz w:val="24"/>
          <w:szCs w:val="24"/>
        </w:rPr>
        <w:t>Organ prowadzący postępowanie lub referendarz sądowy zatwierdza rachunek i wydaje postanowienie o przyznaniu biegłemu sądowemu wynagrodzenia, nie później niż w terminie 14 dni od dnia wpłynięcia opinii</w:t>
      </w:r>
      <w:r w:rsidRPr="00C46809">
        <w:rPr>
          <w:rFonts w:ascii="Times New Roman" w:hAnsi="Times New Roman" w:cs="Times New Roman"/>
          <w:sz w:val="24"/>
          <w:szCs w:val="24"/>
        </w:rPr>
        <w:t xml:space="preserve">). Wydaje się, że skoro podstawą do wypłaty nie zawsze jest wyłącznie opinia, to omawiany przepis powinien relatywizować termin podjęcia czynności do prawidłowego złożenia rachunków lub wniosku przez biegłego. Projekt powinien także precyzyjniej posługiwać się terminologią w tym zakresie, gdyż w kluczowym art.74 posługuje się pojęciem rachunku lub faktury (np. art.74 ust.2 i 3), ale w art.82 ust.2 mowa jest tylko o rachunku, choć norma ta z pewnością musi dotyczyć też faktur. </w:t>
      </w:r>
    </w:p>
    <w:p w14:paraId="29D34FFC"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 85 projektu</w:t>
      </w:r>
      <w:r w:rsidRPr="00C46809">
        <w:rPr>
          <w:rFonts w:ascii="Times New Roman" w:hAnsi="Times New Roman" w:cs="Times New Roman"/>
          <w:sz w:val="24"/>
          <w:szCs w:val="24"/>
        </w:rPr>
        <w:t xml:space="preserve">: Projekt przewiduje powołanie Rady Biegłych, przy czym należy zwrócić uwagę, że w jej skład nie muszą wchodzić biegli. W związku z tym, że zadaniami Rady ma być reprezentowanie interesów biegłych czy opiniowanie aktu prawnych dotyczących biegłych, należałoby rozważyć czy projekt nie powinien jednak co najmniej przewidywać, że wśród jej członków będą również znajdować się biegli. </w:t>
      </w:r>
    </w:p>
    <w:p w14:paraId="2AB033EA"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bookmarkStart w:id="2" w:name="_Hlk192191019"/>
      <w:r w:rsidRPr="00C46809">
        <w:rPr>
          <w:rFonts w:ascii="Times New Roman" w:hAnsi="Times New Roman" w:cs="Times New Roman"/>
          <w:b/>
          <w:bCs/>
          <w:sz w:val="24"/>
          <w:szCs w:val="24"/>
        </w:rPr>
        <w:t>art.95 Projektu</w:t>
      </w:r>
      <w:r w:rsidRPr="00C46809">
        <w:rPr>
          <w:rFonts w:ascii="Times New Roman" w:hAnsi="Times New Roman" w:cs="Times New Roman"/>
          <w:sz w:val="24"/>
          <w:szCs w:val="24"/>
        </w:rPr>
        <w:t xml:space="preserve">: </w:t>
      </w:r>
      <w:bookmarkEnd w:id="2"/>
      <w:r w:rsidRPr="00C46809">
        <w:rPr>
          <w:rFonts w:ascii="Times New Roman" w:hAnsi="Times New Roman" w:cs="Times New Roman"/>
          <w:sz w:val="24"/>
          <w:szCs w:val="24"/>
        </w:rPr>
        <w:t xml:space="preserve">Wątpliwości budzi zmiana brzmienia art.195 k.p.k. </w:t>
      </w:r>
    </w:p>
    <w:p w14:paraId="44C468C8" w14:textId="77777777" w:rsidR="00C46809" w:rsidRPr="00C46809" w:rsidRDefault="00C46809" w:rsidP="00C46809">
      <w:pPr>
        <w:pStyle w:val="Bezodstpw"/>
        <w:numPr>
          <w:ilvl w:val="0"/>
          <w:numId w:val="5"/>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Dotychczasowa jego treść („</w:t>
      </w:r>
      <w:r w:rsidRPr="00C46809">
        <w:rPr>
          <w:rFonts w:ascii="Times New Roman" w:hAnsi="Times New Roman" w:cs="Times New Roman"/>
          <w:i/>
          <w:iCs/>
          <w:sz w:val="24"/>
          <w:szCs w:val="24"/>
        </w:rPr>
        <w:t xml:space="preserve">Do pełnienia czynności biegłego jest obowiązany nie tylko biegły sądowy, lecz także każda osoba, o której </w:t>
      </w:r>
      <w:r w:rsidRPr="00C46809">
        <w:rPr>
          <w:rFonts w:ascii="Times New Roman" w:hAnsi="Times New Roman" w:cs="Times New Roman"/>
          <w:i/>
          <w:iCs/>
          <w:sz w:val="24"/>
          <w:szCs w:val="24"/>
        </w:rPr>
        <w:lastRenderedPageBreak/>
        <w:t>wiadomo, że ma odpowiednią wiedzę w danej dziedzinie</w:t>
      </w:r>
      <w:r w:rsidRPr="00C46809">
        <w:rPr>
          <w:rFonts w:ascii="Times New Roman" w:hAnsi="Times New Roman" w:cs="Times New Roman"/>
          <w:sz w:val="24"/>
          <w:szCs w:val="24"/>
        </w:rPr>
        <w:t>.”) zostaje bowiem wedle Projektu oznaczona jako § 1 i dodaje się dalsze § 2-5. Przy czym paragraf drugi otrzymuje brzmienie: „</w:t>
      </w:r>
      <w:r w:rsidRPr="00C46809">
        <w:rPr>
          <w:rFonts w:ascii="Times New Roman" w:hAnsi="Times New Roman" w:cs="Times New Roman"/>
          <w:i/>
          <w:iCs/>
          <w:sz w:val="24"/>
          <w:szCs w:val="24"/>
        </w:rPr>
        <w:t>W szczególnie uzasadnionych przypadkach, gdy powołanie biegłego sądowego jest niemożliwe lub znacznie utrudnione, do wykonywania czynności biegłego jest obowiązana także osoba fizyczna, o której wiadomo, że ma odpowiednią wiedzę w danej dziedzinie</w:t>
      </w:r>
      <w:r w:rsidRPr="00C46809">
        <w:rPr>
          <w:rFonts w:ascii="Times New Roman" w:hAnsi="Times New Roman" w:cs="Times New Roman"/>
          <w:sz w:val="24"/>
          <w:szCs w:val="24"/>
        </w:rPr>
        <w:t xml:space="preserve">.”. Treść tego paragrafu </w:t>
      </w:r>
      <w:r w:rsidRPr="00C46809">
        <w:rPr>
          <w:rFonts w:ascii="Times New Roman" w:hAnsi="Times New Roman" w:cs="Times New Roman"/>
          <w:i/>
          <w:iCs/>
          <w:sz w:val="24"/>
          <w:szCs w:val="24"/>
        </w:rPr>
        <w:t xml:space="preserve">in fine </w:t>
      </w:r>
      <w:r w:rsidRPr="00C46809">
        <w:rPr>
          <w:rFonts w:ascii="Times New Roman" w:hAnsi="Times New Roman" w:cs="Times New Roman"/>
          <w:sz w:val="24"/>
          <w:szCs w:val="24"/>
        </w:rPr>
        <w:t xml:space="preserve">stanowi </w:t>
      </w:r>
      <w:proofErr w:type="spellStart"/>
      <w:r w:rsidRPr="00C46809">
        <w:rPr>
          <w:rFonts w:ascii="Times New Roman" w:hAnsi="Times New Roman" w:cs="Times New Roman"/>
          <w:sz w:val="24"/>
          <w:szCs w:val="24"/>
        </w:rPr>
        <w:t>superfluum</w:t>
      </w:r>
      <w:proofErr w:type="spellEnd"/>
      <w:r w:rsidRPr="00C46809">
        <w:rPr>
          <w:rFonts w:ascii="Times New Roman" w:hAnsi="Times New Roman" w:cs="Times New Roman"/>
          <w:sz w:val="24"/>
          <w:szCs w:val="24"/>
        </w:rPr>
        <w:t xml:space="preserve"> ustawowe. Wydaje się trafnym, aby projektowany § 2 ustalić jako § 1, a treść art.195 w brzmieniu </w:t>
      </w:r>
      <w:r w:rsidRPr="00C46809">
        <w:rPr>
          <w:rFonts w:ascii="Times New Roman" w:hAnsi="Times New Roman" w:cs="Times New Roman"/>
          <w:i/>
          <w:iCs/>
          <w:sz w:val="24"/>
          <w:szCs w:val="24"/>
        </w:rPr>
        <w:t xml:space="preserve">de lege lata </w:t>
      </w:r>
      <w:r w:rsidRPr="00C46809">
        <w:rPr>
          <w:rFonts w:ascii="Times New Roman" w:hAnsi="Times New Roman" w:cs="Times New Roman"/>
          <w:sz w:val="24"/>
          <w:szCs w:val="24"/>
        </w:rPr>
        <w:t>wyeliminować.</w:t>
      </w:r>
    </w:p>
    <w:p w14:paraId="3DF49327" w14:textId="77777777" w:rsidR="00C46809" w:rsidRPr="00C46809" w:rsidRDefault="00C46809" w:rsidP="00C46809">
      <w:pPr>
        <w:pStyle w:val="Bezodstpw"/>
        <w:numPr>
          <w:ilvl w:val="0"/>
          <w:numId w:val="5"/>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 xml:space="preserve">Oprócz tego, że nowy art. 195 § 2 wydaje się częściowym powtórzeniem już istniejącego art. 195 § 1 </w:t>
      </w:r>
      <w:proofErr w:type="spellStart"/>
      <w:r w:rsidRPr="00C46809">
        <w:rPr>
          <w:rFonts w:ascii="Times New Roman" w:hAnsi="Times New Roman" w:cs="Times New Roman"/>
          <w:sz w:val="24"/>
          <w:szCs w:val="24"/>
        </w:rPr>
        <w:t>kpk</w:t>
      </w:r>
      <w:proofErr w:type="spellEnd"/>
      <w:r w:rsidRPr="00C46809">
        <w:rPr>
          <w:rFonts w:ascii="Times New Roman" w:hAnsi="Times New Roman" w:cs="Times New Roman"/>
          <w:sz w:val="24"/>
          <w:szCs w:val="24"/>
        </w:rPr>
        <w:t>, to w § 2 i 3 tego przepisu odsyła się do ust. 1, w sytuacji, gdy jednostkami redakcyjnymi w tym wypadku w kodeksie są jedynie paragrafy (powinno więc być § 1, a nie ust. 1). Nie mówiąc już o tym – niezależnie od uwagi powyżej w pkt. a - że brak jest racjonalnego odesłania w projektowanym art. 195 § 4 k.p.k. tylko do § 1 tego przepisu, co zakłada wykluczenie tego przepisu w sytuacji powoływania do pełnienia czynności biegłych z art. 195 § 2, w nowym brzmieniu.</w:t>
      </w:r>
    </w:p>
    <w:p w14:paraId="6ABE187B" w14:textId="77777777" w:rsidR="00C46809" w:rsidRPr="00C46809" w:rsidRDefault="00C46809" w:rsidP="00C46809">
      <w:pPr>
        <w:pStyle w:val="Bezodstpw"/>
        <w:numPr>
          <w:ilvl w:val="0"/>
          <w:numId w:val="5"/>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W projektowanym § 4 do tzw. biegłych ad hoc planuje się stosować kryteria z art.25 pkt. 6,7 oraz 9-11. Wydaje się jednak, że winny być to także wymogi określone w art.25 pkt 4 (pełna zdolność do czynności prawnych) i pkt 5 (pełnia praw publicznych).</w:t>
      </w:r>
    </w:p>
    <w:p w14:paraId="19BE144E" w14:textId="77777777" w:rsidR="00C46809" w:rsidRPr="00C46809" w:rsidRDefault="00C46809" w:rsidP="00C46809">
      <w:pPr>
        <w:pStyle w:val="Bezodstpw"/>
        <w:numPr>
          <w:ilvl w:val="0"/>
          <w:numId w:val="5"/>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 xml:space="preserve">Nadto, w nowym brzmieniu art. 195 § 4 k.p.k. odsyła do bliżej nieokreślonego „Rejestru”, co nie wydaje się poprawne, zwłaszcza, że kodeks postepowania karnego autonomicznie używa pojęcia „rejestru” w kontekście rejestru przestępstw (por. art. 325 f § 1 </w:t>
      </w:r>
      <w:proofErr w:type="spellStart"/>
      <w:r w:rsidRPr="00C46809">
        <w:rPr>
          <w:rFonts w:ascii="Times New Roman" w:hAnsi="Times New Roman" w:cs="Times New Roman"/>
          <w:sz w:val="24"/>
          <w:szCs w:val="24"/>
        </w:rPr>
        <w:t>kpk</w:t>
      </w:r>
      <w:proofErr w:type="spellEnd"/>
      <w:r w:rsidRPr="00C46809">
        <w:rPr>
          <w:rFonts w:ascii="Times New Roman" w:hAnsi="Times New Roman" w:cs="Times New Roman"/>
          <w:sz w:val="24"/>
          <w:szCs w:val="24"/>
        </w:rPr>
        <w:t>). Po drugie, powstaje pytanie, co ma oznaczać w praktyce stosowanie tych wymogów, tj. kto i w jaki sposób powinien weryfikować w trakcie postępowania karnego te wymogi, zwłaszcza że weryfikacja ich z urzędu może być utrudniona.</w:t>
      </w:r>
    </w:p>
    <w:p w14:paraId="2C1DC436" w14:textId="77777777" w:rsidR="00C46809" w:rsidRPr="00C46809" w:rsidRDefault="00C46809" w:rsidP="00C46809">
      <w:pPr>
        <w:pStyle w:val="Bezodstpw"/>
        <w:spacing w:line="360" w:lineRule="auto"/>
        <w:ind w:left="1068"/>
        <w:jc w:val="both"/>
        <w:rPr>
          <w:rFonts w:ascii="Times New Roman" w:hAnsi="Times New Roman" w:cs="Times New Roman"/>
          <w:sz w:val="24"/>
          <w:szCs w:val="24"/>
        </w:rPr>
      </w:pPr>
      <w:r w:rsidRPr="00C46809">
        <w:rPr>
          <w:rFonts w:ascii="Times New Roman" w:hAnsi="Times New Roman" w:cs="Times New Roman"/>
          <w:sz w:val="24"/>
          <w:szCs w:val="24"/>
        </w:rPr>
        <w:lastRenderedPageBreak/>
        <w:t>Na stronie 59 uzasadnienia ustawy znajduje się związana z omawianym zagadnieniem omyłka, gdyż wskazując podmioty, którym będzie przysługiwało prawo do wydawania opinii i wykonywania innych czynności biegłego uzasadnienie odsyła do „osób i instytucji określonych w art. 69 ustawy”. (</w:t>
      </w:r>
      <w:r w:rsidRPr="00C46809">
        <w:rPr>
          <w:rFonts w:ascii="Times New Roman" w:hAnsi="Times New Roman" w:cs="Times New Roman"/>
          <w:i/>
          <w:iCs/>
          <w:sz w:val="24"/>
          <w:szCs w:val="24"/>
        </w:rPr>
        <w:t>Przedmiotowe prawo będzie przysługiwało: biegłym sądowym, instytucjom opiniującym, a także na zasadach określonych w ustawie osobom i instytucjom, o których mowa w art. 69 ustawy</w:t>
      </w:r>
      <w:r w:rsidRPr="00C46809">
        <w:rPr>
          <w:rFonts w:ascii="Times New Roman" w:hAnsi="Times New Roman" w:cs="Times New Roman"/>
          <w:sz w:val="24"/>
          <w:szCs w:val="24"/>
        </w:rPr>
        <w:t>). Kolejny zaś akapit odwołuje się wprost do art. 69 ustawy.  (</w:t>
      </w:r>
      <w:r w:rsidRPr="00C46809">
        <w:rPr>
          <w:rFonts w:ascii="Times New Roman" w:hAnsi="Times New Roman" w:cs="Times New Roman"/>
          <w:i/>
          <w:iCs/>
          <w:sz w:val="24"/>
          <w:szCs w:val="24"/>
        </w:rPr>
        <w:t>Należy w tym miejscu wskazać, że zgodnie z projektowanym art. 69 ustawy, w szczególnie uzasadnionych przypadkach, gdy powołanie biegłego sądowego jest niemożliwe lub znacznie utrudnione, do wykonywania czynności biegłego jest obowiązana także osoba fizyczna, o której wiadomo, że ma odpowiednią wiedzę w danej dziedzinie. Regulacja ta będzie miała odpowiednie zastosowanie do instytucji opiniującej</w:t>
      </w:r>
      <w:r w:rsidRPr="00C46809">
        <w:rPr>
          <w:rFonts w:ascii="Times New Roman" w:hAnsi="Times New Roman" w:cs="Times New Roman"/>
          <w:sz w:val="24"/>
          <w:szCs w:val="24"/>
        </w:rPr>
        <w:t>).</w:t>
      </w:r>
    </w:p>
    <w:p w14:paraId="0CFD1739" w14:textId="77777777" w:rsidR="00C46809" w:rsidRPr="00C46809" w:rsidRDefault="00C46809" w:rsidP="00C46809">
      <w:pPr>
        <w:pStyle w:val="Bezodstpw"/>
        <w:spacing w:line="360" w:lineRule="auto"/>
        <w:ind w:left="1068"/>
        <w:jc w:val="both"/>
        <w:rPr>
          <w:rFonts w:ascii="Times New Roman" w:hAnsi="Times New Roman" w:cs="Times New Roman"/>
          <w:sz w:val="24"/>
          <w:szCs w:val="24"/>
        </w:rPr>
      </w:pPr>
      <w:r w:rsidRPr="00C46809">
        <w:rPr>
          <w:rFonts w:ascii="Times New Roman" w:hAnsi="Times New Roman" w:cs="Times New Roman"/>
          <w:sz w:val="24"/>
          <w:szCs w:val="24"/>
        </w:rPr>
        <w:t>Tymczasem art. 69 projektu ani nie wskazuje żadnych „osób, ani instytucji” a w ogóle ma zgoła inne brzmienie niż wynikałoby to z tego fragmentu uzasadnienia projektu ustawy. Formułuje bowiem obowiązki biegłego.</w:t>
      </w:r>
    </w:p>
    <w:p w14:paraId="6470A3BF" w14:textId="77777777" w:rsidR="00C46809" w:rsidRPr="00C46809" w:rsidRDefault="00C46809" w:rsidP="00C46809">
      <w:pPr>
        <w:pStyle w:val="Bezodstpw"/>
        <w:spacing w:line="360" w:lineRule="auto"/>
        <w:ind w:left="1068"/>
        <w:jc w:val="both"/>
        <w:rPr>
          <w:rFonts w:ascii="Times New Roman" w:hAnsi="Times New Roman" w:cs="Times New Roman"/>
          <w:sz w:val="24"/>
          <w:szCs w:val="24"/>
        </w:rPr>
      </w:pPr>
      <w:r w:rsidRPr="00C46809">
        <w:rPr>
          <w:rFonts w:ascii="Times New Roman" w:hAnsi="Times New Roman" w:cs="Times New Roman"/>
          <w:sz w:val="24"/>
          <w:szCs w:val="24"/>
        </w:rPr>
        <w:t>Wskazuje na to, że autorzy projektu być może zmienili początkowe założenie, aby kwestia biegłych ad hoc była regulowana w opiniowanej ustawie i przenieśli tę materię do przepisów procesowych, co spowodowało właśnie spowodowało niejasności, błędy i niespójność regulacji.</w:t>
      </w:r>
    </w:p>
    <w:p w14:paraId="5046BF83" w14:textId="77777777" w:rsidR="00C46809" w:rsidRPr="00C46809" w:rsidRDefault="00C46809" w:rsidP="00C46809">
      <w:pPr>
        <w:pStyle w:val="Bezodstpw"/>
        <w:numPr>
          <w:ilvl w:val="0"/>
          <w:numId w:val="5"/>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 xml:space="preserve">Projekt postuluje (art.195a k.p.k.) wprowadzenie do procesu karnego tzw. prywatnej opinii biegłego. O ile sama koncepcja włączenia takiej ekspertyzy w poczet środków dowodowych jest godna dyskusji, to jednak proponowane brzmienie art.195a § 2 i 3 k.p.k. jest wątpliwe. Przede wszystkim, nie znajduje uzasadniania wyłączenie stosowania art.170 k.p.k. formułującego przesłanki oddalenia wniosku dowodowego. Po drugie, organ procesowy winien decydować, czy i w </w:t>
      </w:r>
      <w:r w:rsidRPr="00C46809">
        <w:rPr>
          <w:rFonts w:ascii="Times New Roman" w:hAnsi="Times New Roman" w:cs="Times New Roman"/>
          <w:sz w:val="24"/>
          <w:szCs w:val="24"/>
        </w:rPr>
        <w:lastRenderedPageBreak/>
        <w:t>jakim zakresie udostępnić stronie postępowania materiały sprawy na potrzeby opiniowania oraz wyznaczać nieprzekraczalny, oczywiście rozsądny, termin złożenia opinii.</w:t>
      </w:r>
    </w:p>
    <w:p w14:paraId="452DD85C" w14:textId="77777777" w:rsidR="00C46809" w:rsidRPr="00C46809" w:rsidRDefault="00C46809" w:rsidP="00C46809">
      <w:pPr>
        <w:pStyle w:val="Bezodstpw"/>
        <w:numPr>
          <w:ilvl w:val="0"/>
          <w:numId w:val="5"/>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Z treści Projektu można z jednej strony wnioskować, że zakłada ona decyzję organu prowadzącego postępowanie o dopuszczeniu (lub oddaleniu) wniosku dowodowego o przeprowadzenie dowodu z opinii biegłego, sporządzanej (w przyszłości) na zlecenie strony. Nie odnosi się ona do sytuacji, gdy strona dysponuje opinią wykonaną na jej zlecenie, a jedynie chce ją dopiero przeprowadzić (</w:t>
      </w:r>
      <w:proofErr w:type="spellStart"/>
      <w:r w:rsidRPr="00C46809">
        <w:rPr>
          <w:rFonts w:ascii="Times New Roman" w:hAnsi="Times New Roman" w:cs="Times New Roman"/>
          <w:sz w:val="24"/>
          <w:szCs w:val="24"/>
        </w:rPr>
        <w:t>arg</w:t>
      </w:r>
      <w:proofErr w:type="spellEnd"/>
      <w:r w:rsidRPr="00C46809">
        <w:rPr>
          <w:rFonts w:ascii="Times New Roman" w:hAnsi="Times New Roman" w:cs="Times New Roman"/>
          <w:sz w:val="24"/>
          <w:szCs w:val="24"/>
        </w:rPr>
        <w:t>. ex. 195a § 2 pkt 2,3,4). Jeżeli tak, to ostatecznie opinia byłaby wykonana na polecenie sądu (po jej dopuszczeniu), zgodnie z ogólnym regułami kodeksu dotyczącymi dopuszczania dowodów z opinii biegłego. Z drugiej strony jeżeli zamysłem projektu było umożliwianie wprowadzenia do procesu już istniejącej opinii sporządzonej na zlecenie strony (za tym przemawiałoby projektowany przepis art. 632c k.p.k. -„</w:t>
      </w:r>
      <w:r w:rsidRPr="00C46809">
        <w:rPr>
          <w:rFonts w:ascii="Times New Roman" w:hAnsi="Times New Roman" w:cs="Times New Roman"/>
          <w:i/>
          <w:iCs/>
          <w:sz w:val="24"/>
          <w:szCs w:val="24"/>
        </w:rPr>
        <w:t>W uzasadnionych przypadkach, w szczególności, gdy opinia, o której mowa w art. 195a, miała istotne znaczenie dla rozstrzygnięcia sprawy, Sąd na jej wniosek może przyznać zwrot kosztów opinii w całości lub części. Przepisy art. 632–632b oraz przepis art. 73 i art. 74 ustawy z dnia …….. o biegłych sądowych oraz instytucjach opiniujących (Dz. U. z …..) stosuje się odpowiednio. – art. 95 pkt 13 projektu.</w:t>
      </w:r>
      <w:r w:rsidRPr="00C46809">
        <w:rPr>
          <w:rFonts w:ascii="Times New Roman" w:hAnsi="Times New Roman" w:cs="Times New Roman"/>
          <w:sz w:val="24"/>
          <w:szCs w:val="24"/>
        </w:rPr>
        <w:t xml:space="preserve">”,  to nie wydaje, żeby tak ujęty przepis mieścił się w materii, która miała być przedmiotem ustawy. Regulacja ta nie dotyczy ona bowiem wprost biegłych sądowych, a wprowadzania do procesu karnego dowodów prywatnych. </w:t>
      </w:r>
    </w:p>
    <w:p w14:paraId="0AD21E1D" w14:textId="77777777" w:rsidR="00C46809" w:rsidRPr="00C46809" w:rsidRDefault="00C46809" w:rsidP="00C46809">
      <w:pPr>
        <w:pStyle w:val="Bezodstpw"/>
        <w:numPr>
          <w:ilvl w:val="0"/>
          <w:numId w:val="5"/>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 xml:space="preserve">Ta ważka, a nawet rewolucyjna w swoim jednoznacznym charakterze zmiana w kodeksie, została skwitowana niewystarczającym, jednym akapitem na stronie 87 uzasadnienia. Problematyka dowodów prywatnych, w tym dowodów z prywatnej opinii biegłych jest przedmiotem wielu opracowań, gdyż istnieje niezbędna konieczność uregulowania tej kwestii i otwarcia procesu karnego na takiego rodzaju </w:t>
      </w:r>
      <w:r w:rsidRPr="00C46809">
        <w:rPr>
          <w:rFonts w:ascii="Times New Roman" w:hAnsi="Times New Roman" w:cs="Times New Roman"/>
          <w:sz w:val="24"/>
          <w:szCs w:val="24"/>
        </w:rPr>
        <w:lastRenderedPageBreak/>
        <w:t>dowody prywatne, co powinno sprzyjać ustaleniu prawdy materialnej. Niestety zaproponowana regulacja (w braku uzasadnienia) nie pozwala się szerzej do niej odnieść. Interpretacji intencji projektodawcy nie sprzyja też redakcja używającą pojęcia „sporządzanej”, a nie np. „sporządzonej”, co mogło sugerować kolejność czynności, do której odnosi się projekt.</w:t>
      </w:r>
    </w:p>
    <w:p w14:paraId="39D9E619" w14:textId="77777777" w:rsidR="00C46809" w:rsidRPr="00C46809" w:rsidRDefault="00C46809" w:rsidP="00C46809">
      <w:pPr>
        <w:pStyle w:val="Bezodstpw"/>
        <w:spacing w:line="360" w:lineRule="auto"/>
        <w:ind w:left="1068"/>
        <w:jc w:val="both"/>
        <w:rPr>
          <w:rFonts w:ascii="Times New Roman" w:hAnsi="Times New Roman" w:cs="Times New Roman"/>
          <w:sz w:val="24"/>
          <w:szCs w:val="24"/>
        </w:rPr>
      </w:pPr>
      <w:r w:rsidRPr="00C46809">
        <w:rPr>
          <w:rFonts w:ascii="Times New Roman" w:hAnsi="Times New Roman" w:cs="Times New Roman"/>
          <w:sz w:val="24"/>
          <w:szCs w:val="24"/>
        </w:rPr>
        <w:t>Kwestia ta wymaga więc ponownego przeanalizowania w różnych aspektach, a proponowany przepis należy zakwestionować w całości jako niejasny i nie rozwiązujący zasadniczych kwestii związanych z problematyką „prywatnych” opinii biegłego.</w:t>
      </w:r>
    </w:p>
    <w:p w14:paraId="775D2352" w14:textId="77777777" w:rsidR="00C46809" w:rsidRPr="00C46809" w:rsidRDefault="00C46809" w:rsidP="00C46809">
      <w:pPr>
        <w:pStyle w:val="Bezodstpw"/>
        <w:numPr>
          <w:ilvl w:val="0"/>
          <w:numId w:val="5"/>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 xml:space="preserve">Na tle całej regulacji instytucji certyfikowanego biegłego i powyższej propozycji wprowadzenia tzw. opinii prywatnej, która nie musi pochodzić od biegłego certyfikowanego, niezrozumiale jest dopuszczenie w </w:t>
      </w:r>
      <w:r w:rsidRPr="00C46809">
        <w:rPr>
          <w:rFonts w:ascii="Times New Roman" w:hAnsi="Times New Roman" w:cs="Times New Roman"/>
          <w:b/>
          <w:bCs/>
          <w:sz w:val="24"/>
          <w:szCs w:val="24"/>
        </w:rPr>
        <w:t>art.6 ust.3 Projektu</w:t>
      </w:r>
      <w:r w:rsidRPr="00C46809">
        <w:rPr>
          <w:rFonts w:ascii="Times New Roman" w:hAnsi="Times New Roman" w:cs="Times New Roman"/>
          <w:sz w:val="24"/>
          <w:szCs w:val="24"/>
        </w:rPr>
        <w:t xml:space="preserve"> do posługiwanie się przez takiego opiniującego tytułem „biegły sądowy” lub „instytucja opiniująca”. Z drugiej strony treść </w:t>
      </w:r>
      <w:r w:rsidRPr="00C46809">
        <w:rPr>
          <w:rFonts w:ascii="Times New Roman" w:hAnsi="Times New Roman" w:cs="Times New Roman"/>
          <w:b/>
          <w:bCs/>
          <w:sz w:val="24"/>
          <w:szCs w:val="24"/>
        </w:rPr>
        <w:t>art.3 Projektu</w:t>
      </w:r>
      <w:r w:rsidRPr="00C46809">
        <w:rPr>
          <w:rFonts w:ascii="Times New Roman" w:hAnsi="Times New Roman" w:cs="Times New Roman"/>
          <w:sz w:val="24"/>
          <w:szCs w:val="24"/>
        </w:rPr>
        <w:t xml:space="preserve">, nie przewiduje udziału biegłych „prywatnych” (nie wspomina o biegłych z art.195a), zatem zachodzi wewnętrzna sprzeczność Projektu ustawy w tej mierze. </w:t>
      </w:r>
    </w:p>
    <w:p w14:paraId="4B21039D" w14:textId="77777777" w:rsidR="00C46809" w:rsidRPr="00C46809" w:rsidRDefault="00C46809" w:rsidP="00C46809">
      <w:pPr>
        <w:pStyle w:val="Bezodstpw"/>
        <w:numPr>
          <w:ilvl w:val="0"/>
          <w:numId w:val="5"/>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Nadto sama regulacja wydaje się być oderwana od innych przepisów, przez wprowadzenie nowych kryteriów dla biegłego prywatnego („</w:t>
      </w:r>
      <w:r w:rsidRPr="00C46809">
        <w:rPr>
          <w:rFonts w:ascii="Times New Roman" w:hAnsi="Times New Roman" w:cs="Times New Roman"/>
          <w:i/>
          <w:iCs/>
          <w:sz w:val="24"/>
          <w:szCs w:val="24"/>
        </w:rPr>
        <w:t>osoba o uznanym dorobku zawodowym lub naukowym, dającej gwarancję posiadania odpowiednich kwalifikacji i korzystania z uznanych metod badawczych</w:t>
      </w:r>
      <w:r w:rsidRPr="00C46809">
        <w:rPr>
          <w:rFonts w:ascii="Times New Roman" w:hAnsi="Times New Roman" w:cs="Times New Roman"/>
          <w:sz w:val="24"/>
          <w:szCs w:val="24"/>
        </w:rPr>
        <w:t>”) w stosunku do kryteriów, do których odsyła chociażby projektowany art. 195 § 4 k.p.k., tworząc kolejną kategorię osób uprawnionych do opiniowania ze skutkami procesowymi ich opinii.</w:t>
      </w:r>
    </w:p>
    <w:p w14:paraId="4C947D91" w14:textId="77777777" w:rsidR="00C46809" w:rsidRPr="00C46809" w:rsidRDefault="00C46809" w:rsidP="00C46809">
      <w:pPr>
        <w:pStyle w:val="Bezodstpw"/>
        <w:numPr>
          <w:ilvl w:val="0"/>
          <w:numId w:val="5"/>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 xml:space="preserve">Budzi pewne wątpliwości, jeżeli chodzi stricte o kwestię techniki legislacyjnej, użycie pojęcia „organ procesowy”. W rozdziale dotyczącym przeprowadzania dowodów z opinii biegłych kodeks konsekwentnie używa formy bezosobowej „można się zwrócić”, </w:t>
      </w:r>
      <w:r w:rsidRPr="00C46809">
        <w:rPr>
          <w:rFonts w:ascii="Times New Roman" w:hAnsi="Times New Roman" w:cs="Times New Roman"/>
          <w:sz w:val="24"/>
          <w:szCs w:val="24"/>
        </w:rPr>
        <w:lastRenderedPageBreak/>
        <w:t>„zasięga się” (por. art. 193 § 1 k.p.k.) lub używa pojęć „sąd lub prokurator” (por. art. 198 § 1 k.p.k.).</w:t>
      </w:r>
    </w:p>
    <w:p w14:paraId="77A21437" w14:textId="77777777" w:rsidR="00C46809" w:rsidRPr="00C46809" w:rsidRDefault="00C46809" w:rsidP="00C46809">
      <w:pPr>
        <w:pStyle w:val="Bezodstpw"/>
        <w:numPr>
          <w:ilvl w:val="0"/>
          <w:numId w:val="5"/>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 xml:space="preserve">Projekt proponuje skreślenie art.198 § 1a k.p.k. Nie jest to trafne, albowiem nie planuje się nowelizacji art.194 k.p.k., który </w:t>
      </w:r>
      <w:r w:rsidRPr="00C46809">
        <w:rPr>
          <w:rFonts w:ascii="Times New Roman" w:hAnsi="Times New Roman" w:cs="Times New Roman"/>
          <w:i/>
          <w:iCs/>
          <w:sz w:val="24"/>
          <w:szCs w:val="24"/>
        </w:rPr>
        <w:t>de lege lata</w:t>
      </w:r>
      <w:r w:rsidRPr="00C46809">
        <w:rPr>
          <w:rFonts w:ascii="Times New Roman" w:hAnsi="Times New Roman" w:cs="Times New Roman"/>
          <w:sz w:val="24"/>
          <w:szCs w:val="24"/>
        </w:rPr>
        <w:t>, wadliwie, nie nakłada obowiązku wskazania w postanowieniu zakresu materiałów postępowania przygotowawczego (akt, dowodów rzeczowych, śladów etc.) przekazywanych biegłemu. Konieczne jest istnienie takiej normy, albo poprzez nowelizację art.194, albo poprzez zachowanie art.198 § 1a.</w:t>
      </w:r>
    </w:p>
    <w:p w14:paraId="1FEE7B71" w14:textId="77777777" w:rsidR="00C46809" w:rsidRPr="00C46809" w:rsidRDefault="00C46809" w:rsidP="00C46809">
      <w:pPr>
        <w:pStyle w:val="Bezodstpw"/>
        <w:numPr>
          <w:ilvl w:val="0"/>
          <w:numId w:val="5"/>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 xml:space="preserve">W art.200 § 2 proponuje się ukształtowanie następujących punktów 7-9: </w:t>
      </w:r>
    </w:p>
    <w:p w14:paraId="1B026277" w14:textId="77777777" w:rsidR="00C46809" w:rsidRPr="00C46809" w:rsidRDefault="00C46809" w:rsidP="00C46809">
      <w:pPr>
        <w:pStyle w:val="Bezodstpw"/>
        <w:spacing w:line="360" w:lineRule="auto"/>
        <w:ind w:left="1068"/>
        <w:jc w:val="both"/>
        <w:rPr>
          <w:rFonts w:ascii="Times New Roman" w:hAnsi="Times New Roman" w:cs="Times New Roman"/>
          <w:i/>
          <w:iCs/>
          <w:sz w:val="24"/>
          <w:szCs w:val="24"/>
        </w:rPr>
      </w:pPr>
      <w:r w:rsidRPr="00C46809">
        <w:rPr>
          <w:rFonts w:ascii="Times New Roman" w:hAnsi="Times New Roman" w:cs="Times New Roman"/>
          <w:sz w:val="24"/>
          <w:szCs w:val="24"/>
        </w:rPr>
        <w:t>„</w:t>
      </w:r>
      <w:r w:rsidRPr="00C46809">
        <w:rPr>
          <w:rFonts w:ascii="Times New Roman" w:hAnsi="Times New Roman" w:cs="Times New Roman"/>
          <w:i/>
          <w:iCs/>
          <w:sz w:val="24"/>
          <w:szCs w:val="24"/>
        </w:rPr>
        <w:t>7)</w:t>
      </w:r>
      <w:r w:rsidRPr="00C46809">
        <w:rPr>
          <w:rFonts w:ascii="Times New Roman" w:hAnsi="Times New Roman" w:cs="Times New Roman"/>
          <w:i/>
          <w:iCs/>
          <w:sz w:val="24"/>
          <w:szCs w:val="24"/>
        </w:rPr>
        <w:tab/>
        <w:t xml:space="preserve">sprawozdanie z przeprowadzonych czynności i spostrzeżeń oraz oparte na nich wnioski; </w:t>
      </w:r>
    </w:p>
    <w:p w14:paraId="45881C7D" w14:textId="77777777" w:rsidR="00C46809" w:rsidRPr="00C46809" w:rsidRDefault="00C46809" w:rsidP="00C46809">
      <w:pPr>
        <w:pStyle w:val="Bezodstpw"/>
        <w:spacing w:line="360" w:lineRule="auto"/>
        <w:ind w:left="1068"/>
        <w:jc w:val="both"/>
        <w:rPr>
          <w:rFonts w:ascii="Times New Roman" w:hAnsi="Times New Roman" w:cs="Times New Roman"/>
          <w:i/>
          <w:iCs/>
          <w:sz w:val="24"/>
          <w:szCs w:val="24"/>
        </w:rPr>
      </w:pPr>
      <w:r w:rsidRPr="00C46809">
        <w:rPr>
          <w:rFonts w:ascii="Times New Roman" w:hAnsi="Times New Roman" w:cs="Times New Roman"/>
          <w:i/>
          <w:iCs/>
          <w:sz w:val="24"/>
          <w:szCs w:val="24"/>
        </w:rPr>
        <w:t>8)</w:t>
      </w:r>
      <w:r w:rsidRPr="00C46809">
        <w:rPr>
          <w:rFonts w:ascii="Times New Roman" w:hAnsi="Times New Roman" w:cs="Times New Roman"/>
          <w:i/>
          <w:iCs/>
          <w:sz w:val="24"/>
          <w:szCs w:val="24"/>
        </w:rPr>
        <w:tab/>
        <w:t xml:space="preserve">informację o metodzie lub metodach zastosowanych do przeprowadzenia badań oraz o materiale badawczym; </w:t>
      </w:r>
    </w:p>
    <w:p w14:paraId="11B9B62A" w14:textId="77777777" w:rsidR="00C46809" w:rsidRPr="00C46809" w:rsidRDefault="00C46809" w:rsidP="00C46809">
      <w:pPr>
        <w:pStyle w:val="Bezodstpw"/>
        <w:spacing w:line="360" w:lineRule="auto"/>
        <w:ind w:left="1068"/>
        <w:jc w:val="both"/>
        <w:rPr>
          <w:rFonts w:ascii="Times New Roman" w:hAnsi="Times New Roman" w:cs="Times New Roman"/>
          <w:sz w:val="24"/>
          <w:szCs w:val="24"/>
        </w:rPr>
      </w:pPr>
      <w:r w:rsidRPr="00C46809">
        <w:rPr>
          <w:rFonts w:ascii="Times New Roman" w:hAnsi="Times New Roman" w:cs="Times New Roman"/>
          <w:i/>
          <w:iCs/>
          <w:sz w:val="24"/>
          <w:szCs w:val="24"/>
        </w:rPr>
        <w:t>9)</w:t>
      </w:r>
      <w:r w:rsidRPr="00C46809">
        <w:rPr>
          <w:rFonts w:ascii="Times New Roman" w:hAnsi="Times New Roman" w:cs="Times New Roman"/>
          <w:i/>
          <w:iCs/>
          <w:sz w:val="24"/>
          <w:szCs w:val="24"/>
        </w:rPr>
        <w:tab/>
        <w:t>uzasadnienie;</w:t>
      </w:r>
      <w:r w:rsidRPr="00C46809">
        <w:rPr>
          <w:rFonts w:ascii="Times New Roman" w:hAnsi="Times New Roman" w:cs="Times New Roman"/>
          <w:sz w:val="24"/>
          <w:szCs w:val="24"/>
        </w:rPr>
        <w:t xml:space="preserve">”. </w:t>
      </w:r>
    </w:p>
    <w:p w14:paraId="1C8E1911" w14:textId="77777777" w:rsidR="00C46809" w:rsidRPr="00C46809" w:rsidRDefault="00C46809" w:rsidP="00C46809">
      <w:pPr>
        <w:pStyle w:val="Bezodstpw"/>
        <w:spacing w:line="360" w:lineRule="auto"/>
        <w:ind w:left="1068"/>
        <w:jc w:val="both"/>
        <w:rPr>
          <w:rFonts w:ascii="Times New Roman" w:hAnsi="Times New Roman" w:cs="Times New Roman"/>
          <w:sz w:val="24"/>
          <w:szCs w:val="24"/>
        </w:rPr>
      </w:pPr>
      <w:r w:rsidRPr="00C46809">
        <w:rPr>
          <w:rFonts w:ascii="Times New Roman" w:hAnsi="Times New Roman" w:cs="Times New Roman"/>
          <w:sz w:val="24"/>
          <w:szCs w:val="24"/>
        </w:rPr>
        <w:t>Wydaje się, że treść pkt. 8 wina poprzedzać treść pkt 7, a pkt 9 jest nieczytelny. Sprawozdanie z przeprowadzonych czynności i spostrzeżeń oraz oparte na nich wnioski stanowią zasadniczy część tego, co stanowi właśnie uzasadnienie ekspertyzy. Z kolei fakultatywna treść opinii biegłego, która miałaby wynikać z nowego brzmienia art. 200 § 2</w:t>
      </w:r>
      <w:r w:rsidRPr="00C46809">
        <w:rPr>
          <w:rFonts w:ascii="Times New Roman" w:hAnsi="Times New Roman" w:cs="Times New Roman"/>
          <w:sz w:val="24"/>
          <w:szCs w:val="24"/>
          <w:vertAlign w:val="superscript"/>
        </w:rPr>
        <w:t>a</w:t>
      </w:r>
      <w:r w:rsidRPr="00C46809">
        <w:rPr>
          <w:rFonts w:ascii="Times New Roman" w:hAnsi="Times New Roman" w:cs="Times New Roman"/>
          <w:sz w:val="24"/>
          <w:szCs w:val="24"/>
        </w:rPr>
        <w:t xml:space="preserve"> k.p.k. (art. 95 pkt 5b) wyznaczana jest potrzebami opinii, tudzież koniecznością właściwej komunikacji wniosków opinii i nie ma potrzeby tego regulowania. Argument o inflacji regulacji prawnych zamieszczanych w kodeksach dotyczy także regulacji w zakresie wymogów przekazywanych kart pracy biegłego, która to regulacja (w przypadku uznania tego za niezbędne) mogłyby znaleźć się w samej opiniowanej ustawie, a nie w kodeksach. Zwłaszcza, że projekt przewiduje regulacje dotyczące sposobu przyznawania należności biegłym i ich zakres (art. 74-82 projektu). Spójne i pożądane byłoby, aby część regulacji, dotycząca kart pracy biegłych  (projektowane art. </w:t>
      </w:r>
      <w:r w:rsidRPr="00C46809">
        <w:rPr>
          <w:rFonts w:ascii="Times New Roman" w:hAnsi="Times New Roman" w:cs="Times New Roman"/>
          <w:sz w:val="24"/>
          <w:szCs w:val="24"/>
        </w:rPr>
        <w:lastRenderedPageBreak/>
        <w:t>202 § 2</w:t>
      </w:r>
      <w:r w:rsidRPr="00C46809">
        <w:rPr>
          <w:rFonts w:ascii="Times New Roman" w:hAnsi="Times New Roman" w:cs="Times New Roman"/>
          <w:sz w:val="24"/>
          <w:szCs w:val="24"/>
          <w:vertAlign w:val="superscript"/>
        </w:rPr>
        <w:t>b</w:t>
      </w:r>
      <w:r w:rsidRPr="00C46809">
        <w:rPr>
          <w:rFonts w:ascii="Times New Roman" w:hAnsi="Times New Roman" w:cs="Times New Roman"/>
          <w:sz w:val="24"/>
          <w:szCs w:val="24"/>
        </w:rPr>
        <w:t>-2</w:t>
      </w:r>
      <w:r w:rsidRPr="00C46809">
        <w:rPr>
          <w:rFonts w:ascii="Times New Roman" w:hAnsi="Times New Roman" w:cs="Times New Roman"/>
          <w:sz w:val="24"/>
          <w:szCs w:val="24"/>
          <w:vertAlign w:val="superscript"/>
        </w:rPr>
        <w:t>e</w:t>
      </w:r>
      <w:r w:rsidRPr="00C46809">
        <w:rPr>
          <w:rFonts w:ascii="Times New Roman" w:hAnsi="Times New Roman" w:cs="Times New Roman"/>
          <w:sz w:val="24"/>
          <w:szCs w:val="24"/>
        </w:rPr>
        <w:t xml:space="preserve">  k.p.k.), wprowadzające dodatkowe jednostki redakcyjne do kodeksów procesowych zaburzające ciągłą numerację przepisów, pozostała w ustawie, z uwagi na ich techniczne znaczenie.</w:t>
      </w:r>
    </w:p>
    <w:p w14:paraId="1264504F" w14:textId="77777777" w:rsidR="00C46809" w:rsidRPr="00C46809" w:rsidRDefault="00C46809" w:rsidP="00C46809">
      <w:pPr>
        <w:pStyle w:val="Bezodstpw"/>
        <w:numPr>
          <w:ilvl w:val="0"/>
          <w:numId w:val="5"/>
        </w:numPr>
        <w:spacing w:line="360" w:lineRule="auto"/>
        <w:jc w:val="both"/>
        <w:rPr>
          <w:rFonts w:ascii="Times New Roman" w:hAnsi="Times New Roman" w:cs="Times New Roman"/>
          <w:sz w:val="24"/>
          <w:szCs w:val="24"/>
        </w:rPr>
      </w:pPr>
      <w:r w:rsidRPr="00C46809">
        <w:rPr>
          <w:rFonts w:ascii="Times New Roman" w:hAnsi="Times New Roman" w:cs="Times New Roman"/>
          <w:sz w:val="24"/>
          <w:szCs w:val="24"/>
        </w:rPr>
        <w:t>Niejasne jest projektowane dodanie do art.315 k.p.k. § 3 o treści: „</w:t>
      </w:r>
      <w:r w:rsidRPr="00C46809">
        <w:rPr>
          <w:rFonts w:ascii="Times New Roman" w:hAnsi="Times New Roman" w:cs="Times New Roman"/>
          <w:i/>
          <w:iCs/>
          <w:sz w:val="24"/>
          <w:szCs w:val="24"/>
        </w:rPr>
        <w:t>§ 3. Przepis art. 195a stosuje się odpowiednio</w:t>
      </w:r>
      <w:r w:rsidRPr="00C46809">
        <w:rPr>
          <w:rFonts w:ascii="Times New Roman" w:hAnsi="Times New Roman" w:cs="Times New Roman"/>
          <w:sz w:val="24"/>
          <w:szCs w:val="24"/>
        </w:rPr>
        <w:t>.”.</w:t>
      </w:r>
    </w:p>
    <w:p w14:paraId="2D69A3D8" w14:textId="77777777" w:rsidR="00C46809" w:rsidRPr="00C46809" w:rsidRDefault="00C46809" w:rsidP="00C46809">
      <w:pPr>
        <w:pStyle w:val="Bezodstpw"/>
        <w:spacing w:line="360" w:lineRule="auto"/>
        <w:ind w:left="567"/>
        <w:jc w:val="both"/>
        <w:rPr>
          <w:rFonts w:ascii="Times New Roman" w:hAnsi="Times New Roman" w:cs="Times New Roman"/>
          <w:sz w:val="24"/>
          <w:szCs w:val="24"/>
        </w:rPr>
      </w:pPr>
      <w:bookmarkStart w:id="3" w:name="ezdSprawaZnak"/>
      <w:bookmarkEnd w:id="3"/>
      <w:r w:rsidRPr="00C46809">
        <w:rPr>
          <w:rFonts w:ascii="Times New Roman" w:hAnsi="Times New Roman" w:cs="Times New Roman"/>
          <w:sz w:val="24"/>
          <w:szCs w:val="24"/>
        </w:rPr>
        <w:t xml:space="preserve">Zbliżone uwagi, jak powyżej należy zgłosić do projektu modyfikacji przepisów dot. biegłych w przepisach kodeksu postępowania cywilnego. </w:t>
      </w:r>
    </w:p>
    <w:p w14:paraId="48BF5156"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b/>
          <w:bCs/>
          <w:sz w:val="24"/>
          <w:szCs w:val="24"/>
        </w:rPr>
        <w:t>art.96 Projektu</w:t>
      </w:r>
      <w:r w:rsidRPr="00C46809">
        <w:rPr>
          <w:rFonts w:ascii="Times New Roman" w:hAnsi="Times New Roman" w:cs="Times New Roman"/>
          <w:sz w:val="24"/>
          <w:szCs w:val="24"/>
        </w:rPr>
        <w:t xml:space="preserve">: Projektodawcy proponują skreślenie art.233 § 4a k.p.k., który penalizuje nieumyślne złożenie opinii fałszywej. Podane uzasadnienie tego skreślenia jest lakoniczne, ograniczając się do jednozdaniowej wzmianki, co było przyczyną wprowadzania tej regulacji. Niewątpliwie omawiany przepis jest normą pustą w stosunku do przedstawienia opinii fałszywej, co może nastąpić tylko umyślnie. Można sobie jednak łatwo wyobrazić złożenia przez biegłego opinii nierzetelnej, błędnej w wyniku działania nieumyślnego w znaczeniu art.9 § 2 k.k., tj. na skutek niezachowania ostrożności wymaganej w danych okolicznościach (w tym wypadku przy realizacji ekspertyzy), mimo że możliwość popełnienia tego czynu przewidywał albo mógł przewidzieć. Doniosłość ekspertyz w postępowaniach, czy to karnych, cywilnych, czy wobec nieletnich jest bez wątpienia ogromna, często przesądzając o kierunku rozstrzygnięcia (np. w sprawach o błędy medyczne jest to niemal zawsze czynnik decydujący). Stąd nie można zgodzić się na depenalizacja opiniowania nierzetelnego. </w:t>
      </w:r>
      <w:r w:rsidRPr="00C46809">
        <w:rPr>
          <w:rFonts w:ascii="Times New Roman" w:hAnsi="Times New Roman" w:cs="Times New Roman"/>
          <w:i/>
          <w:iCs/>
          <w:sz w:val="24"/>
          <w:szCs w:val="24"/>
        </w:rPr>
        <w:t>Ergo</w:t>
      </w:r>
      <w:r w:rsidRPr="00C46809">
        <w:rPr>
          <w:rFonts w:ascii="Times New Roman" w:hAnsi="Times New Roman" w:cs="Times New Roman"/>
          <w:sz w:val="24"/>
          <w:szCs w:val="24"/>
        </w:rPr>
        <w:t>, przepis art.233 § 4a nie wymaga skreślenia, lecz modyfikacji w następujący sposób: „</w:t>
      </w:r>
      <w:r w:rsidRPr="00C46809">
        <w:rPr>
          <w:rFonts w:ascii="Times New Roman" w:hAnsi="Times New Roman" w:cs="Times New Roman"/>
          <w:i/>
          <w:iCs/>
          <w:sz w:val="24"/>
          <w:szCs w:val="24"/>
        </w:rPr>
        <w:t>Kto, jako biegły, rzeczoznawca lub tłumacz, nieumyślnie przedstawia nierzetelną opinię lub tłumaczenie, narażając na istotną szkodę interes publiczny lub interes prywatny, podlega karze pozbawienia wolności do lat 3</w:t>
      </w:r>
      <w:r w:rsidRPr="00C46809">
        <w:rPr>
          <w:rFonts w:ascii="Times New Roman" w:hAnsi="Times New Roman" w:cs="Times New Roman"/>
          <w:sz w:val="24"/>
          <w:szCs w:val="24"/>
        </w:rPr>
        <w:t>.”. Odpowiedniej modyfikacji powinien wówczas podlegać także art.233 § 5 k.k.</w:t>
      </w:r>
    </w:p>
    <w:p w14:paraId="6EA02F19"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sz w:val="24"/>
          <w:szCs w:val="24"/>
        </w:rPr>
        <w:t xml:space="preserve">Zastrzeżenia budzi nadanie nowego brzmienia rozdziałowi 6, w Dziale IV ustawy </w:t>
      </w:r>
      <w:r w:rsidRPr="00C46809">
        <w:rPr>
          <w:rFonts w:ascii="Times New Roman" w:hAnsi="Times New Roman" w:cs="Times New Roman"/>
          <w:i/>
          <w:iCs/>
          <w:sz w:val="24"/>
          <w:szCs w:val="24"/>
        </w:rPr>
        <w:t>Prawo o ustroju sądów powszechnych</w:t>
      </w:r>
      <w:r w:rsidRPr="00C46809">
        <w:rPr>
          <w:rFonts w:ascii="Times New Roman" w:hAnsi="Times New Roman" w:cs="Times New Roman"/>
          <w:sz w:val="24"/>
          <w:szCs w:val="24"/>
        </w:rPr>
        <w:t xml:space="preserve"> (art. 97 projektu). Dotychczas rozdział ten nosił nazwę „Biegli” i z oczywistych względów stracił rację bytu. </w:t>
      </w:r>
      <w:r w:rsidRPr="00C46809">
        <w:rPr>
          <w:rFonts w:ascii="Times New Roman" w:hAnsi="Times New Roman" w:cs="Times New Roman"/>
          <w:sz w:val="24"/>
          <w:szCs w:val="24"/>
        </w:rPr>
        <w:lastRenderedPageBreak/>
        <w:t xml:space="preserve">W jego miejsce proponuje się rozdział „Tłumacze języka migowego”, który stanowi rozwinięcie materii dotychczas regulowanej w § 13 Rozporządzenia Ministra Sprawiedliwości z dnia 24 stycznia 2005 r. </w:t>
      </w:r>
      <w:r w:rsidRPr="00C46809">
        <w:rPr>
          <w:rFonts w:ascii="Times New Roman" w:hAnsi="Times New Roman" w:cs="Times New Roman"/>
          <w:i/>
          <w:iCs/>
          <w:sz w:val="24"/>
          <w:szCs w:val="24"/>
        </w:rPr>
        <w:t xml:space="preserve">w sprawie biegłych sądowych </w:t>
      </w:r>
      <w:r w:rsidRPr="00C46809">
        <w:rPr>
          <w:rFonts w:ascii="Times New Roman" w:hAnsi="Times New Roman" w:cs="Times New Roman"/>
          <w:sz w:val="24"/>
          <w:szCs w:val="24"/>
        </w:rPr>
        <w:t xml:space="preserve">(Dz. U. Nr 15, poz. 133). O ile przyjmie się, że przedmiot regulacji powinien mieć rangę ustawową (co może być dyskusyjne), to chyba zamieszczenie jej w </w:t>
      </w:r>
      <w:proofErr w:type="spellStart"/>
      <w:r w:rsidRPr="00C46809">
        <w:rPr>
          <w:rFonts w:ascii="Times New Roman" w:hAnsi="Times New Roman" w:cs="Times New Roman"/>
          <w:sz w:val="24"/>
          <w:szCs w:val="24"/>
        </w:rPr>
        <w:t>p.u.s.p</w:t>
      </w:r>
      <w:proofErr w:type="spellEnd"/>
      <w:r w:rsidRPr="00C46809">
        <w:rPr>
          <w:rFonts w:ascii="Times New Roman" w:hAnsi="Times New Roman" w:cs="Times New Roman"/>
          <w:sz w:val="24"/>
          <w:szCs w:val="24"/>
        </w:rPr>
        <w:t xml:space="preserve">. jest wynikiem konserwacji stanu zastanego. Być może należałoby rozważyć potraktowanie tej regulacji analogicznie do biegłych tłumaczy przysięgłych, lub też umieścić ją w ustawie z dnia 19 sierpnia 2011 roku </w:t>
      </w:r>
      <w:r w:rsidRPr="00C46809">
        <w:rPr>
          <w:rFonts w:ascii="Times New Roman" w:hAnsi="Times New Roman" w:cs="Times New Roman"/>
          <w:i/>
          <w:iCs/>
          <w:sz w:val="24"/>
          <w:szCs w:val="24"/>
        </w:rPr>
        <w:t>o języku migowym i innych środkach komunikowania</w:t>
      </w:r>
      <w:r w:rsidRPr="00C46809">
        <w:rPr>
          <w:rFonts w:ascii="Times New Roman" w:hAnsi="Times New Roman" w:cs="Times New Roman"/>
          <w:sz w:val="24"/>
          <w:szCs w:val="24"/>
        </w:rPr>
        <w:t xml:space="preserve">, o której mowa w art. 100 pkt 2 Projektu (zwłaszcza, że przedmiot regulacji tej ustawy jest zbieżny z tym, co w projekcie jest przewidywane w Dziale VI </w:t>
      </w:r>
      <w:proofErr w:type="spellStart"/>
      <w:r w:rsidRPr="00C46809">
        <w:rPr>
          <w:rFonts w:ascii="Times New Roman" w:hAnsi="Times New Roman" w:cs="Times New Roman"/>
          <w:sz w:val="24"/>
          <w:szCs w:val="24"/>
        </w:rPr>
        <w:t>p.u.s.p</w:t>
      </w:r>
      <w:proofErr w:type="spellEnd"/>
      <w:r w:rsidRPr="00C46809">
        <w:rPr>
          <w:rFonts w:ascii="Times New Roman" w:hAnsi="Times New Roman" w:cs="Times New Roman"/>
          <w:sz w:val="24"/>
          <w:szCs w:val="24"/>
        </w:rPr>
        <w:t>. - por. art. 1 ustawy o języku migowym).</w:t>
      </w:r>
    </w:p>
    <w:p w14:paraId="123BD0A4"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sz w:val="24"/>
          <w:szCs w:val="24"/>
        </w:rPr>
      </w:pPr>
      <w:r w:rsidRPr="00C46809">
        <w:rPr>
          <w:rFonts w:ascii="Times New Roman" w:hAnsi="Times New Roman" w:cs="Times New Roman"/>
          <w:sz w:val="24"/>
          <w:szCs w:val="24"/>
        </w:rPr>
        <w:t xml:space="preserve">Jednocześnie należy zwrócić uwagę, że proponowana regulacja w art. 100 Projektu wydaje się być nieprecyzyjna, gdyż projektowany nowy art. 157 ustawy </w:t>
      </w:r>
      <w:r w:rsidRPr="00C46809">
        <w:rPr>
          <w:rFonts w:ascii="Times New Roman" w:hAnsi="Times New Roman" w:cs="Times New Roman"/>
          <w:i/>
          <w:iCs/>
          <w:sz w:val="24"/>
          <w:szCs w:val="24"/>
        </w:rPr>
        <w:t>Prawo</w:t>
      </w:r>
      <w:r w:rsidRPr="00C46809">
        <w:rPr>
          <w:rFonts w:ascii="Times New Roman" w:hAnsi="Times New Roman" w:cs="Times New Roman"/>
          <w:sz w:val="24"/>
          <w:szCs w:val="24"/>
        </w:rPr>
        <w:t xml:space="preserve"> </w:t>
      </w:r>
      <w:r w:rsidRPr="00C46809">
        <w:rPr>
          <w:rFonts w:ascii="Times New Roman" w:hAnsi="Times New Roman" w:cs="Times New Roman"/>
          <w:i/>
          <w:iCs/>
          <w:sz w:val="24"/>
          <w:szCs w:val="24"/>
        </w:rPr>
        <w:t>o ustroju sądów powszechnych</w:t>
      </w:r>
      <w:r w:rsidRPr="00C46809">
        <w:rPr>
          <w:rFonts w:ascii="Times New Roman" w:hAnsi="Times New Roman" w:cs="Times New Roman"/>
          <w:sz w:val="24"/>
          <w:szCs w:val="24"/>
        </w:rPr>
        <w:t xml:space="preserve">, do którego ma odsyłać art. 6 ust. 2 ustawy </w:t>
      </w:r>
      <w:r w:rsidRPr="00C46809">
        <w:rPr>
          <w:rFonts w:ascii="Times New Roman" w:hAnsi="Times New Roman" w:cs="Times New Roman"/>
          <w:i/>
          <w:iCs/>
          <w:sz w:val="24"/>
          <w:szCs w:val="24"/>
        </w:rPr>
        <w:t xml:space="preserve">o języku migowym </w:t>
      </w:r>
      <w:r w:rsidRPr="00C46809">
        <w:rPr>
          <w:rFonts w:ascii="Times New Roman" w:hAnsi="Times New Roman" w:cs="Times New Roman"/>
          <w:sz w:val="24"/>
          <w:szCs w:val="24"/>
        </w:rPr>
        <w:t>(którego dotyczy art. 100 Projektu) nie mówi jedynie o zasadach powoływania tłumacza języka migowego, jak z kolei wskazuje treść opiniowanego przepisu  („</w:t>
      </w:r>
      <w:r w:rsidRPr="00C46809">
        <w:rPr>
          <w:rFonts w:ascii="Times New Roman" w:hAnsi="Times New Roman" w:cs="Times New Roman"/>
          <w:i/>
          <w:iCs/>
          <w:sz w:val="24"/>
          <w:szCs w:val="24"/>
        </w:rPr>
        <w:t>Zasady powoływania tłumacza języka migowego przez sąd lub organ prowadzący postępowanie przygotowawcze określa art. 157 ustawy z dnia 27 lipca 2001 r. – Prawo o ustroju sądów powszechnych (Dz. U. z 2024 r. poz. 334</w:t>
      </w:r>
      <w:r w:rsidRPr="00C46809">
        <w:rPr>
          <w:rFonts w:ascii="Times New Roman" w:hAnsi="Times New Roman" w:cs="Times New Roman"/>
          <w:sz w:val="24"/>
          <w:szCs w:val="24"/>
        </w:rPr>
        <w:t>”).</w:t>
      </w:r>
    </w:p>
    <w:p w14:paraId="1BBFCF1D" w14:textId="77777777" w:rsidR="00C46809" w:rsidRPr="00C46809" w:rsidRDefault="00C46809" w:rsidP="00C46809">
      <w:pPr>
        <w:pStyle w:val="Bezodstpw"/>
        <w:numPr>
          <w:ilvl w:val="0"/>
          <w:numId w:val="8"/>
        </w:numPr>
        <w:spacing w:line="360" w:lineRule="auto"/>
        <w:ind w:left="567" w:hanging="567"/>
        <w:jc w:val="both"/>
        <w:rPr>
          <w:rFonts w:ascii="Times New Roman" w:hAnsi="Times New Roman" w:cs="Times New Roman"/>
          <w:b/>
          <w:bCs/>
          <w:sz w:val="24"/>
          <w:szCs w:val="24"/>
        </w:rPr>
      </w:pPr>
      <w:r w:rsidRPr="00C46809">
        <w:rPr>
          <w:rFonts w:ascii="Times New Roman" w:hAnsi="Times New Roman" w:cs="Times New Roman"/>
          <w:b/>
          <w:bCs/>
          <w:sz w:val="24"/>
          <w:szCs w:val="24"/>
        </w:rPr>
        <w:t>Komisja Kodyfikacyjna zwraca uwagę, że niestety dołączone uzasadnienie projektu jest niewystarczająco wnikliwe, w znaczącym stopniu ograniczając się do powtórzenia zapisów samego Projektu ustawy, niedostatecznie wyjaśnia zasadnicze zamierzenia projektodawcy.</w:t>
      </w:r>
    </w:p>
    <w:p w14:paraId="28795378" w14:textId="77777777" w:rsidR="00C46809" w:rsidRPr="00C46809" w:rsidRDefault="00C46809" w:rsidP="00C46809">
      <w:pPr>
        <w:pStyle w:val="Bezodstpw"/>
        <w:spacing w:line="360" w:lineRule="auto"/>
        <w:ind w:left="567"/>
        <w:jc w:val="both"/>
        <w:rPr>
          <w:rFonts w:ascii="Times New Roman" w:hAnsi="Times New Roman" w:cs="Times New Roman"/>
          <w:b/>
          <w:bCs/>
          <w:sz w:val="24"/>
          <w:szCs w:val="24"/>
        </w:rPr>
      </w:pPr>
    </w:p>
    <w:p w14:paraId="5183E474" w14:textId="77777777" w:rsidR="00C46809" w:rsidRPr="00C46809" w:rsidRDefault="00C46809" w:rsidP="00C46809">
      <w:pPr>
        <w:pStyle w:val="Bezodstpw"/>
        <w:spacing w:line="360" w:lineRule="auto"/>
        <w:jc w:val="both"/>
        <w:rPr>
          <w:rFonts w:ascii="Times New Roman" w:hAnsi="Times New Roman" w:cs="Times New Roman"/>
          <w:sz w:val="24"/>
          <w:szCs w:val="24"/>
        </w:rPr>
      </w:pPr>
      <w:r w:rsidRPr="00C46809">
        <w:rPr>
          <w:rFonts w:ascii="Times New Roman" w:hAnsi="Times New Roman" w:cs="Times New Roman"/>
          <w:b/>
          <w:bCs/>
          <w:sz w:val="24"/>
          <w:szCs w:val="24"/>
        </w:rPr>
        <w:t xml:space="preserve"> </w:t>
      </w:r>
    </w:p>
    <w:p w14:paraId="4BE02961" w14:textId="77777777" w:rsidR="00C46809" w:rsidRPr="00C46809" w:rsidRDefault="00C46809" w:rsidP="00C46809">
      <w:pPr>
        <w:pStyle w:val="Akapitzlist"/>
        <w:numPr>
          <w:ilvl w:val="0"/>
          <w:numId w:val="6"/>
        </w:numPr>
        <w:spacing w:after="360" w:line="360" w:lineRule="auto"/>
        <w:jc w:val="both"/>
        <w:rPr>
          <w:rFonts w:ascii="Times New Roman" w:hAnsi="Times New Roman" w:cs="Times New Roman"/>
          <w:b/>
          <w:bCs/>
        </w:rPr>
      </w:pPr>
      <w:r w:rsidRPr="00C46809">
        <w:rPr>
          <w:rFonts w:ascii="Times New Roman" w:hAnsi="Times New Roman" w:cs="Times New Roman"/>
          <w:b/>
          <w:bCs/>
        </w:rPr>
        <w:t xml:space="preserve">Konkluzja </w:t>
      </w:r>
    </w:p>
    <w:p w14:paraId="71A05603" w14:textId="77777777" w:rsidR="00C46809" w:rsidRPr="00C46809" w:rsidRDefault="00C46809" w:rsidP="00C46809">
      <w:pPr>
        <w:spacing w:after="360" w:line="360" w:lineRule="auto"/>
        <w:ind w:firstLine="567"/>
        <w:jc w:val="both"/>
        <w:rPr>
          <w:rFonts w:ascii="Times New Roman" w:hAnsi="Times New Roman" w:cs="Times New Roman"/>
        </w:rPr>
      </w:pPr>
      <w:r w:rsidRPr="00C46809">
        <w:rPr>
          <w:rFonts w:ascii="Times New Roman" w:hAnsi="Times New Roman" w:cs="Times New Roman"/>
        </w:rPr>
        <w:lastRenderedPageBreak/>
        <w:t xml:space="preserve">Opiniowany Projekt służy rozwiązaniu istotnego problemu regulacyjnego w obszarze wymiaru sprawiedliwości. Brak prawidłowej regulacji statusu biegłego sądowego, a w szczególności dotychczasowy brak reakcji ustawodawcy na obniżające się standardy rzetelności oraz dostępności opinii biegłych, oddziałuje negatywnie na tok postępowań sądowych i przedsądowych. Nie ulega zatem wątpliwości, że ustawodawca powinien tę lukę normatywną wypełnić. Działanie takie jest niezbędne z punktu widzenia zarówno interesu wymiaru sprawiedliwości, jak i zagwarantowania jednostce prawa do sądu w jego pełnym konstytucyjnym wymiarze. </w:t>
      </w:r>
    </w:p>
    <w:p w14:paraId="2F10A0E2" w14:textId="77777777" w:rsidR="00C46809" w:rsidRPr="00C46809" w:rsidRDefault="00C46809" w:rsidP="00C46809">
      <w:pPr>
        <w:spacing w:after="360" w:line="360" w:lineRule="auto"/>
        <w:ind w:firstLine="567"/>
        <w:jc w:val="both"/>
        <w:rPr>
          <w:rFonts w:ascii="Times New Roman" w:hAnsi="Times New Roman" w:cs="Times New Roman"/>
        </w:rPr>
      </w:pPr>
      <w:r w:rsidRPr="00C46809">
        <w:rPr>
          <w:rFonts w:ascii="Times New Roman" w:hAnsi="Times New Roman" w:cs="Times New Roman"/>
        </w:rPr>
        <w:t xml:space="preserve">Analizowany Projekt przewiduje jednak rozwiązania normatywne, które rodzą zasadnicze wątpliwości co do ich trafności i wymaga w związku tym gruntownego przepracowania w ramach prac ministerialnych przed nadaniem Projektowi dalszego biegu w toku uzgodnień międzyresortowych, konsultacji publicznych oraz opiniowania stosownie do postanowień Regulaminu pracy Rady Ministrów, w tym w szczególności ponownego oszacowania nakładów publicznych koniecznych do jego wejścia w życie.    </w:t>
      </w:r>
    </w:p>
    <w:p w14:paraId="2BF8D83E" w14:textId="77777777" w:rsidR="00C46809" w:rsidRPr="00C46809" w:rsidRDefault="00C46809" w:rsidP="00C46809">
      <w:pPr>
        <w:pStyle w:val="Bezodstpw"/>
        <w:spacing w:line="360" w:lineRule="auto"/>
        <w:ind w:firstLine="567"/>
        <w:jc w:val="both"/>
        <w:rPr>
          <w:rFonts w:ascii="Times New Roman" w:hAnsi="Times New Roman" w:cs="Times New Roman"/>
          <w:sz w:val="24"/>
          <w:szCs w:val="24"/>
        </w:rPr>
      </w:pPr>
      <w:r w:rsidRPr="00C46809">
        <w:rPr>
          <w:rFonts w:ascii="Times New Roman" w:hAnsi="Times New Roman" w:cs="Times New Roman"/>
          <w:sz w:val="24"/>
          <w:szCs w:val="24"/>
        </w:rPr>
        <w:t xml:space="preserve">Komisja ma poważne wątpliwości, czy rozwiązanie stwierdzonego problemu regulacyjnego, tj. podniesienie jakości i sprawności opracowywania opinii biegłego w toku postępowania sądowego, wymaga aż tak daleko idących działań o charakterze administracyjnym, biurokratycznym i infrastrukturalnym. Zamierzony cel – w ocenie Komisji – można zrealizować bez konieczności powoływania centralnego organu administracji rządowej, wyodrębniania dla niego osobnej części w budżecie Państwa oraz przy znacznie oszczędniejszym gospodarowaniu środkami publicznymi. </w:t>
      </w:r>
    </w:p>
    <w:p w14:paraId="048C89B6" w14:textId="77777777" w:rsidR="00C46809" w:rsidRPr="00C46809" w:rsidRDefault="00C46809" w:rsidP="00C46809">
      <w:pPr>
        <w:spacing w:after="360" w:line="360" w:lineRule="auto"/>
        <w:ind w:firstLine="360"/>
        <w:jc w:val="both"/>
        <w:rPr>
          <w:rFonts w:ascii="Times New Roman" w:hAnsi="Times New Roman" w:cs="Times New Roman"/>
          <w:b/>
          <w:bCs/>
        </w:rPr>
      </w:pPr>
    </w:p>
    <w:p w14:paraId="3645B72C" w14:textId="77777777" w:rsidR="00AA6A9C" w:rsidRPr="00C46809" w:rsidRDefault="00AA6A9C">
      <w:pPr>
        <w:rPr>
          <w:rFonts w:ascii="Times New Roman" w:hAnsi="Times New Roman" w:cs="Times New Roman"/>
        </w:rPr>
      </w:pPr>
    </w:p>
    <w:sectPr w:rsidR="00AA6A9C" w:rsidRPr="00C46809" w:rsidSect="00235DF3">
      <w:headerReference w:type="even" r:id="rId7"/>
      <w:headerReference w:type="first" r:id="rId8"/>
      <w:footerReference w:type="first" r:id="rId9"/>
      <w:pgSz w:w="11906" w:h="16838"/>
      <w:pgMar w:top="1985" w:right="1985" w:bottom="1985" w:left="1985"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CDE6FA" w14:textId="77777777" w:rsidR="003F055B" w:rsidRDefault="003F055B">
      <w:pPr>
        <w:spacing w:after="0" w:line="240" w:lineRule="auto"/>
      </w:pPr>
      <w:r>
        <w:separator/>
      </w:r>
    </w:p>
  </w:endnote>
  <w:endnote w:type="continuationSeparator" w:id="0">
    <w:p w14:paraId="72FFD012" w14:textId="77777777" w:rsidR="003F055B" w:rsidRDefault="003F05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00AB1B" w14:textId="77777777" w:rsidR="008F6BFA" w:rsidRDefault="00000000" w:rsidP="00C826C2">
    <w:pPr>
      <w:pStyle w:val="Stopka"/>
      <w:rPr>
        <w:rFonts w:ascii="Calibri" w:hAnsi="Calibri"/>
        <w:sz w:val="16"/>
      </w:rPr>
    </w:pPr>
    <w:r w:rsidRPr="002730A5">
      <w:rPr>
        <w:rFonts w:ascii="Calibri" w:hAnsi="Calibri"/>
        <w:noProof/>
        <w:sz w:val="16"/>
      </w:rPr>
      <mc:AlternateContent>
        <mc:Choice Requires="wps">
          <w:drawing>
            <wp:anchor distT="0" distB="0" distL="114300" distR="114300" simplePos="0" relativeHeight="251657216" behindDoc="0" locked="0" layoutInCell="1" allowOverlap="1" wp14:anchorId="2E3F4B4E" wp14:editId="4D38BA30">
              <wp:simplePos x="0" y="0"/>
              <wp:positionH relativeFrom="margin">
                <wp:posOffset>0</wp:posOffset>
              </wp:positionH>
              <wp:positionV relativeFrom="paragraph">
                <wp:posOffset>-120651</wp:posOffset>
              </wp:positionV>
              <wp:extent cx="5039995" cy="0"/>
              <wp:effectExtent l="0" t="0" r="0" b="0"/>
              <wp:wrapNone/>
              <wp:docPr id="3" name="Łącznik prosty 3"/>
              <wp:cNvGraphicFramePr/>
              <a:graphic xmlns:a="http://schemas.openxmlformats.org/drawingml/2006/main">
                <a:graphicData uri="http://schemas.microsoft.com/office/word/2010/wordprocessingShape">
                  <wps:wsp>
                    <wps:cNvCnPr/>
                    <wps:spPr>
                      <a:xfrm>
                        <a:off x="0" y="0"/>
                        <a:ext cx="5039995" cy="0"/>
                      </a:xfrm>
                      <a:prstGeom prst="line">
                        <a:avLst/>
                      </a:prstGeom>
                      <a:noFill/>
                      <a:ln w="6350">
                        <a:solidFill>
                          <a:sysClr val="windowText" lastClr="000000"/>
                        </a:solidFill>
                        <a:miter lim="800000"/>
                      </a:ln>
                    </wps:spPr>
                    <wps:bodyPr/>
                  </wps:wsp>
                </a:graphicData>
              </a:graphic>
              <wp14:sizeRelH relativeFrom="margin">
                <wp14:pctWidth>0</wp14:pctWidth>
              </wp14:sizeRelH>
              <wp14:sizeRelV relativeFrom="margin">
                <wp14:pctHeight>0</wp14:pctHeight>
              </wp14:sizeRelV>
            </wp:anchor>
          </w:drawing>
        </mc:Choice>
        <mc:Fallback>
          <w:pict>
            <v:line w14:anchorId="10A66004" id="Łącznik prosty 3"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9.5pt" to="396.85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" strokecolor="windowText" strokeweight=".5pt">
              <v:stroke joinstyle="miter"/>
              <w10:wrap anchorx="margin"/>
            </v:line>
          </w:pict>
        </mc:Fallback>
      </mc:AlternateContent>
    </w:r>
    <w:r w:rsidRPr="002730A5">
      <w:rPr>
        <w:rFonts w:ascii="Calibri" w:hAnsi="Calibri"/>
        <w:sz w:val="16"/>
      </w:rPr>
      <w:t xml:space="preserve">+48 </w:t>
    </w:r>
    <w:r w:rsidRPr="00894B59">
      <w:rPr>
        <w:rFonts w:ascii="Calibri" w:hAnsi="Calibri"/>
        <w:sz w:val="16"/>
      </w:rPr>
      <w:t xml:space="preserve"> (22) 23 90</w:t>
    </w:r>
    <w:r>
      <w:rPr>
        <w:rFonts w:ascii="Calibri" w:hAnsi="Calibri"/>
        <w:sz w:val="16"/>
      </w:rPr>
      <w:t> </w:t>
    </w:r>
    <w:r w:rsidRPr="00894B59">
      <w:rPr>
        <w:rFonts w:ascii="Calibri" w:hAnsi="Calibri"/>
        <w:sz w:val="16"/>
      </w:rPr>
      <w:t>434</w:t>
    </w:r>
    <w:r w:rsidRPr="002730A5">
      <w:rPr>
        <w:rFonts w:ascii="Calibri" w:hAnsi="Calibri"/>
        <w:sz w:val="16"/>
      </w:rPr>
      <w:tab/>
    </w:r>
    <w:r>
      <w:rPr>
        <w:rFonts w:ascii="Calibri" w:hAnsi="Calibri"/>
        <w:sz w:val="16"/>
      </w:rPr>
      <w:t xml:space="preserve">                                                                                                         </w:t>
    </w:r>
    <w:r w:rsidRPr="002730A5">
      <w:rPr>
        <w:rFonts w:ascii="Calibri" w:hAnsi="Calibri"/>
        <w:sz w:val="16"/>
      </w:rPr>
      <w:t>Al. Ujazdowskie 11</w:t>
    </w:r>
    <w:r w:rsidRPr="00C826C2">
      <w:rPr>
        <w:rFonts w:ascii="Calibri" w:hAnsi="Calibri"/>
        <w:sz w:val="16"/>
      </w:rPr>
      <w:t xml:space="preserve"> </w:t>
    </w:r>
  </w:p>
  <w:p w14:paraId="02B0E2EF" w14:textId="77777777" w:rsidR="008F6BFA" w:rsidRPr="002730A5" w:rsidRDefault="008F6BFA" w:rsidP="00C826C2">
    <w:pPr>
      <w:pStyle w:val="Stopka"/>
      <w:rPr>
        <w:rFonts w:ascii="Calibri" w:hAnsi="Calibri"/>
        <w:sz w:val="14"/>
      </w:rPr>
    </w:pPr>
    <w:hyperlink r:id="rId1" w:history="1">
      <w:r w:rsidRPr="00A27E8F">
        <w:rPr>
          <w:rStyle w:val="Hipercze"/>
          <w:rFonts w:ascii="Calibri" w:hAnsi="Calibri"/>
          <w:sz w:val="16"/>
        </w:rPr>
        <w:t>www.gov.pl/sprawiedliwosc</w:t>
      </w:r>
    </w:hyperlink>
    <w:r w:rsidR="00000000">
      <w:rPr>
        <w:rFonts w:ascii="Calibri" w:hAnsi="Calibri"/>
        <w:sz w:val="16"/>
      </w:rPr>
      <w:t xml:space="preserve"> </w:t>
    </w:r>
    <w:r w:rsidR="00000000">
      <w:rPr>
        <w:rFonts w:ascii="Calibri" w:hAnsi="Calibri"/>
        <w:sz w:val="16"/>
      </w:rPr>
      <w:tab/>
      <w:t xml:space="preserve">                                                                                                             00-950 Warszawa P-33</w:t>
    </w:r>
  </w:p>
  <w:p w14:paraId="56FEA02C" w14:textId="77777777" w:rsidR="008F6BFA" w:rsidRPr="002730A5" w:rsidRDefault="00000000" w:rsidP="00C826C2">
    <w:pPr>
      <w:pStyle w:val="Stopka"/>
      <w:tabs>
        <w:tab w:val="clear" w:pos="4536"/>
        <w:tab w:val="clear" w:pos="9072"/>
        <w:tab w:val="left" w:pos="5954"/>
      </w:tabs>
      <w:rPr>
        <w:rFonts w:ascii="Calibri" w:hAnsi="Calibri"/>
        <w:sz w:val="16"/>
      </w:rPr>
    </w:pPr>
    <w:r w:rsidRPr="002730A5">
      <w:rPr>
        <w:rFonts w:ascii="Calibri" w:hAnsi="Calibri"/>
        <w:sz w:val="16"/>
      </w:rPr>
      <w:tab/>
    </w:r>
  </w:p>
  <w:p w14:paraId="01539E6B" w14:textId="77777777" w:rsidR="008F6BFA" w:rsidRDefault="008F6BF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1BC014" w14:textId="77777777" w:rsidR="003F055B" w:rsidRDefault="003F055B">
      <w:pPr>
        <w:spacing w:after="0" w:line="240" w:lineRule="auto"/>
      </w:pPr>
      <w:r>
        <w:separator/>
      </w:r>
    </w:p>
  </w:footnote>
  <w:footnote w:type="continuationSeparator" w:id="0">
    <w:p w14:paraId="611FA329" w14:textId="77777777" w:rsidR="003F055B" w:rsidRDefault="003F05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72777C" w14:textId="77777777" w:rsidR="008F6BFA" w:rsidRDefault="00000000">
    <w:pPr>
      <w:pStyle w:val="Nagwek"/>
    </w:pPr>
    <w:r>
      <w:rPr>
        <w:noProof/>
      </w:rPr>
      <w:pict w14:anchorId="3C08D8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7326766" o:spid="_x0000_s1025" type="#_x0000_t75" style="position:absolute;margin-left:0;margin-top:0;width:595.2pt;height:841.9pt;z-index:-251657216;mso-position-horizontal:center;mso-position-horizontal-relative:margin;mso-position-vertical:center;mso-position-vertical-relative:margin" o:allowincell="f">
          <v:imagedata r:id="rId1" o:title="podkla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6C6062" w14:textId="77777777" w:rsidR="008F6BFA" w:rsidRPr="007B402F" w:rsidRDefault="00000000" w:rsidP="00CC1642">
    <w:pPr>
      <w:pStyle w:val="Nagwek"/>
      <w:tabs>
        <w:tab w:val="clear" w:pos="4536"/>
        <w:tab w:val="left" w:pos="426"/>
      </w:tabs>
      <w:rPr>
        <w:rFonts w:ascii="Times New Roman" w:hAnsi="Times New Roman" w:cs="Times New Roman"/>
        <w:sz w:val="28"/>
        <w:szCs w:val="28"/>
      </w:rPr>
    </w:pPr>
    <w:r>
      <w:rPr>
        <w:noProof/>
      </w:rPr>
      <w:drawing>
        <wp:anchor distT="0" distB="0" distL="114300" distR="114300" simplePos="0" relativeHeight="251656192" behindDoc="0" locked="0" layoutInCell="1" allowOverlap="1" wp14:anchorId="602FC878" wp14:editId="242A96C3">
          <wp:simplePos x="0" y="0"/>
          <wp:positionH relativeFrom="column">
            <wp:posOffset>-984250</wp:posOffset>
          </wp:positionH>
          <wp:positionV relativeFrom="paragraph">
            <wp:posOffset>-221615</wp:posOffset>
          </wp:positionV>
          <wp:extent cx="1133475" cy="1219200"/>
          <wp:effectExtent l="0" t="0" r="9525" b="0"/>
          <wp:wrapThrough wrapText="bothSides">
            <wp:wrapPolygon edited="0">
              <wp:start x="11254" y="2363"/>
              <wp:lineTo x="6171" y="3713"/>
              <wp:lineTo x="2904" y="5738"/>
              <wp:lineTo x="3267" y="10800"/>
              <wp:lineTo x="5082" y="13838"/>
              <wp:lineTo x="5445" y="17213"/>
              <wp:lineTo x="11254" y="18900"/>
              <wp:lineTo x="12706" y="18900"/>
              <wp:lineTo x="17788" y="17213"/>
              <wp:lineTo x="19240" y="14850"/>
              <wp:lineTo x="21418" y="13500"/>
              <wp:lineTo x="21418" y="11138"/>
              <wp:lineTo x="21055" y="6075"/>
              <wp:lineTo x="17788" y="3713"/>
              <wp:lineTo x="12706" y="2363"/>
              <wp:lineTo x="11254" y="2363"/>
            </wp:wrapPolygon>
          </wp:wrapThrough>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r="65844"/>
                  <a:stretch/>
                </pic:blipFill>
                <pic:spPr bwMode="auto">
                  <a:xfrm>
                    <a:off x="0" y="0"/>
                    <a:ext cx="1133475" cy="1219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5705B">
      <w:rPr>
        <w:sz w:val="21"/>
        <w:szCs w:val="21"/>
      </w:rPr>
      <w:t xml:space="preserve"> </w:t>
    </w:r>
    <w:r w:rsidRPr="0035705B">
      <w:rPr>
        <w:sz w:val="21"/>
        <w:szCs w:val="21"/>
      </w:rPr>
      <w:br/>
    </w:r>
    <w:r w:rsidRPr="007B402F">
      <w:rPr>
        <w:rFonts w:ascii="Times New Roman" w:hAnsi="Times New Roman" w:cs="Times New Roman"/>
        <w:sz w:val="28"/>
        <w:szCs w:val="28"/>
      </w:rPr>
      <w:t xml:space="preserve">Komisja Kodyfikacyjna </w:t>
    </w:r>
  </w:p>
  <w:p w14:paraId="17BA6699" w14:textId="77777777" w:rsidR="008F6BFA" w:rsidRPr="007B402F" w:rsidRDefault="00000000" w:rsidP="00CC1642">
    <w:pPr>
      <w:pStyle w:val="Nagwek"/>
      <w:tabs>
        <w:tab w:val="clear" w:pos="4536"/>
        <w:tab w:val="left" w:pos="426"/>
      </w:tabs>
      <w:rPr>
        <w:rFonts w:ascii="Times New Roman" w:hAnsi="Times New Roman" w:cs="Times New Roman"/>
        <w:noProof/>
        <w:sz w:val="28"/>
        <w:szCs w:val="28"/>
      </w:rPr>
    </w:pPr>
    <w:r w:rsidRPr="007B402F">
      <w:rPr>
        <w:rFonts w:ascii="Times New Roman" w:hAnsi="Times New Roman" w:cs="Times New Roman"/>
        <w:sz w:val="28"/>
        <w:szCs w:val="28"/>
      </w:rPr>
      <w:t>Ustroju Sądownictwa i Prokuratury</w:t>
    </w:r>
  </w:p>
  <w:p w14:paraId="64FEAAA3" w14:textId="77777777" w:rsidR="008F6BFA" w:rsidRPr="00955E94" w:rsidRDefault="00000000" w:rsidP="00955E94">
    <w:pPr>
      <w:spacing w:after="0"/>
      <w:ind w:left="105" w:right="3402"/>
      <w:jc w:val="center"/>
      <w:rPr>
        <w:sz w:val="10"/>
        <w:szCs w:val="10"/>
      </w:rPr>
    </w:pPr>
    <w:r w:rsidRPr="0035705B">
      <w:rPr>
        <w:noProof/>
        <w:sz w:val="21"/>
        <w:szCs w:val="21"/>
      </w:rPr>
      <w:drawing>
        <wp:anchor distT="0" distB="0" distL="114300" distR="114300" simplePos="0" relativeHeight="251658240" behindDoc="0" locked="0" layoutInCell="1" allowOverlap="1" wp14:anchorId="10E6714A" wp14:editId="7394CB11">
          <wp:simplePos x="0" y="0"/>
          <wp:positionH relativeFrom="column">
            <wp:posOffset>215900</wp:posOffset>
          </wp:positionH>
          <wp:positionV relativeFrom="paragraph">
            <wp:posOffset>176530</wp:posOffset>
          </wp:positionV>
          <wp:extent cx="2901315" cy="238125"/>
          <wp:effectExtent l="0" t="0" r="0" b="0"/>
          <wp:wrapThrough wrapText="bothSides">
            <wp:wrapPolygon edited="0">
              <wp:start x="0" y="1728"/>
              <wp:lineTo x="0" y="15552"/>
              <wp:lineTo x="19714" y="15552"/>
              <wp:lineTo x="19714" y="1728"/>
              <wp:lineTo x="0" y="1728"/>
            </wp:wrapPolygon>
          </wp:wrapThrough>
          <wp:docPr id="176430234" name="Obraz 176430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33437" t="69079" b="5802"/>
                  <a:stretch/>
                </pic:blipFill>
                <pic:spPr bwMode="auto">
                  <a:xfrm>
                    <a:off x="0" y="0"/>
                    <a:ext cx="2901315" cy="238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A1F06"/>
    <w:multiLevelType w:val="hybridMultilevel"/>
    <w:tmpl w:val="09B263CE"/>
    <w:lvl w:ilvl="0" w:tplc="04150013">
      <w:start w:val="1"/>
      <w:numFmt w:val="upperRoman"/>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1B331AA2"/>
    <w:multiLevelType w:val="hybridMultilevel"/>
    <w:tmpl w:val="4232F88A"/>
    <w:lvl w:ilvl="0" w:tplc="68808CE8">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21E6FB8"/>
    <w:multiLevelType w:val="hybridMultilevel"/>
    <w:tmpl w:val="483A3F2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 w15:restartNumberingAfterBreak="0">
    <w:nsid w:val="33213237"/>
    <w:multiLevelType w:val="hybridMultilevel"/>
    <w:tmpl w:val="8F4AAA50"/>
    <w:lvl w:ilvl="0" w:tplc="81D8CCDE">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3A477C49"/>
    <w:multiLevelType w:val="hybridMultilevel"/>
    <w:tmpl w:val="C7D4C9EE"/>
    <w:lvl w:ilvl="0" w:tplc="3D74E0D4">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5" w15:restartNumberingAfterBreak="0">
    <w:nsid w:val="3B5C6C65"/>
    <w:multiLevelType w:val="hybridMultilevel"/>
    <w:tmpl w:val="58CAC88A"/>
    <w:lvl w:ilvl="0" w:tplc="04150011">
      <w:start w:val="1"/>
      <w:numFmt w:val="decimal"/>
      <w:lvlText w:val="%1)"/>
      <w:lvlJc w:val="left"/>
      <w:pPr>
        <w:ind w:left="1440" w:hanging="360"/>
      </w:p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 w15:restartNumberingAfterBreak="0">
    <w:nsid w:val="41285CE5"/>
    <w:multiLevelType w:val="hybridMultilevel"/>
    <w:tmpl w:val="3D8697BC"/>
    <w:lvl w:ilvl="0" w:tplc="6F3A6AFA">
      <w:start w:val="1"/>
      <w:numFmt w:val="decimal"/>
      <w:lvlText w:val="%1)"/>
      <w:lvlJc w:val="left"/>
      <w:pPr>
        <w:ind w:left="720" w:hanging="360"/>
      </w:pPr>
      <w:rPr>
        <w:b w:val="0"/>
        <w:bCs w:val="0"/>
        <w:color w:val="auto"/>
      </w:rPr>
    </w:lvl>
    <w:lvl w:ilvl="1" w:tplc="ADCE51F4">
      <w:start w:val="1"/>
      <w:numFmt w:val="decimal"/>
      <w:lvlText w:val="%2)"/>
      <w:lvlJc w:val="left"/>
      <w:pPr>
        <w:ind w:left="1770" w:hanging="69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2603204"/>
    <w:multiLevelType w:val="hybridMultilevel"/>
    <w:tmpl w:val="F5069D1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 w15:restartNumberingAfterBreak="0">
    <w:nsid w:val="63091661"/>
    <w:multiLevelType w:val="hybridMultilevel"/>
    <w:tmpl w:val="436C103E"/>
    <w:lvl w:ilvl="0" w:tplc="E4427AB0">
      <w:start w:val="1"/>
      <w:numFmt w:val="decimal"/>
      <w:lvlText w:val="%1."/>
      <w:lvlJc w:val="left"/>
      <w:pPr>
        <w:ind w:left="1440" w:hanging="36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num w:numId="1" w16cid:durableId="160584603">
    <w:abstractNumId w:val="1"/>
  </w:num>
  <w:num w:numId="2" w16cid:durableId="860585731">
    <w:abstractNumId w:val="8"/>
  </w:num>
  <w:num w:numId="3" w16cid:durableId="347030141">
    <w:abstractNumId w:val="7"/>
  </w:num>
  <w:num w:numId="4" w16cid:durableId="713505820">
    <w:abstractNumId w:val="2"/>
  </w:num>
  <w:num w:numId="5" w16cid:durableId="87779703">
    <w:abstractNumId w:val="3"/>
  </w:num>
  <w:num w:numId="6" w16cid:durableId="1739011790">
    <w:abstractNumId w:val="0"/>
  </w:num>
  <w:num w:numId="7" w16cid:durableId="876894670">
    <w:abstractNumId w:val="4"/>
  </w:num>
  <w:num w:numId="8" w16cid:durableId="921646124">
    <w:abstractNumId w:val="6"/>
  </w:num>
  <w:num w:numId="9" w16cid:durableId="112762867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1BC"/>
    <w:rsid w:val="00113B70"/>
    <w:rsid w:val="00235DF3"/>
    <w:rsid w:val="00252950"/>
    <w:rsid w:val="003F055B"/>
    <w:rsid w:val="00680FE4"/>
    <w:rsid w:val="007B402F"/>
    <w:rsid w:val="008D53B2"/>
    <w:rsid w:val="008F6BFA"/>
    <w:rsid w:val="009071BC"/>
    <w:rsid w:val="00953584"/>
    <w:rsid w:val="009719F3"/>
    <w:rsid w:val="00AA6A9C"/>
    <w:rsid w:val="00AF43F9"/>
    <w:rsid w:val="00C46809"/>
    <w:rsid w:val="00DC0528"/>
    <w:rsid w:val="00F222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C663CD"/>
  <w15:chartTrackingRefBased/>
  <w15:docId w15:val="{3CC449B1-89C5-44CD-B4B1-1F2D4A19A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9071B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9071B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9071BC"/>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9071BC"/>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9071BC"/>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9071B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9071B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9071B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9071B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9071BC"/>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9071BC"/>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9071BC"/>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9071BC"/>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9071BC"/>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9071B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9071B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9071B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9071BC"/>
    <w:rPr>
      <w:rFonts w:eastAsiaTheme="majorEastAsia" w:cstheme="majorBidi"/>
      <w:color w:val="272727" w:themeColor="text1" w:themeTint="D8"/>
    </w:rPr>
  </w:style>
  <w:style w:type="paragraph" w:styleId="Tytu">
    <w:name w:val="Title"/>
    <w:basedOn w:val="Normalny"/>
    <w:next w:val="Normalny"/>
    <w:link w:val="TytuZnak"/>
    <w:uiPriority w:val="10"/>
    <w:qFormat/>
    <w:rsid w:val="009071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9071B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9071B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9071B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9071BC"/>
    <w:pPr>
      <w:spacing w:before="160"/>
      <w:jc w:val="center"/>
    </w:pPr>
    <w:rPr>
      <w:i/>
      <w:iCs/>
      <w:color w:val="404040" w:themeColor="text1" w:themeTint="BF"/>
    </w:rPr>
  </w:style>
  <w:style w:type="character" w:customStyle="1" w:styleId="CytatZnak">
    <w:name w:val="Cytat Znak"/>
    <w:basedOn w:val="Domylnaczcionkaakapitu"/>
    <w:link w:val="Cytat"/>
    <w:uiPriority w:val="29"/>
    <w:rsid w:val="009071BC"/>
    <w:rPr>
      <w:i/>
      <w:iCs/>
      <w:color w:val="404040" w:themeColor="text1" w:themeTint="BF"/>
    </w:rPr>
  </w:style>
  <w:style w:type="paragraph" w:styleId="Akapitzlist">
    <w:name w:val="List Paragraph"/>
    <w:basedOn w:val="Normalny"/>
    <w:uiPriority w:val="34"/>
    <w:qFormat/>
    <w:rsid w:val="009071BC"/>
    <w:pPr>
      <w:ind w:left="720"/>
      <w:contextualSpacing/>
    </w:pPr>
  </w:style>
  <w:style w:type="character" w:styleId="Wyrnienieintensywne">
    <w:name w:val="Intense Emphasis"/>
    <w:basedOn w:val="Domylnaczcionkaakapitu"/>
    <w:uiPriority w:val="21"/>
    <w:qFormat/>
    <w:rsid w:val="009071BC"/>
    <w:rPr>
      <w:i/>
      <w:iCs/>
      <w:color w:val="0F4761" w:themeColor="accent1" w:themeShade="BF"/>
    </w:rPr>
  </w:style>
  <w:style w:type="paragraph" w:styleId="Cytatintensywny">
    <w:name w:val="Intense Quote"/>
    <w:basedOn w:val="Normalny"/>
    <w:next w:val="Normalny"/>
    <w:link w:val="CytatintensywnyZnak"/>
    <w:uiPriority w:val="30"/>
    <w:qFormat/>
    <w:rsid w:val="009071B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9071BC"/>
    <w:rPr>
      <w:i/>
      <w:iCs/>
      <w:color w:val="0F4761" w:themeColor="accent1" w:themeShade="BF"/>
    </w:rPr>
  </w:style>
  <w:style w:type="character" w:styleId="Odwoanieintensywne">
    <w:name w:val="Intense Reference"/>
    <w:basedOn w:val="Domylnaczcionkaakapitu"/>
    <w:uiPriority w:val="32"/>
    <w:qFormat/>
    <w:rsid w:val="009071BC"/>
    <w:rPr>
      <w:b/>
      <w:bCs/>
      <w:smallCaps/>
      <w:color w:val="0F4761" w:themeColor="accent1" w:themeShade="BF"/>
      <w:spacing w:val="5"/>
    </w:rPr>
  </w:style>
  <w:style w:type="paragraph" w:styleId="Nagwek">
    <w:name w:val="header"/>
    <w:basedOn w:val="Normalny"/>
    <w:link w:val="NagwekZnak"/>
    <w:uiPriority w:val="99"/>
    <w:unhideWhenUsed/>
    <w:rsid w:val="00235DF3"/>
    <w:pPr>
      <w:tabs>
        <w:tab w:val="center" w:pos="4536"/>
        <w:tab w:val="right" w:pos="9072"/>
      </w:tabs>
      <w:spacing w:after="0" w:line="240" w:lineRule="auto"/>
    </w:pPr>
    <w:rPr>
      <w:rFonts w:eastAsiaTheme="minorEastAsia"/>
      <w:kern w:val="0"/>
      <w:sz w:val="22"/>
      <w:szCs w:val="22"/>
      <w:lang w:eastAsia="pl-PL"/>
      <w14:ligatures w14:val="none"/>
    </w:rPr>
  </w:style>
  <w:style w:type="character" w:customStyle="1" w:styleId="NagwekZnak">
    <w:name w:val="Nagłówek Znak"/>
    <w:basedOn w:val="Domylnaczcionkaakapitu"/>
    <w:link w:val="Nagwek"/>
    <w:uiPriority w:val="99"/>
    <w:rsid w:val="00235DF3"/>
    <w:rPr>
      <w:rFonts w:eastAsiaTheme="minorEastAsia"/>
      <w:kern w:val="0"/>
      <w:sz w:val="22"/>
      <w:szCs w:val="22"/>
      <w:lang w:eastAsia="pl-PL"/>
      <w14:ligatures w14:val="none"/>
    </w:rPr>
  </w:style>
  <w:style w:type="paragraph" w:styleId="Stopka">
    <w:name w:val="footer"/>
    <w:basedOn w:val="Normalny"/>
    <w:link w:val="StopkaZnak"/>
    <w:uiPriority w:val="99"/>
    <w:unhideWhenUsed/>
    <w:rsid w:val="00235DF3"/>
    <w:pPr>
      <w:tabs>
        <w:tab w:val="center" w:pos="4536"/>
        <w:tab w:val="right" w:pos="9072"/>
      </w:tabs>
      <w:spacing w:after="0" w:line="240" w:lineRule="auto"/>
    </w:pPr>
    <w:rPr>
      <w:rFonts w:eastAsiaTheme="minorEastAsia"/>
      <w:kern w:val="0"/>
      <w:sz w:val="22"/>
      <w:szCs w:val="22"/>
      <w:lang w:eastAsia="pl-PL"/>
      <w14:ligatures w14:val="none"/>
    </w:rPr>
  </w:style>
  <w:style w:type="character" w:customStyle="1" w:styleId="StopkaZnak">
    <w:name w:val="Stopka Znak"/>
    <w:basedOn w:val="Domylnaczcionkaakapitu"/>
    <w:link w:val="Stopka"/>
    <w:uiPriority w:val="99"/>
    <w:rsid w:val="00235DF3"/>
    <w:rPr>
      <w:rFonts w:eastAsiaTheme="minorEastAsia"/>
      <w:kern w:val="0"/>
      <w:sz w:val="22"/>
      <w:szCs w:val="22"/>
      <w:lang w:eastAsia="pl-PL"/>
      <w14:ligatures w14:val="none"/>
    </w:rPr>
  </w:style>
  <w:style w:type="character" w:styleId="Hipercze">
    <w:name w:val="Hyperlink"/>
    <w:basedOn w:val="Domylnaczcionkaakapitu"/>
    <w:uiPriority w:val="99"/>
    <w:unhideWhenUsed/>
    <w:rsid w:val="00235DF3"/>
    <w:rPr>
      <w:color w:val="467886" w:themeColor="hyperlink"/>
      <w:u w:val="single"/>
    </w:rPr>
  </w:style>
  <w:style w:type="paragraph" w:styleId="Bezodstpw">
    <w:name w:val="No Spacing"/>
    <w:uiPriority w:val="1"/>
    <w:qFormat/>
    <w:rsid w:val="00C46809"/>
    <w:pPr>
      <w:spacing w:after="0" w:line="240" w:lineRule="auto"/>
    </w:pPr>
    <w:rPr>
      <w:rFonts w:eastAsiaTheme="minorEastAsia"/>
      <w:kern w:val="0"/>
      <w:sz w:val="22"/>
      <w:szCs w:val="22"/>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gov.pl/sprawiedliwos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6616</Words>
  <Characters>39702</Characters>
  <Application>Microsoft Office Word</Application>
  <DocSecurity>0</DocSecurity>
  <Lines>330</Lines>
  <Paragraphs>92</Paragraphs>
  <ScaleCrop>false</ScaleCrop>
  <Company/>
  <LinksUpToDate>false</LinksUpToDate>
  <CharactersWithSpaces>46226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Burzyński Paweł  (DPK)</dc:creator>
  <cp:keywords/>
  <dc:description/>
  <cp:lastModifiedBy>Burzyński Paweł  (DPK)</cp:lastModifiedBy>
  <cp:revision>5</cp:revision>
  <dcterms:created xsi:type="dcterms:W3CDTF">2025-05-05T11:26:00Z</dcterms:created>
  <dcterms:modified xsi:type="dcterms:W3CDTF">2025-05-05T12:48:00Z</dcterms:modified>
</cp:coreProperties>
</file>