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466CF4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5 października 2021</w:t>
      </w:r>
      <w:bookmarkEnd w:id="0"/>
      <w:r>
        <w:rPr>
          <w:sz w:val="24"/>
          <w:szCs w:val="24"/>
        </w:rPr>
        <w:t xml:space="preserve"> r.</w:t>
      </w:r>
    </w:p>
    <w:p w:rsidR="001C3D43" w:rsidP="001C3D43">
      <w:pPr>
        <w:tabs>
          <w:tab w:val="center" w:pos="1985"/>
        </w:tabs>
        <w:rPr>
          <w:sz w:val="24"/>
          <w:szCs w:val="24"/>
        </w:rPr>
      </w:pPr>
    </w:p>
    <w:p w:rsidR="001C3D43" w:rsidP="001C3D43">
      <w:pPr>
        <w:tabs>
          <w:tab w:val="center" w:pos="1985"/>
        </w:tabs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RT-III.431.2.2020</w:t>
      </w:r>
      <w:bookmarkEnd w:id="2"/>
    </w:p>
    <w:p w:rsidR="001C3D43" w:rsidP="001C3D43">
      <w:pPr>
        <w:tabs>
          <w:tab w:val="center" w:pos="1985"/>
        </w:tabs>
        <w:rPr>
          <w:sz w:val="24"/>
          <w:szCs w:val="24"/>
        </w:rPr>
      </w:pPr>
    </w:p>
    <w:p w:rsidR="001C3D43" w:rsidP="001C3D43">
      <w:pPr>
        <w:tabs>
          <w:tab w:val="center" w:pos="1985"/>
        </w:tabs>
        <w:rPr>
          <w:sz w:val="24"/>
          <w:szCs w:val="24"/>
        </w:rPr>
      </w:pPr>
    </w:p>
    <w:p w:rsidR="001C3D43" w:rsidRPr="0091553B" w:rsidP="001C3D43">
      <w:pPr>
        <w:jc w:val="center"/>
        <w:rPr>
          <w:sz w:val="24"/>
          <w:szCs w:val="24"/>
        </w:rPr>
      </w:pPr>
      <w:r w:rsidRPr="0091553B">
        <w:rPr>
          <w:b/>
          <w:sz w:val="24"/>
          <w:szCs w:val="24"/>
        </w:rPr>
        <w:t>WYSTĄPIENI</w:t>
      </w:r>
      <w:r>
        <w:rPr>
          <w:b/>
          <w:sz w:val="24"/>
          <w:szCs w:val="24"/>
        </w:rPr>
        <w:t xml:space="preserve">E </w:t>
      </w:r>
      <w:r w:rsidRPr="0091553B">
        <w:rPr>
          <w:b/>
          <w:sz w:val="24"/>
          <w:szCs w:val="24"/>
        </w:rPr>
        <w:t xml:space="preserve"> POKONTROLNE</w:t>
      </w:r>
    </w:p>
    <w:p w:rsidR="001C3D43" w:rsidRPr="0091553B" w:rsidP="001C3D43">
      <w:pPr>
        <w:rPr>
          <w:b/>
          <w:sz w:val="24"/>
          <w:szCs w:val="24"/>
        </w:rPr>
      </w:pPr>
    </w:p>
    <w:tbl>
      <w:tblPr>
        <w:tblW w:w="0" w:type="auto"/>
        <w:tblInd w:w="-456" w:type="dxa"/>
        <w:tblLayout w:type="fixed"/>
        <w:tblLook w:val="04A0"/>
      </w:tblPr>
      <w:tblGrid>
        <w:gridCol w:w="3119"/>
        <w:gridCol w:w="7081"/>
      </w:tblGrid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Przedmiot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 xml:space="preserve">Realizacja, </w:t>
            </w:r>
            <w:r w:rsidRPr="0091553B">
              <w:rPr>
                <w:rFonts w:eastAsia="Lucida Sans Unicode" w:cs="Tahoma"/>
                <w:kern w:val="0"/>
                <w:sz w:val="22"/>
                <w:szCs w:val="22"/>
                <w:lang w:eastAsia="pl-PL" w:bidi="pl-PL"/>
              </w:rPr>
              <w:t xml:space="preserve">ocena sposobu i terminowości wykonania zadania </w:t>
            </w:r>
            <w:r>
              <w:rPr>
                <w:rFonts w:eastAsia="Calibri"/>
                <w:sz w:val="22"/>
                <w:szCs w:val="22"/>
              </w:rPr>
              <w:t>pn.:</w:t>
            </w:r>
            <w:r w:rsidRPr="00282EB0">
              <w:rPr>
                <w:rFonts w:eastAsia="Calibri"/>
                <w:b/>
                <w:sz w:val="22"/>
                <w:szCs w:val="22"/>
              </w:rPr>
              <w:t xml:space="preserve"> „</w:t>
            </w:r>
            <w:r w:rsidRPr="0091553B">
              <w:rPr>
                <w:rFonts w:eastAsia="Calibri"/>
                <w:b/>
                <w:sz w:val="22"/>
                <w:szCs w:val="22"/>
              </w:rPr>
              <w:t>Remont drogi gminnej nr 120110E</w:t>
            </w:r>
            <w:r>
              <w:rPr>
                <w:rFonts w:eastAsia="Calibri"/>
                <w:b/>
                <w:sz w:val="22"/>
                <w:szCs w:val="22"/>
              </w:rPr>
              <w:t xml:space="preserve"> Dybówka-Małachowice Kolonia</w:t>
            </w:r>
            <w:r w:rsidRPr="0091553B">
              <w:rPr>
                <w:rFonts w:eastAsia="Calibri"/>
                <w:b/>
                <w:sz w:val="22"/>
                <w:szCs w:val="22"/>
              </w:rPr>
              <w:t>”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Lucida Sans Unicode" w:cs="Tahoma"/>
                <w:kern w:val="0"/>
                <w:sz w:val="22"/>
                <w:szCs w:val="22"/>
                <w:lang w:eastAsia="pl-PL" w:bidi="pl-PL"/>
              </w:rPr>
              <w:t>ob</w:t>
            </w:r>
            <w:r w:rsidRPr="0091553B">
              <w:rPr>
                <w:rFonts w:eastAsia="Calibri"/>
                <w:sz w:val="22"/>
                <w:szCs w:val="22"/>
              </w:rPr>
              <w:t>jętego dofinansowani</w:t>
            </w:r>
            <w:r>
              <w:rPr>
                <w:rFonts w:eastAsia="Calibri"/>
                <w:sz w:val="22"/>
                <w:szCs w:val="22"/>
              </w:rPr>
              <w:t>em</w:t>
            </w:r>
            <w:r w:rsidRPr="0091553B">
              <w:rPr>
                <w:rFonts w:eastAsia="Calibri"/>
                <w:sz w:val="22"/>
                <w:szCs w:val="22"/>
              </w:rPr>
              <w:t xml:space="preserve"> środkami pochodzącymi z </w:t>
            </w:r>
            <w:r>
              <w:rPr>
                <w:rFonts w:eastAsia="Calibri"/>
                <w:sz w:val="22"/>
                <w:szCs w:val="22"/>
              </w:rPr>
              <w:t xml:space="preserve">Rządowego Funduszu Rozwoju Dróg (dawna nazwa </w:t>
            </w:r>
            <w:r w:rsidRPr="0091553B">
              <w:rPr>
                <w:rFonts w:eastAsia="Calibri"/>
                <w:sz w:val="22"/>
                <w:szCs w:val="22"/>
              </w:rPr>
              <w:t>Funduszu Dróg Samorządowych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91553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w tym sprawdzenia</w:t>
            </w:r>
            <w:r w:rsidRPr="0091553B">
              <w:rPr>
                <w:rFonts w:eastAsia="Calibri"/>
                <w:color w:val="000000"/>
                <w:sz w:val="22"/>
                <w:szCs w:val="22"/>
              </w:rPr>
              <w:t xml:space="preserve"> prawidłowości wykorzystania dofinansowania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na podstawie umowy</w:t>
            </w:r>
            <w:r w:rsidRPr="0091553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nr 47/2019 z dnia 25.06.2019 r.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Nazwa i adres organu kontrolującego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sz w:val="22"/>
                <w:szCs w:val="22"/>
              </w:rPr>
              <w:t>Łódzki Urząd Wojewódzki</w:t>
            </w:r>
            <w:r w:rsidRPr="0091553B">
              <w:rPr>
                <w:rFonts w:eastAsia="Calibri"/>
                <w:sz w:val="22"/>
                <w:szCs w:val="22"/>
              </w:rPr>
              <w:t>, ul. Piotrkowska 104, 90 – 926 Łódź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Nazwa i adres organu kontrolowanego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kern w:val="0"/>
                <w:sz w:val="22"/>
                <w:szCs w:val="22"/>
                <w:lang w:eastAsia="ar-SA"/>
              </w:rPr>
              <w:t>Gmina Ozorków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ar-SA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ul. Wigury 13, 95-035 Ozorków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Osoba pełniąca funkcję kierownika podmiotu kontro-</w:t>
            </w:r>
            <w:r w:rsidRPr="0091553B">
              <w:rPr>
                <w:rFonts w:eastAsia="Calibri"/>
                <w:b/>
                <w:sz w:val="22"/>
                <w:szCs w:val="22"/>
              </w:rPr>
              <w:t>lowanego</w:t>
            </w:r>
            <w:r w:rsidRPr="0091553B">
              <w:rPr>
                <w:rFonts w:eastAsia="Calibri"/>
                <w:b/>
                <w:sz w:val="22"/>
                <w:szCs w:val="22"/>
              </w:rPr>
              <w:t xml:space="preserve"> w okresie objętym kontrolą oraz w okresie prowadzenia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sz w:val="22"/>
                <w:szCs w:val="22"/>
              </w:rPr>
              <w:t>Pan Tomasz Komorowski, Wójt Gminy Ozorków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Osoby udzielające wyjaśnień w trakcie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sz w:val="22"/>
                <w:szCs w:val="22"/>
              </w:rPr>
              <w:t>Pan Paweł Majewski</w:t>
            </w:r>
            <w:r w:rsidRPr="0091553B">
              <w:rPr>
                <w:rFonts w:eastAsia="Calibri"/>
                <w:sz w:val="22"/>
                <w:szCs w:val="22"/>
              </w:rPr>
              <w:t xml:space="preserve"> - Kierowni</w:t>
            </w:r>
            <w:r>
              <w:rPr>
                <w:rFonts w:eastAsia="Calibri"/>
                <w:sz w:val="22"/>
                <w:szCs w:val="22"/>
              </w:rPr>
              <w:t>k Referatu Infrastruktury i Inwestycji w Urzędzie Gminy w Ozorkowie</w:t>
            </w:r>
            <w:r w:rsidRPr="0091553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Okres objęty kontrolą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282EB0" w:rsidP="00457652">
            <w:pPr>
              <w:rPr>
                <w:color w:val="FF0000"/>
              </w:rPr>
            </w:pPr>
            <w:r>
              <w:rPr>
                <w:rFonts w:eastAsia="Lucida Sans Unicode" w:cs="Tahoma"/>
                <w:kern w:val="0"/>
                <w:sz w:val="22"/>
                <w:szCs w:val="22"/>
                <w:lang w:eastAsia="pl-PL" w:bidi="pl-PL"/>
              </w:rPr>
              <w:t xml:space="preserve">Od dnia 23 marca 2020 r. do dnia 9 grudnia 2020 r., tj. od wpływu wniosku   o dofinansowanie środkami </w:t>
            </w:r>
            <w:r w:rsidRPr="0091553B">
              <w:rPr>
                <w:rFonts w:eastAsia="Calibri"/>
                <w:sz w:val="22"/>
                <w:szCs w:val="22"/>
              </w:rPr>
              <w:t xml:space="preserve">pochodzącymi z </w:t>
            </w:r>
            <w:r>
              <w:rPr>
                <w:rFonts w:eastAsia="Calibri"/>
                <w:sz w:val="22"/>
                <w:szCs w:val="22"/>
              </w:rPr>
              <w:t xml:space="preserve">Rządowego Funduszu Rozwoju Dróg (dawna nazwa </w:t>
            </w:r>
            <w:r w:rsidRPr="0091553B">
              <w:rPr>
                <w:rFonts w:eastAsia="Calibri"/>
                <w:sz w:val="22"/>
                <w:szCs w:val="22"/>
              </w:rPr>
              <w:t>Funduszu Dróg Samorządowych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Lucida Sans Unicode" w:cs="Tahoma"/>
                <w:kern w:val="0"/>
                <w:sz w:val="22"/>
                <w:szCs w:val="22"/>
                <w:lang w:eastAsia="pl-PL" w:bidi="pl-PL"/>
              </w:rPr>
              <w:t>do Łódzkiego Urzędu Wojewódzkiego w Łodzi</w:t>
            </w:r>
            <w:r w:rsidRPr="00B718BD">
              <w:rPr>
                <w:rFonts w:eastAsia="Calibri"/>
                <w:sz w:val="22"/>
                <w:szCs w:val="22"/>
              </w:rPr>
              <w:t>,</w:t>
            </w:r>
            <w:r w:rsidRPr="00282EB0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B718BD">
              <w:rPr>
                <w:rFonts w:eastAsia="Calibri"/>
                <w:sz w:val="22"/>
                <w:szCs w:val="22"/>
              </w:rPr>
              <w:t>d</w:t>
            </w:r>
            <w:r>
              <w:rPr>
                <w:rFonts w:eastAsia="Calibri"/>
                <w:sz w:val="22"/>
                <w:szCs w:val="22"/>
              </w:rPr>
              <w:t>o dnia przeprowadzenia kontroli w terenie.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Kontrolujący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D43" w:rsidRPr="0091553B" w:rsidP="00457652">
            <w:pPr>
              <w:ind w:left="1452" w:hanging="1452"/>
            </w:pPr>
            <w:r w:rsidRPr="0091553B">
              <w:rPr>
                <w:rFonts w:eastAsia="Calibri"/>
                <w:sz w:val="22"/>
                <w:szCs w:val="22"/>
              </w:rPr>
              <w:t>Angelika Poloczek – starszy specjalista Oddziału Inwestycji Wydziału</w:t>
            </w:r>
          </w:p>
          <w:p w:rsidR="001C3D43" w:rsidRPr="0091553B" w:rsidP="00457652">
            <w:pPr>
              <w:ind w:left="1452" w:firstLine="280"/>
            </w:pPr>
            <w:r w:rsidRPr="0091553B">
              <w:rPr>
                <w:rFonts w:eastAsia="Calibri"/>
                <w:sz w:val="22"/>
                <w:szCs w:val="22"/>
              </w:rPr>
              <w:t>Rolnictwa i Transportu</w:t>
            </w:r>
          </w:p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>Wojciech Orłowski – starszy specjalista w Oddziale Inwestycji</w:t>
            </w:r>
          </w:p>
          <w:p w:rsidR="001C3D43" w:rsidRPr="0091553B" w:rsidP="00457652">
            <w:pPr>
              <w:ind w:firstLine="1732"/>
            </w:pPr>
            <w:r w:rsidRPr="0091553B">
              <w:rPr>
                <w:rFonts w:eastAsia="Calibri"/>
                <w:sz w:val="22"/>
                <w:szCs w:val="22"/>
              </w:rPr>
              <w:t>Wydziału Rolnictwa i Transportu</w:t>
            </w:r>
          </w:p>
          <w:p w:rsidR="001C3D43" w:rsidRPr="002E7FB3" w:rsidP="00457652">
            <w:pPr>
              <w:ind w:left="2019" w:hanging="2019"/>
            </w:pPr>
            <w:r w:rsidRPr="0091553B">
              <w:rPr>
                <w:rFonts w:eastAsia="Calibri"/>
                <w:sz w:val="22"/>
                <w:szCs w:val="22"/>
              </w:rPr>
              <w:t>Małgorzata Rejniak – starszy inspektor w Oddziale Inwestycji Wydziału Rolnictwa i Transportu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Nr upoważnienia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sz w:val="22"/>
                <w:szCs w:val="22"/>
              </w:rPr>
              <w:t xml:space="preserve">12/2020, 13/2020, 15/2020 z dnia 13 marca 2020 r. oraz 77/2020, </w:t>
            </w:r>
            <w:r w:rsidRPr="0091553B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8/2020 i 79/2020 z dnia 3 grudnia</w:t>
            </w:r>
            <w:r w:rsidRPr="0091553B">
              <w:rPr>
                <w:rFonts w:eastAsia="Calibri"/>
                <w:sz w:val="22"/>
                <w:szCs w:val="22"/>
              </w:rPr>
              <w:t xml:space="preserve"> 2020 r.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Postawy prawne przeprowadzenia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art. 6 ust. 4 pkt 4 ustawy z dnia 15 lipca 2011 r. o kontroli                        w administracji rządowej (tj. Dz.U. z 2020 r. poz. 224)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art. 31 ustawy z dnia 23 października 2018 r. o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Rządowym 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Funduszu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Rozwoju Dróg </w:t>
            </w:r>
            <w:r w:rsidRPr="003F57FB">
              <w:rPr>
                <w:rFonts w:eastAsia="Calibri"/>
                <w:sz w:val="22"/>
                <w:szCs w:val="22"/>
                <w:lang w:eastAsia="ar-SA"/>
              </w:rPr>
              <w:t>(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tj.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Dz.U. z 2020 r. poz. 1430</w:t>
            </w:r>
            <w:r w:rsidRPr="003F57FB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</w:t>
            </w:r>
            <w:r>
              <w:rPr>
                <w:rFonts w:eastAsia="Calibri"/>
                <w:sz w:val="22"/>
                <w:szCs w:val="22"/>
                <w:lang w:eastAsia="ar-SA"/>
              </w:rPr>
              <w:t>a z dnia 11 września 2019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 r.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Prawo zamówień publicznych (Dz.U.   z 2019 r. poz. 2019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>);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z dnia 7 lipca 1994 r. Prawo bu</w:t>
            </w:r>
            <w:r>
              <w:rPr>
                <w:rFonts w:eastAsia="Calibri"/>
                <w:sz w:val="22"/>
                <w:szCs w:val="22"/>
                <w:lang w:eastAsia="ar-SA"/>
              </w:rPr>
              <w:t>dowlane (tj. Dz.U. z 2020 r. poz. 1333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>) i obowiązujące przepisy związane z realizacją drogowych inwestycji budowlanych;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13 listopada 2003 r. o dochodach jednostek samorządu terytorialnego (tj. Dz.U. z 2020 r. poz. 23);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17 grudnia 2004 r. o odpowiedzialności za naruszenie dyscypliny finansów publicznych (tj. Dz.U. z 2019 r. poz. 1440)</w:t>
            </w:r>
          </w:p>
          <w:p w:rsidR="001C3D43" w:rsidRPr="0091553B" w:rsidP="00457652">
            <w:pPr>
              <w:widowControl w:val="0"/>
              <w:numPr>
                <w:ilvl w:val="0"/>
                <w:numId w:val="2"/>
              </w:numPr>
              <w:ind w:left="318" w:hanging="284"/>
            </w:pPr>
            <w:r w:rsidRPr="0091553B">
              <w:rPr>
                <w:rFonts w:eastAsia="SimSun"/>
                <w:color w:val="000000"/>
                <w:sz w:val="22"/>
                <w:szCs w:val="22"/>
                <w:lang w:eastAsia="hi-IN" w:bidi="hi-IN"/>
              </w:rPr>
              <w:t>umowa nr</w:t>
            </w:r>
            <w:r>
              <w:rPr>
                <w:rFonts w:eastAsia="SimSun"/>
                <w:sz w:val="22"/>
                <w:szCs w:val="22"/>
                <w:lang w:bidi="pl-PL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47/2019 z dnia 25.06.</w:t>
            </w:r>
            <w:r w:rsidRPr="0091553B">
              <w:rPr>
                <w:rFonts w:eastAsia="Calibri"/>
                <w:sz w:val="22"/>
                <w:szCs w:val="22"/>
              </w:rPr>
              <w:t xml:space="preserve"> 2019 r.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pPr>
              <w:jc w:val="both"/>
            </w:pPr>
            <w:r w:rsidRPr="0091553B">
              <w:rPr>
                <w:rFonts w:eastAsia="Calibri"/>
                <w:b/>
                <w:sz w:val="22"/>
                <w:szCs w:val="22"/>
              </w:rPr>
              <w:t>Termin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sz w:val="22"/>
                <w:szCs w:val="22"/>
              </w:rPr>
              <w:t>23 marca 2020 r.</w:t>
            </w:r>
            <w:r w:rsidRPr="0091553B">
              <w:rPr>
                <w:rFonts w:eastAsia="Calibri"/>
                <w:sz w:val="22"/>
                <w:szCs w:val="22"/>
              </w:rPr>
              <w:t xml:space="preserve"> – 1 </w:t>
            </w:r>
            <w:r>
              <w:rPr>
                <w:rFonts w:eastAsia="Calibri"/>
                <w:sz w:val="22"/>
                <w:szCs w:val="22"/>
              </w:rPr>
              <w:t xml:space="preserve">marca 2021 r., w dniu 9 grudnia </w:t>
            </w:r>
            <w:r w:rsidRPr="0091553B">
              <w:rPr>
                <w:rFonts w:eastAsia="Calibri"/>
                <w:sz w:val="22"/>
                <w:szCs w:val="22"/>
              </w:rPr>
              <w:t xml:space="preserve">2020 r. </w:t>
            </w:r>
            <w:r>
              <w:rPr>
                <w:rFonts w:eastAsia="Calibri"/>
                <w:sz w:val="22"/>
                <w:szCs w:val="22"/>
              </w:rPr>
              <w:t xml:space="preserve">została przeprowadzona kontrola </w:t>
            </w:r>
            <w:r w:rsidRPr="0091553B">
              <w:rPr>
                <w:rFonts w:eastAsia="Calibri"/>
                <w:sz w:val="22"/>
                <w:szCs w:val="22"/>
              </w:rPr>
              <w:t xml:space="preserve"> w miejscu realizacji zadania (wizja lokalna) oraz w siedzibie jednostki.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pPr>
              <w:widowControl w:val="0"/>
              <w:ind w:left="34"/>
            </w:pPr>
            <w:r w:rsidRPr="0091553B">
              <w:rPr>
                <w:rFonts w:eastAsia="Calibri"/>
                <w:b/>
                <w:sz w:val="22"/>
                <w:szCs w:val="22"/>
                <w:lang w:eastAsia="ar-SA"/>
              </w:rPr>
              <w:t>Stan prawny dotyczący przedmiotu kontroli:</w:t>
            </w:r>
          </w:p>
          <w:p w:rsidR="001C3D43" w:rsidRPr="0091553B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15 lipca 2011 r. o kontroli w administracji rządowej (tj. Dz.U. z 2020 r. poz. 224).</w:t>
            </w:r>
          </w:p>
          <w:p w:rsidR="001C3D43" w:rsidRPr="0091553B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27 sierpnia 2009 r. o finansach publicznych (tj. Dz.U z 2019 r. poz. 869).</w:t>
            </w:r>
          </w:p>
          <w:p w:rsidR="001C3D43" w:rsidRPr="005B794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5B7949">
              <w:rPr>
                <w:rFonts w:eastAsia="Calibri"/>
                <w:sz w:val="22"/>
                <w:szCs w:val="22"/>
                <w:lang w:eastAsia="ar-SA"/>
              </w:rPr>
              <w:t xml:space="preserve">Ustawa z dnia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11 września 2019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 r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. </w:t>
            </w:r>
            <w:r w:rsidRPr="005B7949">
              <w:rPr>
                <w:rFonts w:eastAsia="Calibri"/>
                <w:sz w:val="22"/>
                <w:szCs w:val="22"/>
                <w:lang w:eastAsia="ar-SA"/>
              </w:rPr>
              <w:t xml:space="preserve">Prawo zamówień publicznych </w:t>
            </w:r>
            <w:r>
              <w:rPr>
                <w:rFonts w:eastAsia="Calibri"/>
                <w:sz w:val="22"/>
                <w:szCs w:val="22"/>
                <w:lang w:eastAsia="ar-SA"/>
              </w:rPr>
              <w:t>(Dz.U. z 2019 r. poz. 2019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  <w:p w:rsidR="001C3D43" w:rsidRPr="005B794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5B7949">
              <w:rPr>
                <w:rFonts w:eastAsia="Calibri"/>
                <w:sz w:val="22"/>
                <w:szCs w:val="22"/>
                <w:lang w:eastAsia="ar-SA"/>
              </w:rPr>
              <w:t>Ustawa z dnia z dnia 7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lipca 1994 r. Prawo budowlane (tj. Dz.U. z 2020 r. poz. 1333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>)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5B7949">
              <w:rPr>
                <w:rFonts w:eastAsia="Calibri"/>
                <w:sz w:val="22"/>
                <w:szCs w:val="22"/>
                <w:lang w:eastAsia="ar-SA"/>
              </w:rPr>
              <w:t>i obowiązujące przepisy związane z realizacją drogowych inwestycji budowlanych.</w:t>
            </w:r>
          </w:p>
          <w:p w:rsidR="001C3D43" w:rsidRPr="005B794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5B7949">
              <w:rPr>
                <w:rFonts w:eastAsia="Calibri"/>
                <w:sz w:val="22"/>
                <w:szCs w:val="22"/>
                <w:lang w:eastAsia="ar-SA"/>
              </w:rPr>
              <w:t xml:space="preserve">Ustawa z dnia 13 listopada 2003 r. o dochodach jednostek samorządu terytorialnego </w:t>
            </w:r>
            <w:r>
              <w:rPr>
                <w:rFonts w:eastAsia="Calibri"/>
                <w:sz w:val="22"/>
                <w:szCs w:val="22"/>
                <w:lang w:eastAsia="ar-SA"/>
              </w:rPr>
              <w:t>(tj. Dz.U. z 2020 r.     poz. 23).</w:t>
            </w:r>
          </w:p>
          <w:p w:rsidR="001C3D43" w:rsidRPr="005B794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5B7949">
              <w:rPr>
                <w:rFonts w:eastAsia="Calibri"/>
                <w:sz w:val="22"/>
                <w:szCs w:val="22"/>
                <w:lang w:eastAsia="ar-SA"/>
              </w:rPr>
              <w:t>Rozporządzenie Rady Ministrów z dnia 2 grudnia 2010 r. w sprawie szczegółowego sposobu i trybu finansowania inwestycji z budżetu państwa (Dz.U. z 2010 r. Nr 238, poz. 1579).</w:t>
            </w:r>
          </w:p>
          <w:p w:rsidR="001C3D43" w:rsidRPr="0091553B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17 grudnia 2004 r. o odpowiedzialności za naruszenie dyscypliny finansów publicznych (tj. Dz.U. z 2019 r. poz. 1440).</w:t>
            </w:r>
          </w:p>
          <w:p w:rsidR="001C3D43" w:rsidRPr="0091553B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91553B">
              <w:rPr>
                <w:rFonts w:eastAsia="Calibri"/>
                <w:sz w:val="22"/>
                <w:szCs w:val="22"/>
                <w:lang w:eastAsia="ar-SA"/>
              </w:rPr>
              <w:t>Ustawa z dnia 21 mar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ca 1985 r. o drogach (Dz.U. z 2020 poz.470)  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>z przepisami wykonawczymi.</w:t>
            </w:r>
          </w:p>
          <w:p w:rsidR="001C3D43" w:rsidRPr="008C62A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8C62A9">
              <w:rPr>
                <w:rFonts w:eastAsia="Calibri"/>
                <w:sz w:val="22"/>
                <w:szCs w:val="22"/>
                <w:lang w:eastAsia="ar-SA"/>
              </w:rPr>
              <w:t>Ustawa z dnia 23 października 2018 r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. 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o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Rządowym 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Funduszu </w:t>
            </w:r>
            <w:r>
              <w:rPr>
                <w:rFonts w:eastAsia="Calibri"/>
                <w:sz w:val="22"/>
                <w:szCs w:val="22"/>
                <w:lang w:eastAsia="ar-SA"/>
              </w:rPr>
              <w:t>Rozwoju Dróg</w:t>
            </w:r>
            <w:r w:rsidRPr="0091553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3F57FB">
              <w:rPr>
                <w:rFonts w:eastAsia="Calibri"/>
                <w:sz w:val="22"/>
                <w:szCs w:val="22"/>
                <w:lang w:eastAsia="ar-SA"/>
              </w:rPr>
              <w:t>(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tj.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Dz.U. z 2020 r. poz. 1430</w:t>
            </w:r>
            <w:r w:rsidRPr="003F57FB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1C3D43" w:rsidRPr="008C62A9" w:rsidP="00457652">
            <w:pPr>
              <w:widowControl w:val="0"/>
              <w:numPr>
                <w:ilvl w:val="3"/>
                <w:numId w:val="3"/>
              </w:numPr>
              <w:ind w:left="318" w:hanging="284"/>
            </w:pPr>
            <w:r w:rsidRPr="008C62A9">
              <w:rPr>
                <w:rFonts w:eastAsia="Lucida Sans Unicode"/>
                <w:sz w:val="22"/>
                <w:szCs w:val="22"/>
                <w:lang w:bidi="pl-PL"/>
              </w:rPr>
              <w:t>Ustawa z dnia 11 marca 2004 r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. o podatku od towarów i usług </w:t>
            </w:r>
            <w:r>
              <w:rPr>
                <w:sz w:val="22"/>
                <w:szCs w:val="22"/>
              </w:rPr>
              <w:t>(Dz. U. z 2020 r. poz.106).</w:t>
            </w:r>
          </w:p>
          <w:p w:rsidR="001C3D43" w:rsidRPr="0091553B" w:rsidP="00457652">
            <w:pPr>
              <w:widowControl w:val="0"/>
              <w:ind w:left="314" w:hanging="314"/>
            </w:pPr>
            <w:r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11</w:t>
            </w:r>
            <w:r w:rsidRPr="0091553B"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 Ustawa z dnia 3 października 2008 r. o udostępnianiu informacji o środowisku i jego ochronie, udziale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społeczeństwa w ochronie środowiska oraz o ocenach oddziaływania na środowisko (tj. Dz. U.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z 2020 r.    poz. 283).</w:t>
            </w:r>
          </w:p>
          <w:p w:rsidR="001C3D43" w:rsidRPr="0091553B" w:rsidP="00457652">
            <w:pPr>
              <w:widowControl w:val="0"/>
            </w:pPr>
            <w:r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12</w:t>
            </w:r>
            <w:r w:rsidRPr="0091553B"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 Ustawa z dnia 21 marca 1985 r. o drogac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>h publicznych (tj. Dz. U. z 2020 r. poz. 470 ze zm.).</w:t>
            </w:r>
          </w:p>
          <w:p w:rsidR="001C3D43" w:rsidRPr="0091553B" w:rsidP="00457652">
            <w:pPr>
              <w:widowControl w:val="0"/>
            </w:pPr>
            <w:r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13</w:t>
            </w:r>
            <w:r w:rsidRPr="0091553B"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 Ustawa z dnia 20 czerwca 1997 r. Prawo o r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>uchu drogowym (tj. Dz. U. z 2020 r. poz. 110 ze zm.).</w:t>
            </w:r>
          </w:p>
          <w:p w:rsidR="001C3D43" w:rsidRPr="0091553B" w:rsidP="00457652">
            <w:pPr>
              <w:widowControl w:val="0"/>
              <w:ind w:left="314" w:hanging="314"/>
            </w:pPr>
            <w:r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14</w:t>
            </w:r>
            <w:r w:rsidRPr="0091553B"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 Rozporządzenie Ministra Infrastruktury z dnia 23 września 2003 r. w sprawie szczegółowych warunków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zarządzania ruchem na drogach oraz wykonywania nadzoru na tym zarządzaniem (tj. Dz. U. 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z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2017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r.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, poz.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784).</w:t>
            </w:r>
          </w:p>
          <w:p w:rsidR="001C3D43" w:rsidRPr="000A5E71" w:rsidP="00457652">
            <w:pPr>
              <w:widowControl w:val="0"/>
              <w:ind w:left="314" w:hanging="314"/>
              <w:rPr>
                <w:color w:val="FF0000"/>
              </w:rPr>
            </w:pPr>
            <w:r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15</w:t>
            </w:r>
            <w:r w:rsidRPr="0091553B">
              <w:rPr>
                <w:rFonts w:eastAsia="Lucida Sans Unicode"/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 xml:space="preserve"> Rozporządzenie Ministra Infrastruktury z dnia 3 lipca 2003 r. w sprawie szczegółowych warunków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technicznych dla znaków i sygnałów drogowych oraz urządzeń bezpieczeństwa ruchu drogowego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                  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i warunków ich umieszczania na drogach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(tj</w:t>
            </w:r>
            <w:r w:rsidRPr="000A5E71">
              <w:rPr>
                <w:rFonts w:eastAsia="Lucida Sans Unicode"/>
                <w:color w:val="FF0000"/>
                <w:sz w:val="22"/>
                <w:szCs w:val="22"/>
                <w:lang w:bidi="pl-PL"/>
              </w:rPr>
              <w:t xml:space="preserve">. </w:t>
            </w:r>
            <w:r w:rsidRPr="00282EB0">
              <w:rPr>
                <w:rFonts w:eastAsia="Lucida Sans Unicode"/>
                <w:sz w:val="22"/>
                <w:szCs w:val="22"/>
                <w:lang w:bidi="pl-PL"/>
              </w:rPr>
              <w:t>Dz. U. z 2019 r. poz. 2311).</w:t>
            </w:r>
          </w:p>
          <w:p w:rsidR="001C3D43" w:rsidRPr="0091553B" w:rsidP="00457652">
            <w:pPr>
              <w:widowControl w:val="0"/>
              <w:ind w:left="314" w:hanging="314"/>
            </w:pPr>
            <w:r>
              <w:rPr>
                <w:b/>
                <w:bCs/>
                <w:sz w:val="22"/>
                <w:szCs w:val="22"/>
                <w:lang w:bidi="pl-PL"/>
              </w:rPr>
              <w:t>16</w:t>
            </w:r>
            <w:r w:rsidRPr="0091553B">
              <w:rPr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Rozporządzenie Ministra Transportu i Gospodarki Morskiej z dnia 2 marca 1999 r. w sprawie warunków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technicznych, jakim powinny odpowiadać drogi publiczne i ich usytuowanie (tj. Dz. U. z 2016 r. poz.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124).</w:t>
            </w:r>
          </w:p>
          <w:p w:rsidR="001C3D43" w:rsidRPr="0091553B" w:rsidP="00457652">
            <w:pPr>
              <w:widowControl w:val="0"/>
              <w:ind w:left="314" w:hanging="314"/>
            </w:pPr>
            <w:r>
              <w:rPr>
                <w:b/>
                <w:bCs/>
                <w:sz w:val="22"/>
                <w:szCs w:val="22"/>
                <w:lang w:bidi="pl-PL"/>
              </w:rPr>
              <w:t>17</w:t>
            </w:r>
            <w:r w:rsidRPr="0091553B">
              <w:rPr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Rozporządzenie Ministra Rozwoju i Finansów z dnia 13 września 2017 r. w sprawie szczególnych zasad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rachunkowości oraz planów kont dla budżetu państwa, budżetów jednostek samorządu terytorialnego,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jednostek budżetowych, samorządowych zakładów budżetowych, państwowych funduszy celowych oraz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państwowych jednostek budżetowych mających siedzibę poza granicami Rzeczypospolitej Polskiej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(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>tj. Dz. U. z 2017 r. poz. 1911).</w:t>
            </w:r>
          </w:p>
          <w:p w:rsidR="001C3D43" w:rsidRPr="0091553B" w:rsidP="00457652">
            <w:pPr>
              <w:widowControl w:val="0"/>
              <w:ind w:left="314" w:hanging="314"/>
            </w:pPr>
            <w:r>
              <w:rPr>
                <w:b/>
                <w:bCs/>
                <w:sz w:val="22"/>
                <w:szCs w:val="22"/>
                <w:lang w:bidi="pl-PL"/>
              </w:rPr>
              <w:t>18</w:t>
            </w:r>
            <w:r w:rsidRPr="0091553B">
              <w:rPr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Rozporządzenie Ministra Finansów z dnia 2 marca 2010 r. w sprawie szczegółowej klasyfikacji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dochodów, wydatków, przychodów i rozchodów oraz środków pochodzących ze źródeł zagranicznych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bidi="pl-PL"/>
              </w:rPr>
              <w:t>(tj. Dz.</w:t>
            </w:r>
            <w:r>
              <w:rPr>
                <w:rFonts w:eastAsia="Lucida Sans Unicode"/>
                <w:sz w:val="22"/>
                <w:szCs w:val="22"/>
                <w:lang w:bidi="pl-PL"/>
              </w:rPr>
              <w:t xml:space="preserve"> U. z 2014 r. poz. 1053 ze zm.).</w:t>
            </w:r>
          </w:p>
          <w:p w:rsidR="001C3D43" w:rsidP="00457652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pl-PL"/>
              </w:rPr>
              <w:t>19</w:t>
            </w:r>
            <w:r w:rsidRPr="0091553B">
              <w:rPr>
                <w:b/>
                <w:bCs/>
                <w:sz w:val="22"/>
                <w:szCs w:val="22"/>
                <w:lang w:bidi="pl-PL"/>
              </w:rPr>
              <w:t>.</w:t>
            </w:r>
            <w:r w:rsidRPr="0091553B">
              <w:rPr>
                <w:sz w:val="22"/>
                <w:szCs w:val="22"/>
                <w:lang w:bidi="pl-PL"/>
              </w:rPr>
              <w:t xml:space="preserve"> </w:t>
            </w:r>
            <w:r>
              <w:rPr>
                <w:sz w:val="22"/>
                <w:szCs w:val="22"/>
                <w:lang w:bidi="pl-PL"/>
              </w:rPr>
              <w:t xml:space="preserve">Umowa </w:t>
            </w:r>
            <w:r w:rsidRPr="0091553B">
              <w:rPr>
                <w:rFonts w:eastAsia="SimSun"/>
                <w:color w:val="000000"/>
                <w:sz w:val="22"/>
                <w:szCs w:val="22"/>
                <w:lang w:eastAsia="hi-IN" w:bidi="hi-IN"/>
              </w:rPr>
              <w:t>nr</w:t>
            </w:r>
            <w:r>
              <w:rPr>
                <w:rFonts w:eastAsia="SimSun"/>
                <w:sz w:val="22"/>
                <w:szCs w:val="22"/>
                <w:lang w:bidi="pl-PL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47/2019 z dnia 25.06.</w:t>
            </w:r>
            <w:r w:rsidRPr="0091553B">
              <w:rPr>
                <w:rFonts w:eastAsia="Calibri"/>
                <w:sz w:val="22"/>
                <w:szCs w:val="22"/>
              </w:rPr>
              <w:t xml:space="preserve"> 2019 r.</w:t>
            </w:r>
          </w:p>
          <w:p w:rsidR="001C3D43" w:rsidRPr="0091553B" w:rsidP="00457652">
            <w:pPr>
              <w:widowControl w:val="0"/>
            </w:pP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Określenie obszaru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>
              <w:rPr>
                <w:rFonts w:eastAsia="Calibri"/>
                <w:sz w:val="22"/>
                <w:szCs w:val="22"/>
              </w:rPr>
              <w:t xml:space="preserve">Zadanie nr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47/2019 pn.: </w:t>
            </w:r>
            <w:r w:rsidRPr="00C70749">
              <w:rPr>
                <w:rFonts w:eastAsia="Calibri"/>
                <w:b/>
                <w:color w:val="000000"/>
                <w:sz w:val="22"/>
                <w:szCs w:val="22"/>
              </w:rPr>
              <w:t>„</w:t>
            </w:r>
            <w:r w:rsidRPr="0091553B">
              <w:rPr>
                <w:rFonts w:eastAsia="Calibri"/>
                <w:b/>
                <w:sz w:val="22"/>
                <w:szCs w:val="22"/>
              </w:rPr>
              <w:t>Remont drogi gminnej nr 120110E</w:t>
            </w:r>
            <w:r>
              <w:rPr>
                <w:rFonts w:eastAsia="Calibri"/>
                <w:b/>
                <w:sz w:val="22"/>
                <w:szCs w:val="22"/>
              </w:rPr>
              <w:t xml:space="preserve"> Dybówka-Małachowice Kolonia</w:t>
            </w:r>
            <w:r w:rsidRPr="0091553B">
              <w:rPr>
                <w:rFonts w:eastAsia="Calibri"/>
                <w:b/>
                <w:sz w:val="22"/>
                <w:szCs w:val="22"/>
              </w:rPr>
              <w:t>”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D43" w:rsidRPr="0091553B" w:rsidP="00457652">
            <w:pPr>
              <w:snapToGrid w:val="0"/>
              <w:rPr>
                <w:rFonts w:eastAsia="Calibri"/>
                <w:b/>
                <w:sz w:val="16"/>
                <w:szCs w:val="16"/>
              </w:rPr>
            </w:pPr>
          </w:p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USTALENIA  KONTROLI</w:t>
            </w:r>
          </w:p>
          <w:p w:rsidR="001C3D43" w:rsidRPr="0091553B" w:rsidP="00457652">
            <w:pPr>
              <w:rPr>
                <w:rFonts w:eastAsia="Calibri"/>
                <w:b/>
                <w:sz w:val="16"/>
                <w:szCs w:val="16"/>
              </w:rPr>
            </w:pPr>
          </w:p>
          <w:p w:rsidR="001C3D43" w:rsidRPr="0091553B" w:rsidP="00457652">
            <w:pPr>
              <w:numPr>
                <w:ilvl w:val="0"/>
                <w:numId w:val="4"/>
              </w:numPr>
              <w:suppressAutoHyphens w:val="0"/>
              <w:ind w:left="318" w:hanging="284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Sprawdzenie zgodności realizacji zadania z umową o dofinansowanie, Prawem zamówień publicznych, zasadami wydatkowania środków publicznych, Prawem budowlanym.</w:t>
            </w:r>
          </w:p>
          <w:p w:rsidR="001C3D43" w:rsidRPr="0091553B" w:rsidP="00457652">
            <w:pPr>
              <w:ind w:left="34"/>
            </w:pPr>
            <w:r w:rsidRPr="0091553B">
              <w:rPr>
                <w:rFonts w:eastAsia="Calibri"/>
                <w:sz w:val="22"/>
                <w:szCs w:val="22"/>
              </w:rPr>
              <w:t xml:space="preserve">W wyniku sprawdzenia zgodności zadania w powyższych aspektach, na podstawie przeprowadzonych oględzin 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91553B">
              <w:rPr>
                <w:rFonts w:eastAsia="Calibri"/>
                <w:sz w:val="22"/>
                <w:szCs w:val="22"/>
              </w:rPr>
              <w:t>i zgromadzonych akt kontroli, stwierdza się, że przedmiotowe zadanie zrealizowano:</w:t>
            </w:r>
          </w:p>
          <w:p w:rsidR="001C3D43" w:rsidRPr="009B2E1E" w:rsidP="00457652">
            <w:pPr>
              <w:numPr>
                <w:ilvl w:val="0"/>
                <w:numId w:val="5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>zgodnie z Umową nr</w:t>
            </w:r>
            <w:r w:rsidRPr="0091553B">
              <w:rPr>
                <w:rFonts w:eastAsia="Calibri"/>
                <w:kern w:val="0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1553B">
              <w:rPr>
                <w:rFonts w:eastAsia="Lucida Sans Unicode"/>
                <w:sz w:val="22"/>
                <w:szCs w:val="22"/>
                <w:lang w:eastAsia="ar-SA" w:bidi="pl-PL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47/2019 z dnia 25.06.2019 </w:t>
            </w:r>
            <w:r w:rsidRPr="0091553B">
              <w:rPr>
                <w:rFonts w:eastAsia="Lucida Sans Unicode"/>
                <w:sz w:val="22"/>
                <w:szCs w:val="22"/>
                <w:lang w:eastAsia="ar-SA" w:bidi="pl-PL"/>
              </w:rPr>
              <w:t xml:space="preserve">r. 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ar-SA"/>
              </w:rPr>
              <w:t>o dofinansowa</w:t>
            </w:r>
            <w:r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nie środkami pochodzącymi 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z </w:t>
            </w:r>
            <w:r>
              <w:rPr>
                <w:rFonts w:eastAsia="Calibri"/>
                <w:sz w:val="22"/>
                <w:szCs w:val="22"/>
              </w:rPr>
              <w:t xml:space="preserve">Rządowego Funduszu Rozwoju Dróg (dawna nazwa </w:t>
            </w:r>
            <w:r w:rsidRPr="0091553B">
              <w:rPr>
                <w:rFonts w:eastAsia="Calibri"/>
                <w:sz w:val="22"/>
                <w:szCs w:val="22"/>
              </w:rPr>
              <w:t>Funduszu Dróg Samorządowych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zadania pn.: </w:t>
            </w:r>
            <w:r>
              <w:rPr>
                <w:rFonts w:eastAsia="Calibri"/>
                <w:b/>
                <w:sz w:val="22"/>
                <w:szCs w:val="22"/>
              </w:rPr>
              <w:t>„</w:t>
            </w:r>
            <w:r w:rsidRPr="0091553B">
              <w:rPr>
                <w:rFonts w:eastAsia="Calibri"/>
                <w:b/>
                <w:sz w:val="22"/>
                <w:szCs w:val="22"/>
              </w:rPr>
              <w:t>Remont drogi gminnej nr 120110E</w:t>
            </w:r>
            <w:r>
              <w:rPr>
                <w:rFonts w:eastAsia="Calibri"/>
                <w:b/>
                <w:sz w:val="22"/>
                <w:szCs w:val="22"/>
              </w:rPr>
              <w:t xml:space="preserve"> Dybówka-Małachowice-Kolonia</w:t>
            </w:r>
            <w:r w:rsidRPr="0091553B">
              <w:rPr>
                <w:rFonts w:eastAsia="Calibri"/>
                <w:b/>
                <w:sz w:val="22"/>
                <w:szCs w:val="22"/>
              </w:rPr>
              <w:t>”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1553B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oraz wykazem wydatków kwalifikowanych, stanowiących załą</w:t>
            </w: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cznik nr 2 do umowy. Dofinansowanie zostało przyznane w dziale 600 – transport i łączność, rozdziale 600616. Kwota dofinansowania w wysokości 236 717,00 zł, zgodnie z umową stanowiła nie więcej niż 50 % kosztów kwalifikowalnych zadania wynoszącego ogółem 473 435,00 zł. W świetle umowy Gmina Ozorków przekazała na realizację zadania kwotę 236 718,00 zł a z dokumentacji wynika, że środki na ten cel zostały zabezpieczone w uchwale budżetowej jednostki na 2019 r. W poniżej tabeli przedstawiono strukturę źródeł finansowania zadania inwestycyjnego ujętego w umowie o dofinansowanie:</w:t>
            </w:r>
          </w:p>
          <w:p w:rsidR="001C3D43" w:rsidP="00457652">
            <w:p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  <w:tbl>
            <w:tblPr>
              <w:tblW w:w="0" w:type="auto"/>
              <w:tblInd w:w="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1"/>
              <w:gridCol w:w="2835"/>
              <w:gridCol w:w="1985"/>
              <w:gridCol w:w="1984"/>
            </w:tblGrid>
            <w:tr w:rsidTr="00457652">
              <w:tblPrEx>
                <w:tblW w:w="0" w:type="auto"/>
                <w:tblInd w:w="59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1701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Środki z dofinansowania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Środki własne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Razem</w:t>
                  </w:r>
                </w:p>
              </w:tc>
            </w:tr>
            <w:tr w:rsidTr="00457652">
              <w:tblPrEx>
                <w:tblW w:w="0" w:type="auto"/>
                <w:tblInd w:w="599" w:type="dxa"/>
                <w:tblLayout w:type="fixed"/>
                <w:tblLook w:val="04A0"/>
              </w:tblPrEx>
              <w:tc>
                <w:tcPr>
                  <w:tcW w:w="1701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Kwota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236 717,00 zł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236 718,00 zł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473 435,00 zł</w:t>
                  </w:r>
                </w:p>
              </w:tc>
            </w:tr>
            <w:tr w:rsidTr="00457652">
              <w:tblPrEx>
                <w:tblW w:w="0" w:type="auto"/>
                <w:tblInd w:w="599" w:type="dxa"/>
                <w:tblLayout w:type="fixed"/>
                <w:tblLook w:val="04A0"/>
              </w:tblPrEx>
              <w:tc>
                <w:tcPr>
                  <w:tcW w:w="1701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Udział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49,99 %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50,01 %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3D43" w:rsidRPr="00DC2CBA" w:rsidP="00457652">
                  <w:pPr>
                    <w:suppressAutoHyphens w:val="0"/>
                    <w:contextualSpacing/>
                    <w:jc w:val="center"/>
                    <w:rPr>
                      <w:rFonts w:eastAsia="Calibri"/>
                      <w:kern w:val="0"/>
                      <w:sz w:val="22"/>
                      <w:szCs w:val="22"/>
                    </w:rPr>
                  </w:pPr>
                  <w:r w:rsidRPr="00DC2CBA">
                    <w:rPr>
                      <w:rFonts w:eastAsia="Calibri"/>
                      <w:kern w:val="0"/>
                      <w:sz w:val="22"/>
                      <w:szCs w:val="22"/>
                    </w:rPr>
                    <w:t>100 %</w:t>
                  </w:r>
                </w:p>
              </w:tc>
            </w:tr>
          </w:tbl>
          <w:p w:rsidR="001C3D43" w:rsidRPr="0091553B" w:rsidP="00457652">
            <w:p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  <w:p w:rsidR="001C3D43" w:rsidRPr="0091553B" w:rsidP="00457652">
            <w:pPr>
              <w:numPr>
                <w:ilvl w:val="0"/>
                <w:numId w:val="5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zgodnie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z przepisami ustawy Prawo zamówień publicznych (wadium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,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odsetki);</w:t>
            </w:r>
          </w:p>
          <w:p w:rsidR="001C3D43" w:rsidRPr="0091553B" w:rsidP="00457652">
            <w:pPr>
              <w:numPr>
                <w:ilvl w:val="0"/>
                <w:numId w:val="5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zgodnie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z zasadami wydatkowania środków publicznych</w:t>
            </w:r>
            <w:r w:rsidRPr="0091553B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 xml:space="preserve"> (brak uwag);</w:t>
            </w:r>
          </w:p>
          <w:p w:rsidR="001C3D43" w:rsidRPr="0091553B" w:rsidP="00457652">
            <w:pPr>
              <w:numPr>
                <w:ilvl w:val="0"/>
                <w:numId w:val="5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nie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>zgodnie z przepisami ustawy Prawo budowlane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z uchybieniami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>.</w:t>
            </w:r>
          </w:p>
          <w:p w:rsidR="001C3D43" w:rsidP="00457652">
            <w:pPr>
              <w:ind w:left="34"/>
              <w:rPr>
                <w:rFonts w:eastAsia="Calibri"/>
                <w:sz w:val="22"/>
                <w:szCs w:val="22"/>
              </w:rPr>
            </w:pPr>
          </w:p>
          <w:p w:rsidR="001C3D43" w:rsidRPr="0091553B" w:rsidP="00457652">
            <w:pPr>
              <w:numPr>
                <w:ilvl w:val="0"/>
                <w:numId w:val="4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Oględziny wykonanych robót budowlanych i dokumentacji zadania.</w:t>
            </w:r>
          </w:p>
          <w:p w:rsidR="001C3D43" w:rsidP="00457652">
            <w:pPr>
              <w:ind w:left="34" w:hanging="34"/>
              <w:rPr>
                <w:rFonts w:eastAsia="Calibri"/>
                <w:sz w:val="22"/>
                <w:szCs w:val="22"/>
              </w:rPr>
            </w:pPr>
          </w:p>
          <w:p w:rsidR="001C3D43" w:rsidRPr="00B06044" w:rsidP="00457652">
            <w:pPr>
              <w:ind w:left="34" w:hanging="34"/>
              <w:rPr>
                <w:rFonts w:eastAsia="Calibri"/>
                <w:sz w:val="22"/>
                <w:szCs w:val="22"/>
              </w:rPr>
            </w:pPr>
            <w:r w:rsidRPr="00B06044">
              <w:rPr>
                <w:rFonts w:eastAsia="Calibri"/>
                <w:sz w:val="22"/>
                <w:szCs w:val="22"/>
              </w:rPr>
              <w:t xml:space="preserve">Oględziny przeprowadzono przy udziale Pana Pawła Majewskiego - Kierownika Referatu Infrastruktury </w:t>
            </w:r>
            <w:r>
              <w:rPr>
                <w:rFonts w:eastAsia="Calibri"/>
                <w:sz w:val="22"/>
                <w:szCs w:val="22"/>
              </w:rPr>
              <w:t xml:space="preserve">              </w:t>
            </w:r>
            <w:r w:rsidRPr="00B06044">
              <w:rPr>
                <w:rFonts w:eastAsia="Calibri"/>
                <w:sz w:val="22"/>
                <w:szCs w:val="22"/>
              </w:rPr>
              <w:t xml:space="preserve">i Inwestycji w Urzędzie Gminy Ozorków  w dniu 09.12.2020 r. </w:t>
            </w:r>
          </w:p>
          <w:p w:rsidR="001C3D43" w:rsidRPr="00B06044" w:rsidP="00457652">
            <w:pPr>
              <w:ind w:left="34" w:hanging="34"/>
              <w:rPr>
                <w:sz w:val="22"/>
                <w:szCs w:val="22"/>
              </w:rPr>
            </w:pPr>
            <w:r w:rsidRPr="00B06044">
              <w:rPr>
                <w:rFonts w:eastAsia="Calibri"/>
                <w:sz w:val="22"/>
                <w:szCs w:val="22"/>
              </w:rPr>
              <w:t>Zakres wykonanych robót budowlanych, na dzień przeprowadzenia kontroli udokumentowano przez wykonanie dokumentacji fotograficznej z oględzin w miejscu wykonanych robót budowlanych, w ilości 26 zdjęć, które zostały włączone do akt kontroli.</w:t>
            </w:r>
          </w:p>
          <w:p w:rsidR="001C3D43" w:rsidRPr="00B06044" w:rsidP="00457652">
            <w:pPr>
              <w:ind w:left="34"/>
              <w:rPr>
                <w:sz w:val="22"/>
                <w:szCs w:val="22"/>
              </w:rPr>
            </w:pPr>
            <w:r w:rsidRPr="00B06044">
              <w:rPr>
                <w:rFonts w:eastAsia="Calibri"/>
                <w:sz w:val="22"/>
                <w:szCs w:val="22"/>
              </w:rPr>
              <w:t>Jednocześnie stwierdzono, że wykonane roboty budowlane stwarzają dobre wrażenie optyczne,                           z następującymi uwagami:</w:t>
            </w:r>
          </w:p>
          <w:p w:rsidR="001C3D43" w:rsidRPr="00780F6C" w:rsidP="00457652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</w:rPr>
            </w:pPr>
            <w:r w:rsidRPr="00780F6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nieprawidłowa szerokość poboczy ( zawężenia stwarzające niebezpieczeństwo dla pieszych ). Niezgodność z </w:t>
            </w:r>
            <w:r w:rsidRPr="00780F6C">
              <w:rPr>
                <w:sz w:val="22"/>
                <w:szCs w:val="22"/>
                <w:shd w:val="clear" w:color="auto" w:fill="FFFFFF"/>
              </w:rPr>
              <w:t xml:space="preserve"> § 37 ust. 1 i § 38 ust. 4  Rozporządzenia  Ministra Transportu i Gospodarki Morskiej z dnia 2 marca </w:t>
            </w:r>
            <w:r>
              <w:rPr>
                <w:sz w:val="22"/>
                <w:szCs w:val="22"/>
                <w:shd w:val="clear" w:color="auto" w:fill="FFFFFF"/>
              </w:rPr>
              <w:t xml:space="preserve">   </w:t>
            </w:r>
            <w:r w:rsidRPr="00780F6C">
              <w:rPr>
                <w:sz w:val="22"/>
                <w:szCs w:val="22"/>
                <w:shd w:val="clear" w:color="auto" w:fill="FFFFFF"/>
              </w:rPr>
              <w:t>1999 r. w sprawie warunków technicznych, jakim powinny odpowiadać drogi publiczne i ich usytuowanie</w:t>
            </w:r>
          </w:p>
          <w:p w:rsidR="001C3D43" w:rsidP="00457652">
            <w:pPr>
              <w:suppressAutoHyphens w:val="0"/>
              <w:ind w:left="394"/>
              <w:contextualSpacing/>
              <w:rPr>
                <w:sz w:val="22"/>
                <w:szCs w:val="22"/>
                <w:shd w:val="clear" w:color="auto" w:fill="FFFFFF"/>
              </w:rPr>
            </w:pPr>
            <w:r w:rsidRPr="00780F6C">
              <w:rPr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sz w:val="22"/>
                <w:szCs w:val="22"/>
                <w:shd w:val="clear" w:color="auto" w:fill="FFFFFF"/>
              </w:rPr>
              <w:t xml:space="preserve">tj. </w:t>
            </w:r>
            <w:r w:rsidRPr="00780F6C">
              <w:rPr>
                <w:sz w:val="22"/>
                <w:szCs w:val="22"/>
                <w:shd w:val="clear" w:color="auto" w:fill="FFFFFF"/>
              </w:rPr>
              <w:t>Dz.U.</w:t>
            </w:r>
            <w:r>
              <w:rPr>
                <w:sz w:val="22"/>
                <w:szCs w:val="22"/>
                <w:shd w:val="clear" w:color="auto" w:fill="FFFFFF"/>
              </w:rPr>
              <w:t xml:space="preserve"> z </w:t>
            </w:r>
            <w:r w:rsidRPr="00780F6C">
              <w:rPr>
                <w:sz w:val="22"/>
                <w:szCs w:val="22"/>
                <w:shd w:val="clear" w:color="auto" w:fill="FFFFFF"/>
              </w:rPr>
              <w:t>2016</w:t>
            </w:r>
            <w:r>
              <w:rPr>
                <w:sz w:val="22"/>
                <w:szCs w:val="22"/>
                <w:shd w:val="clear" w:color="auto" w:fill="FFFFFF"/>
              </w:rPr>
              <w:t xml:space="preserve"> r. poz. </w:t>
            </w:r>
            <w:r w:rsidRPr="00780F6C">
              <w:rPr>
                <w:sz w:val="22"/>
                <w:szCs w:val="22"/>
                <w:shd w:val="clear" w:color="auto" w:fill="FFFFFF"/>
              </w:rPr>
              <w:t>124)</w:t>
            </w:r>
            <w:r>
              <w:rPr>
                <w:sz w:val="22"/>
                <w:szCs w:val="22"/>
                <w:shd w:val="clear" w:color="auto" w:fill="FFFFFF"/>
              </w:rPr>
              <w:t xml:space="preserve"> oraz miejscami brak rowów odwadniających;</w:t>
            </w:r>
          </w:p>
          <w:p w:rsidR="001C3D43" w:rsidRPr="00780F6C" w:rsidP="00457652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brak progów zwalniających lub czerwonych linii wibracyjnych – niespójność z punktem 11 dotyczącym rozwiązań dodatkowych wniosku o dofinansowanie z dnia 26.04.2019 r.</w:t>
            </w:r>
          </w:p>
          <w:p w:rsidR="001C3D43" w:rsidRPr="00E2057F" w:rsidP="00457652">
            <w:pPr>
              <w:ind w:left="34"/>
              <w:rPr>
                <w:rFonts w:eastAsia="Calibri"/>
                <w:sz w:val="22"/>
                <w:szCs w:val="22"/>
              </w:rPr>
            </w:pPr>
          </w:p>
          <w:p w:rsidR="001C3D43" w:rsidRPr="0091553B" w:rsidP="00457652">
            <w:pPr>
              <w:numPr>
                <w:ilvl w:val="0"/>
                <w:numId w:val="4"/>
              </w:numPr>
              <w:suppressAutoHyphens w:val="0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Weryfikacja rozliczenia zadania.</w:t>
            </w:r>
          </w:p>
          <w:p w:rsidR="001C3D43" w:rsidP="00457652">
            <w:pPr>
              <w:ind w:left="34"/>
              <w:rPr>
                <w:rFonts w:eastAsia="Calibri"/>
                <w:sz w:val="22"/>
                <w:szCs w:val="22"/>
              </w:rPr>
            </w:pPr>
            <w:r w:rsidRPr="0091553B">
              <w:rPr>
                <w:rFonts w:eastAsia="Calibri"/>
                <w:sz w:val="22"/>
                <w:szCs w:val="22"/>
              </w:rPr>
              <w:t xml:space="preserve">Beneficjent wywiązał się terminowo z obowiązku przekazania sprawozdania o </w:t>
            </w:r>
            <w:r>
              <w:rPr>
                <w:rFonts w:eastAsia="Calibri"/>
                <w:sz w:val="22"/>
                <w:szCs w:val="22"/>
              </w:rPr>
              <w:t>r</w:t>
            </w:r>
            <w:r w:rsidRPr="0091553B">
              <w:rPr>
                <w:rFonts w:eastAsia="Calibri"/>
                <w:sz w:val="22"/>
                <w:szCs w:val="22"/>
              </w:rPr>
              <w:t xml:space="preserve">ealizacji zadania. </w:t>
            </w:r>
          </w:p>
          <w:p w:rsidR="001C3D43" w:rsidRPr="0091553B" w:rsidP="00457652">
            <w:pPr>
              <w:ind w:left="34"/>
            </w:pP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Zakres, przyczyny i skutki nieprawidłowości:</w:t>
            </w:r>
          </w:p>
          <w:p w:rsidR="001C3D43" w:rsidRPr="00430933" w:rsidP="00457652">
            <w:pPr>
              <w:numPr>
                <w:ilvl w:val="6"/>
                <w:numId w:val="3"/>
              </w:numPr>
              <w:tabs>
                <w:tab w:val="clear" w:pos="0"/>
              </w:tabs>
              <w:ind w:left="178" w:firstLine="0"/>
            </w:pPr>
            <w:r w:rsidRPr="0091553B">
              <w:rPr>
                <w:rFonts w:eastAsia="Calibri"/>
                <w:sz w:val="22"/>
                <w:szCs w:val="22"/>
              </w:rPr>
              <w:t>Zmnie</w:t>
            </w:r>
            <w:r>
              <w:rPr>
                <w:rFonts w:eastAsia="Calibri"/>
                <w:sz w:val="22"/>
                <w:szCs w:val="22"/>
              </w:rPr>
              <w:t>jszenie szerokości pobocza i spowodowanie jego zwężenia z</w:t>
            </w:r>
            <w:r w:rsidRPr="0091553B">
              <w:rPr>
                <w:rFonts w:eastAsia="Calibri"/>
                <w:sz w:val="22"/>
                <w:szCs w:val="22"/>
              </w:rPr>
              <w:t xml:space="preserve"> bezpośredni</w:t>
            </w:r>
            <w:r>
              <w:rPr>
                <w:rFonts w:eastAsia="Calibri"/>
                <w:sz w:val="22"/>
                <w:szCs w:val="22"/>
              </w:rPr>
              <w:t>m</w:t>
            </w:r>
            <w:r w:rsidRPr="0091553B">
              <w:rPr>
                <w:rFonts w:eastAsia="Calibri"/>
                <w:sz w:val="22"/>
                <w:szCs w:val="22"/>
              </w:rPr>
              <w:t xml:space="preserve"> wpływ</w:t>
            </w:r>
            <w:r>
              <w:rPr>
                <w:rFonts w:eastAsia="Calibri"/>
                <w:sz w:val="22"/>
                <w:szCs w:val="22"/>
              </w:rPr>
              <w:t>em</w:t>
            </w:r>
            <w:r w:rsidRPr="0091553B">
              <w:rPr>
                <w:rFonts w:eastAsia="Calibri"/>
                <w:sz w:val="22"/>
                <w:szCs w:val="22"/>
              </w:rPr>
              <w:t xml:space="preserve"> na bezpieczeństwo ruchu drogowego</w:t>
            </w:r>
            <w:r>
              <w:rPr>
                <w:rFonts w:eastAsia="Calibri"/>
                <w:sz w:val="22"/>
                <w:szCs w:val="22"/>
              </w:rPr>
              <w:t xml:space="preserve"> nastąpiło w świetle istniejącej już drogi przed remontem, jednakże brak dodatkowych rozwiązań ma bezpośredni wpływ na </w:t>
            </w:r>
            <w:r w:rsidRPr="0091553B">
              <w:rPr>
                <w:rFonts w:eastAsia="Calibri"/>
                <w:sz w:val="22"/>
                <w:szCs w:val="22"/>
              </w:rPr>
              <w:t xml:space="preserve">bezpieczeństwo ruchu </w:t>
            </w:r>
            <w:r>
              <w:rPr>
                <w:rFonts w:eastAsia="Calibri"/>
                <w:sz w:val="22"/>
                <w:szCs w:val="22"/>
              </w:rPr>
              <w:t>pieszych</w:t>
            </w:r>
            <w:r w:rsidRPr="0091553B">
              <w:rPr>
                <w:rFonts w:eastAsia="Calibri"/>
                <w:sz w:val="22"/>
                <w:szCs w:val="22"/>
              </w:rPr>
              <w:t>.</w:t>
            </w:r>
          </w:p>
          <w:p w:rsidR="001C3D43" w:rsidRPr="00430933" w:rsidP="00457652">
            <w:pPr>
              <w:numPr>
                <w:ilvl w:val="6"/>
                <w:numId w:val="3"/>
              </w:numPr>
              <w:tabs>
                <w:tab w:val="clear" w:pos="0"/>
              </w:tabs>
              <w:ind w:left="178" w:firstLine="0"/>
            </w:pPr>
            <w:r>
              <w:rPr>
                <w:rFonts w:eastAsia="Calibri"/>
                <w:sz w:val="22"/>
                <w:szCs w:val="22"/>
              </w:rPr>
              <w:t>Pomimo dokonania odbioru inwestycji, protokołem z dnia 13 września 2019 r. , należy uznać, że nowa wartość drogi gminnej nr 120110E została prawidłowo wprowadzona na stan środków trwałych, jednakże wystawienie druku WT – zmiana wartości środka trwałego w dniu 31.12.2019 r. o numerze 12/2019 „</w:t>
            </w:r>
            <w:r w:rsidRPr="00430933">
              <w:rPr>
                <w:rFonts w:eastAsia="Calibri"/>
                <w:sz w:val="22"/>
                <w:szCs w:val="22"/>
              </w:rPr>
              <w:t>Remont drogi gminnej nr 120110E Dybówka-Małachowice-Kolonia”</w:t>
            </w:r>
            <w:r>
              <w:rPr>
                <w:rFonts w:eastAsia="Calibri"/>
                <w:sz w:val="22"/>
                <w:szCs w:val="22"/>
              </w:rPr>
              <w:t>, dotyczący zakupu map lokalizacyjnych i opracowania uproszczonej dokumentacji projektowej zadania na podstawie faktur z 2016 r. stanowiło naruszenie:</w:t>
            </w:r>
          </w:p>
          <w:p w:rsidR="001C3D43" w:rsidP="00457652">
            <w:pPr>
              <w:numPr>
                <w:ilvl w:val="7"/>
                <w:numId w:val="3"/>
              </w:numPr>
              <w:ind w:left="178" w:firstLine="0"/>
              <w:rPr>
                <w:sz w:val="22"/>
                <w:szCs w:val="22"/>
              </w:rPr>
            </w:pPr>
            <w:r w:rsidRPr="00430933">
              <w:rPr>
                <w:sz w:val="22"/>
                <w:szCs w:val="22"/>
              </w:rPr>
              <w:t>art. 20 ust. 1 ustawy o rachunkowości z dnia 29 września 1994 r. (tj. Dz. U. z 2019 r. poz. 351), zgodnie z którym to przepisem – do ksiąg rachunkowych okresu sprawozdawczego należy wprowadzić, w postaci zapisu, każde zdarzenie, któr</w:t>
            </w:r>
            <w:r>
              <w:rPr>
                <w:sz w:val="22"/>
                <w:szCs w:val="22"/>
              </w:rPr>
              <w:t>e</w:t>
            </w:r>
            <w:r w:rsidRPr="00430933">
              <w:rPr>
                <w:sz w:val="22"/>
                <w:szCs w:val="22"/>
              </w:rPr>
              <w:t xml:space="preserve"> nastąpiło w tym okresie sprawozdawczym</w:t>
            </w:r>
          </w:p>
          <w:p w:rsidR="001C3D43" w:rsidRPr="00430933" w:rsidP="00457652">
            <w:pPr>
              <w:numPr>
                <w:ilvl w:val="7"/>
                <w:numId w:val="3"/>
              </w:numPr>
              <w:ind w:left="17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art. 16d ust 2 ustawy z dnia 15 lutego 1992 r. o podatku dochodowym od osób prawnych (Dz. U.             z 2020 r. poz. 1406), stosownie do którego – składniki majątku powinny być wprowadzone do ewidencji środków trwałych oraz wartości niematerialnych i prawnych najpóźniej w miesiącu przekazania ich do używania.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Ocena obszaru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>Kontrolujący ocenia działalność Gmin</w:t>
            </w:r>
            <w:r>
              <w:rPr>
                <w:rFonts w:eastAsia="Calibri"/>
                <w:sz w:val="22"/>
                <w:szCs w:val="22"/>
              </w:rPr>
              <w:t xml:space="preserve">y Ozorków </w:t>
            </w:r>
            <w:r w:rsidRPr="0091553B">
              <w:rPr>
                <w:rFonts w:eastAsia="Calibri"/>
                <w:sz w:val="22"/>
                <w:szCs w:val="22"/>
              </w:rPr>
              <w:t>w skontrolowanym za</w:t>
            </w:r>
            <w:r>
              <w:rPr>
                <w:rFonts w:eastAsia="Calibri"/>
                <w:sz w:val="22"/>
                <w:szCs w:val="22"/>
              </w:rPr>
              <w:t>kresie pozytywnie z uchybieniami</w:t>
            </w:r>
            <w:r w:rsidRPr="0091553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Wpis do książki kontroli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>Kontrola została wpisana do rejestru k</w:t>
            </w:r>
            <w:r>
              <w:rPr>
                <w:rFonts w:eastAsia="Calibri"/>
                <w:sz w:val="22"/>
                <w:szCs w:val="22"/>
              </w:rPr>
              <w:t xml:space="preserve">ontroli zewnętrznych w Gminie Ozorków w dniu 9 grudnia </w:t>
            </w:r>
            <w:r w:rsidRPr="0091553B">
              <w:rPr>
                <w:rFonts w:eastAsia="Calibri"/>
                <w:sz w:val="22"/>
                <w:szCs w:val="22"/>
              </w:rPr>
              <w:t>2020 r.</w:t>
            </w:r>
            <w:r>
              <w:rPr>
                <w:rFonts w:eastAsia="Calibri"/>
                <w:sz w:val="22"/>
                <w:szCs w:val="22"/>
              </w:rPr>
              <w:t xml:space="preserve"> – poz. 5 w Księdze Kontroli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Podsumowanie ustaleń w kontrolowanym podmiocie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>Dzia</w:t>
            </w:r>
            <w:r>
              <w:rPr>
                <w:rFonts w:eastAsia="Calibri"/>
                <w:sz w:val="22"/>
                <w:szCs w:val="22"/>
              </w:rPr>
              <w:t>łalność Gminy Ozorków</w:t>
            </w:r>
            <w:r w:rsidRPr="0091553B">
              <w:rPr>
                <w:rFonts w:eastAsia="Calibri"/>
                <w:sz w:val="22"/>
                <w:szCs w:val="22"/>
              </w:rPr>
              <w:t xml:space="preserve"> oc</w:t>
            </w:r>
            <w:r>
              <w:rPr>
                <w:rFonts w:eastAsia="Calibri"/>
                <w:sz w:val="22"/>
                <w:szCs w:val="22"/>
              </w:rPr>
              <w:t>eniono pozytywnie z uchybieniami</w:t>
            </w:r>
            <w:r w:rsidRPr="0091553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Zalecenia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sz w:val="22"/>
                <w:szCs w:val="22"/>
              </w:rPr>
              <w:t>W związku z uw</w:t>
            </w:r>
            <w:r>
              <w:rPr>
                <w:rFonts w:eastAsia="Calibri"/>
                <w:sz w:val="22"/>
                <w:szCs w:val="22"/>
              </w:rPr>
              <w:t xml:space="preserve">agami, opisanymi w punkcie 2ab (oględziny wykonanych robót budowlanych i dokumentacji zadania) </w:t>
            </w:r>
            <w:r w:rsidRPr="0091553B">
              <w:rPr>
                <w:rFonts w:eastAsia="Calibri"/>
                <w:sz w:val="22"/>
                <w:szCs w:val="22"/>
              </w:rPr>
              <w:t>wystąpien</w:t>
            </w:r>
            <w:r>
              <w:rPr>
                <w:rFonts w:eastAsia="Calibri"/>
                <w:sz w:val="22"/>
                <w:szCs w:val="22"/>
              </w:rPr>
              <w:t xml:space="preserve">ia pokontrolnego, zalecam uzupełnienie rozwiązań dodatkowych </w:t>
            </w:r>
            <w:r w:rsidRPr="0091553B">
              <w:rPr>
                <w:rFonts w:eastAsia="Calibri"/>
                <w:sz w:val="22"/>
                <w:szCs w:val="22"/>
              </w:rPr>
              <w:t xml:space="preserve">oraz potwierdzenie tego </w:t>
            </w:r>
            <w:r>
              <w:rPr>
                <w:rFonts w:eastAsia="Calibri"/>
                <w:sz w:val="22"/>
                <w:szCs w:val="22"/>
              </w:rPr>
              <w:t xml:space="preserve">dokumentacją fotograficzną (stosownymi </w:t>
            </w:r>
            <w:r w:rsidRPr="0091553B">
              <w:rPr>
                <w:rFonts w:eastAsia="Calibri"/>
                <w:sz w:val="22"/>
                <w:szCs w:val="22"/>
              </w:rPr>
              <w:t>zdjęciami</w:t>
            </w:r>
            <w:r>
              <w:rPr>
                <w:rFonts w:eastAsia="Calibri"/>
                <w:sz w:val="22"/>
                <w:szCs w:val="22"/>
              </w:rPr>
              <w:t xml:space="preserve"> potwierdzającymi </w:t>
            </w:r>
            <w:r>
              <w:rPr>
                <w:rFonts w:eastAsia="Calibri"/>
                <w:sz w:val="22"/>
                <w:szCs w:val="22"/>
              </w:rPr>
              <w:t>wykonanie)</w:t>
            </w:r>
            <w:r w:rsidRPr="0091553B">
              <w:rPr>
                <w:rFonts w:eastAsia="Calibri"/>
                <w:sz w:val="22"/>
                <w:szCs w:val="22"/>
              </w:rPr>
              <w:t>, przesłanymi pocztą elektroniczną n</w:t>
            </w:r>
            <w:r>
              <w:rPr>
                <w:rFonts w:eastAsia="Calibri"/>
                <w:sz w:val="22"/>
                <w:szCs w:val="22"/>
              </w:rPr>
              <w:t>a adres email: malgorzata.rejniak</w:t>
            </w:r>
            <w:r>
              <w:fldChar w:fldCharType="begin"/>
            </w:r>
            <w:r>
              <w:instrText xml:space="preserve"> HYPERLINK "mailto:malgorzata.rejniak@lodz.uw.gov.pl" </w:instrText>
            </w:r>
            <w:r>
              <w:fldChar w:fldCharType="separate"/>
            </w:r>
            <w:r w:rsidRPr="00F37F48">
              <w:rPr>
                <w:rFonts w:eastAsia="Calibri"/>
                <w:sz w:val="22"/>
                <w:szCs w:val="22"/>
                <w:highlight w:val="white"/>
                <w:u w:val="single"/>
              </w:rPr>
              <w:t>@lodz.uw.gov.pl</w:t>
            </w:r>
            <w:r>
              <w:fldChar w:fldCharType="end"/>
            </w:r>
            <w:r w:rsidRPr="0091553B">
              <w:rPr>
                <w:rFonts w:eastAsia="Calibri"/>
                <w:sz w:val="22"/>
                <w:szCs w:val="22"/>
              </w:rPr>
              <w:t xml:space="preserve"> lub wydrukowanym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91553B">
              <w:rPr>
                <w:rFonts w:eastAsia="Calibri"/>
                <w:sz w:val="22"/>
                <w:szCs w:val="22"/>
              </w:rPr>
              <w:t xml:space="preserve"> i dostarczonymi do Wydziału Rol</w:t>
            </w:r>
            <w:r>
              <w:rPr>
                <w:rFonts w:eastAsia="Calibri"/>
                <w:sz w:val="22"/>
                <w:szCs w:val="22"/>
              </w:rPr>
              <w:t>nictwa i Transportu ŁUW.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Pouczenia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pPr>
              <w:numPr>
                <w:ilvl w:val="0"/>
                <w:numId w:val="7"/>
              </w:numPr>
              <w:suppressAutoHyphens w:val="0"/>
              <w:ind w:left="314" w:hanging="283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>Zgodnie z art. 48 ustawy z dnia 15 lipca 2011 r. o kontroli w administracji rządowej (tj. z 2020 r. poz. 224) od wystąpienia pokontrolnego nie przysługują środki odwoławcze.</w:t>
            </w:r>
          </w:p>
          <w:p w:rsidR="001C3D43" w:rsidRPr="0091553B" w:rsidP="00457652">
            <w:pPr>
              <w:numPr>
                <w:ilvl w:val="0"/>
                <w:numId w:val="7"/>
              </w:numPr>
              <w:suppressAutoHyphens w:val="0"/>
              <w:ind w:left="314" w:hanging="283"/>
              <w:contextualSpacing/>
              <w:rPr>
                <w:rFonts w:ascii="Calibri" w:eastAsia="Calibri" w:hAnsi="Calibri"/>
                <w:kern w:val="0"/>
                <w:sz w:val="22"/>
                <w:szCs w:val="22"/>
              </w:rPr>
            </w:pP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 sposobie wykonania zalecenia, proszę powiadomić mnie niezwłocznie za pośrednictwem Wydziału Rolnictwa i Transportu ŁUW w Łodzi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    </w:t>
            </w:r>
            <w:r w:rsidRPr="0091553B">
              <w:rPr>
                <w:rFonts w:eastAsia="Calibri"/>
                <w:kern w:val="0"/>
                <w:sz w:val="22"/>
                <w:szCs w:val="22"/>
                <w:lang w:eastAsia="en-US"/>
              </w:rPr>
              <w:t>w terminie 14 dni od daty otrzymania niniejszego wystąpienia.</w:t>
            </w:r>
          </w:p>
        </w:tc>
      </w:tr>
      <w:tr w:rsidTr="00457652">
        <w:tblPrEx>
          <w:tblW w:w="0" w:type="auto"/>
          <w:tblInd w:w="-456" w:type="dxa"/>
          <w:tblLayout w:type="fixed"/>
          <w:tblLook w:val="04A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D43" w:rsidRPr="0091553B" w:rsidP="00457652">
            <w:pPr>
              <w:snapToGrid w:val="0"/>
              <w:rPr>
                <w:rFonts w:eastAsia="Calibri"/>
                <w:b/>
                <w:sz w:val="22"/>
                <w:szCs w:val="22"/>
              </w:rPr>
            </w:pPr>
          </w:p>
          <w:p w:rsidR="001C3D43" w:rsidRPr="0091553B" w:rsidP="00457652">
            <w:r w:rsidRPr="0091553B">
              <w:rPr>
                <w:rFonts w:eastAsia="Calibri"/>
                <w:b/>
                <w:sz w:val="22"/>
                <w:szCs w:val="22"/>
              </w:rPr>
              <w:t>Podpis Kierownika Jednostki Kontrolującej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D43" w:rsidRPr="0091553B" w:rsidP="00457652">
            <w:pPr>
              <w:tabs>
                <w:tab w:val="center" w:pos="6345"/>
              </w:tabs>
              <w:snapToGrid w:val="0"/>
              <w:ind w:left="-95"/>
              <w:jc w:val="center"/>
            </w:pPr>
            <w:r w:rsidRPr="0091553B">
              <w:rPr>
                <w:rFonts w:eastAsia="Calibri"/>
                <w:b/>
                <w:bCs/>
                <w:color w:val="000000"/>
                <w:sz w:val="24"/>
                <w:szCs w:val="24"/>
              </w:rPr>
              <w:t>Z up. WOJEWODY ŁÓDZKIEGO</w:t>
            </w:r>
            <w:r w:rsidRPr="0091553B">
              <w:rPr>
                <w:rFonts w:eastAsia="Calibri"/>
                <w:b/>
                <w:bCs/>
                <w:color w:val="000000"/>
                <w:sz w:val="24"/>
                <w:szCs w:val="24"/>
              </w:rPr>
              <w:br/>
            </w:r>
            <w:r w:rsidRPr="0091553B">
              <w:rPr>
                <w:rFonts w:eastAsia="Calibri"/>
                <w:b/>
                <w:bCs/>
                <w:color w:val="000000"/>
                <w:sz w:val="24"/>
                <w:szCs w:val="24"/>
              </w:rPr>
              <w:br/>
            </w:r>
            <w:r w:rsidRPr="0091553B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Bogumiła Kapusta </w:t>
            </w:r>
            <w:r w:rsidRPr="0091553B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91553B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Dyrektor Wydziału Rolnictwa i Transportu</w:t>
            </w:r>
          </w:p>
        </w:tc>
      </w:tr>
    </w:tbl>
    <w:p w:rsidR="001C3D43" w:rsidRPr="0091553B" w:rsidP="001C3D43"/>
    <w:p w:rsidR="001C3D43" w:rsidP="001C3D43">
      <w:pPr>
        <w:snapToGrid w:val="0"/>
        <w:rPr>
          <w:sz w:val="24"/>
          <w:szCs w:val="24"/>
        </w:rPr>
      </w:pPr>
    </w:p>
    <w:p w:rsidR="001C3D43" w:rsidRPr="00D57CBB" w:rsidP="001C3D43">
      <w:pPr>
        <w:tabs>
          <w:tab w:val="center" w:pos="6345"/>
        </w:tabs>
        <w:snapToGrid w:val="0"/>
        <w:ind w:left="4965"/>
        <w:jc w:val="center"/>
        <w:rPr>
          <w:sz w:val="12"/>
        </w:rPr>
      </w:pPr>
    </w:p>
    <w:p w:rsidR="00466CF4" w:rsidP="001C3D43">
      <w:pPr>
        <w:tabs>
          <w:tab w:val="center" w:pos="1985"/>
        </w:tabs>
        <w:rPr>
          <w:sz w:val="12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CF4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CF4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466CF4">
    <w:pPr>
      <w:pStyle w:val="Stopka1"/>
      <w:jc w:val="center"/>
    </w:pPr>
    <w:r>
      <w:rPr>
        <w:sz w:val="14"/>
      </w:rPr>
      <w:t xml:space="preserve">90-926 Łódź, ul. Piotrkowska 104, tel.: (+48) 42 664 10 00, fax: </w:t>
    </w:r>
    <w:r>
      <w:rPr>
        <w:sz w:val="14"/>
      </w:rPr>
      <w:t xml:space="preserve">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466CF4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466CF4">
    <w:pPr>
      <w:pStyle w:val="Stopka1"/>
      <w:jc w:val="center"/>
    </w:pPr>
    <w:r>
      <w:rPr>
        <w:sz w:val="14"/>
      </w:rPr>
      <w:t>Administratorem danych osobowych jest Wojewoda Łódzki. Dane przetwarzane są w celu realizacji czynności urz</w:t>
    </w:r>
    <w:r>
      <w:rPr>
        <w:sz w:val="14"/>
      </w:rPr>
      <w:t xml:space="preserve">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CF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CF4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  <w:rPr>
        <w:rFonts w:ascii="Times New Roman" w:eastAsia="Calibri" w:hAnsi="Times New Roman" w:cs="Times New Roman" w:hint="default"/>
        <w:color w:val="000000"/>
        <w:kern w:val="0"/>
        <w:sz w:val="22"/>
        <w:szCs w:val="22"/>
        <w:lang w:val="pl-PL" w:eastAsia="en-US" w:bidi="ar-SA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/>
        <w:i w:val="0"/>
        <w:kern w:val="2"/>
        <w:sz w:val="22"/>
        <w:szCs w:val="22"/>
        <w:lang w:val="pl-PL" w:bidi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Calibri"/>
        <w:b/>
        <w:kern w:val="2"/>
        <w:sz w:val="22"/>
        <w:szCs w:val="22"/>
        <w:lang w:val="pl-PL" w:eastAsia="ar-SA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  <w:rPr>
        <w:rFonts w:ascii="Times New Roman" w:eastAsia="Calibri" w:hAnsi="Times New Roman" w:cs="Times New Roman" w:hint="default"/>
        <w:kern w:val="0"/>
        <w:sz w:val="22"/>
        <w:szCs w:val="22"/>
        <w:lang w:val="pl-PL" w:eastAsia="en-US" w:bidi="ar-SA"/>
      </w:rPr>
    </w:lvl>
  </w:abstractNum>
  <w:abstractNum w:abstractNumId="6">
    <w:nsid w:val="0F506540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1640</Words>
  <Characters>9845</Characters>
  <Application>Microsoft Office Word</Application>
  <DocSecurity>0</DocSecurity>
  <Lines>82</Lines>
  <Paragraphs>22</Paragraphs>
  <ScaleCrop>false</ScaleCrop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Małgorzata Rejniak</cp:lastModifiedBy>
  <cp:revision>7</cp:revision>
  <dcterms:created xsi:type="dcterms:W3CDTF">2014-02-17T15:58:00Z</dcterms:created>
  <dcterms:modified xsi:type="dcterms:W3CDTF">2021-10-05T09:22:00Z</dcterms:modified>
</cp:coreProperties>
</file>