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:rsidTr="00F97707">
        <w:tc>
          <w:tcPr>
            <w:tcW w:w="7073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:rsidTr="00F97707">
        <w:trPr>
          <w:trHeight w:val="1478"/>
        </w:trPr>
        <w:tc>
          <w:tcPr>
            <w:tcW w:w="965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  <w:bookmarkStart w:id="0" w:name="_GoBack"/>
      <w:bookmarkEnd w:id="0"/>
    </w:p>
    <w:p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1. Wojewoda (do uzupełnienia dane adresowe urzędu) - w zakresie realizacji Etapu I Konkursu.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poprzez……………………(podać obowiązujące w danym Urzędzie dane).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</w:t>
            </w:r>
            <w:r w:rsidRPr="00FC5059">
              <w:rPr>
                <w:rFonts w:ascii="Lato" w:hAnsi="Lato"/>
                <w:sz w:val="20"/>
                <w:szCs w:val="21"/>
              </w:rPr>
              <w:lastRenderedPageBreak/>
              <w:t>Formularzem Zgłoszenia Uczestnika i wyłonienia Laureata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3A" w:rsidRDefault="00E05D3A" w:rsidP="003605E2">
      <w:pPr>
        <w:spacing w:after="0" w:line="240" w:lineRule="auto"/>
      </w:pPr>
      <w:r>
        <w:separator/>
      </w:r>
    </w:p>
  </w:endnote>
  <w:end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:rsidR="00293C5F" w:rsidRDefault="00E05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3A" w:rsidRDefault="00E05D3A" w:rsidP="003605E2">
      <w:pPr>
        <w:spacing w:after="0" w:line="240" w:lineRule="auto"/>
      </w:pPr>
      <w:r>
        <w:separator/>
      </w:r>
    </w:p>
  </w:footnote>
  <w:foot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2"/>
    <w:rsid w:val="000869D8"/>
    <w:rsid w:val="001C14AB"/>
    <w:rsid w:val="003605E2"/>
    <w:rsid w:val="00AD591F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3</cp:revision>
  <dcterms:created xsi:type="dcterms:W3CDTF">2026-02-26T09:36:00Z</dcterms:created>
  <dcterms:modified xsi:type="dcterms:W3CDTF">2026-02-26T09:52:00Z</dcterms:modified>
</cp:coreProperties>
</file>