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017CEA60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077B8D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F86BF2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3038119C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C226F3C" w:rsidR="00503FF2" w:rsidRPr="004D1860" w:rsidRDefault="00CF4650" w:rsidP="00BA1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01326">
        <w:rPr>
          <w:rFonts w:ascii="Arial" w:hAnsi="Arial" w:cs="Arial"/>
          <w:sz w:val="20"/>
          <w:szCs w:val="20"/>
          <w:lang w:eastAsia="pl-PL"/>
        </w:rPr>
        <w:t>w tym</w:t>
      </w:r>
      <w:r w:rsidR="00B324DA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006C1E18">
        <w:rPr>
          <w:rFonts w:ascii="Arial" w:hAnsi="Arial" w:cs="Arial"/>
          <w:sz w:val="20"/>
          <w:szCs w:val="20"/>
          <w:lang w:eastAsia="pl-PL"/>
        </w:rPr>
        <w:t>:</w:t>
      </w:r>
      <w:r w:rsidR="001764B5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503FF2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Pr="003A404F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172E0CA7" w:rsidR="00CD3B95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lastRenderedPageBreak/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01326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72086900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9E4D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zatwierdzone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sprawozdani</w:t>
      </w:r>
      <w:r w:rsidR="009E4DB3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9E4DB3">
        <w:rPr>
          <w:rFonts w:ascii="Arial" w:hAnsi="Arial" w:cs="Arial"/>
          <w:sz w:val="20"/>
          <w:szCs w:val="20"/>
          <w:lang w:eastAsia="pl-PL"/>
        </w:rPr>
        <w:t xml:space="preserve"> za ostatni rok </w:t>
      </w:r>
      <w:r w:rsidR="00CB46CC">
        <w:rPr>
          <w:rFonts w:ascii="Arial" w:hAnsi="Arial" w:cs="Arial"/>
          <w:sz w:val="20"/>
          <w:szCs w:val="20"/>
          <w:lang w:eastAsia="pl-PL"/>
        </w:rPr>
        <w:t>obrotowy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912D32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912D32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9E4DB3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C311319" w14:textId="67B60756" w:rsidR="0023737E" w:rsidRPr="001F3683" w:rsidRDefault="0023737E" w:rsidP="001F3683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1F3683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1F3683">
        <w:rPr>
          <w:rFonts w:ascii="Arial" w:hAnsi="Arial" w:cs="Arial"/>
          <w:sz w:val="20"/>
          <w:szCs w:val="20"/>
          <w:lang w:eastAsia="pl-PL"/>
        </w:rPr>
        <w:t>P</w:t>
      </w:r>
      <w:r w:rsidR="00200DF7" w:rsidRPr="001F3683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1F368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2350E5" w:rsidRPr="001F3683">
        <w:rPr>
          <w:rFonts w:ascii="Arial" w:hAnsi="Arial" w:cs="Arial"/>
          <w:sz w:val="20"/>
          <w:szCs w:val="20"/>
          <w:lang w:eastAsia="pl-PL"/>
        </w:rPr>
        <w:t>;</w:t>
      </w:r>
    </w:p>
    <w:p w14:paraId="2BD6B564" w14:textId="031E3D9D" w:rsidR="00B06BBD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="00A24874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</w:p>
    <w:p w14:paraId="576B6B5C" w14:textId="480A04E2" w:rsidR="00B868BA" w:rsidRPr="001A2C04" w:rsidRDefault="00B84A97" w:rsidP="001A2C0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1E88FFCA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lastRenderedPageBreak/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1F3683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3274D3CF" w14:textId="77777777" w:rsidR="00F86BF2" w:rsidRPr="009A5C20" w:rsidRDefault="00F86BF2" w:rsidP="00F86BF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A5C20">
        <w:rPr>
          <w:rFonts w:ascii="Arial" w:hAnsi="Arial" w:cs="Arial"/>
          <w:sz w:val="20"/>
          <w:szCs w:val="20"/>
        </w:rPr>
        <w:t xml:space="preserve">W trakcie realizacji Projektu oraz w chwili jego zakończenia Beneficjentowi przysługuje całość praw majątkowych do wyników badań przemysłowych lub prac rozwojowych, które są rezultatem </w:t>
      </w:r>
      <w:r>
        <w:rPr>
          <w:rFonts w:ascii="Arial" w:hAnsi="Arial" w:cs="Arial"/>
          <w:sz w:val="20"/>
          <w:szCs w:val="20"/>
        </w:rPr>
        <w:t>P</w:t>
      </w:r>
      <w:r w:rsidRPr="009A5C20">
        <w:rPr>
          <w:rFonts w:ascii="Arial" w:hAnsi="Arial" w:cs="Arial"/>
          <w:sz w:val="20"/>
          <w:szCs w:val="20"/>
        </w:rPr>
        <w:t>rojektu. Umowy zawierane z podwykonawcami nie naruszają tej reguły.</w:t>
      </w:r>
    </w:p>
    <w:p w14:paraId="7CF9386C" w14:textId="77777777" w:rsidR="00F86BF2" w:rsidRPr="00B30202" w:rsidRDefault="00F86BF2" w:rsidP="001F3683">
      <w:pPr>
        <w:pStyle w:val="Akapitzlist"/>
        <w:spacing w:before="120" w:after="120"/>
        <w:ind w:left="357"/>
        <w:contextualSpacing w:val="0"/>
        <w:jc w:val="both"/>
        <w:rPr>
          <w:rFonts w:eastAsiaTheme="minorEastAsia"/>
          <w:b/>
          <w:bCs/>
        </w:rPr>
      </w:pP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7DEE38A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5168F49F" w14:textId="7A1EAAAB" w:rsidR="00CB46CC" w:rsidRPr="00381539" w:rsidRDefault="00CB46CC" w:rsidP="00D15380">
      <w:pPr>
        <w:pStyle w:val="Akapitzlist"/>
        <w:spacing w:before="120" w:after="120"/>
        <w:ind w:left="357" w:hanging="35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1a. </w:t>
      </w:r>
      <w:r w:rsidRPr="00683816">
        <w:rPr>
          <w:rFonts w:ascii="Arial" w:eastAsiaTheme="minorEastAsia" w:hAnsi="Arial" w:cs="Arial"/>
          <w:sz w:val="20"/>
          <w:szCs w:val="20"/>
        </w:rPr>
        <w:t>Beneficjent zobowiązuje się do wdrożenia wyników prac B+R na terenie Rzeczpospolitej Polskiej  (jeśli dotyczy)</w:t>
      </w:r>
      <w:r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Pr="00683816">
        <w:rPr>
          <w:rFonts w:ascii="Arial" w:eastAsiaTheme="minorEastAsia" w:hAnsi="Arial" w:cs="Arial"/>
          <w:sz w:val="20"/>
          <w:szCs w:val="20"/>
        </w:rPr>
        <w:t>.</w:t>
      </w:r>
    </w:p>
    <w:p w14:paraId="465AF4EC" w14:textId="3B688CF2" w:rsidR="002116C6" w:rsidRPr="00B30202" w:rsidRDefault="002116C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>,</w:t>
      </w:r>
      <w:r w:rsidR="00C01326">
        <w:rPr>
          <w:rFonts w:ascii="Arial" w:eastAsiaTheme="minorEastAsia" w:hAnsi="Arial" w:cs="Arial"/>
          <w:sz w:val="20"/>
          <w:szCs w:val="20"/>
        </w:rPr>
        <w:t xml:space="preserve"> nad którymi musi być sprawowana kontrola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EB3872" w:rsidRPr="00B30202">
        <w:rPr>
          <w:rFonts w:ascii="Arial" w:eastAsiaTheme="minorEastAsia" w:hAnsi="Arial" w:cs="Arial"/>
          <w:sz w:val="20"/>
          <w:szCs w:val="20"/>
        </w:rPr>
        <w:t>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5D59377A" w:rsidR="00955DA0" w:rsidRPr="00B30202" w:rsidRDefault="00BC3F52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086F3B13" w:rsidR="00BD6F21" w:rsidRPr="006912CE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9E4DB3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</w:t>
      </w:r>
      <w:r w:rsidR="00CB46CC">
        <w:rPr>
          <w:rFonts w:ascii="Arial" w:eastAsiaTheme="minorEastAsia" w:hAnsi="Arial" w:cs="Arial"/>
          <w:sz w:val="20"/>
          <w:szCs w:val="20"/>
        </w:rPr>
        <w:t xml:space="preserve"> </w:t>
      </w:r>
      <w:r w:rsidR="00CB46CC" w:rsidRPr="00683816">
        <w:rPr>
          <w:rFonts w:ascii="Arial" w:eastAsiaTheme="minorEastAsia" w:hAnsi="Arial" w:cs="Arial"/>
          <w:sz w:val="20"/>
          <w:szCs w:val="20"/>
        </w:rPr>
        <w:t>– zadeklarowanych we wniosku o dofinansowanie</w:t>
      </w:r>
      <w:r w:rsidRPr="006912CE">
        <w:rPr>
          <w:rFonts w:ascii="Arial" w:eastAsiaTheme="minorEastAsia" w:hAnsi="Arial" w:cs="Arial"/>
          <w:sz w:val="20"/>
          <w:szCs w:val="20"/>
        </w:rPr>
        <w:t>:</w:t>
      </w:r>
    </w:p>
    <w:p w14:paraId="61C4D117" w14:textId="77777777" w:rsid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E58AB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UE, tj. wprowadzi innowację produktową (na bazie uzyskanych wyników rozpocznie produkcję nowych/ulepszonych wyrobów lub zacznie świadczyć nowe/ulepszone usługi oraz wprowadzi te wyroby/usługi głównie na terytorium UE) lub wprowadzi innowację w swoim procesie biznesowym (na bazie uzyskanych wyników wprowadzi nowy/ulepszony proces produkcji wyrobów lub świadczenia usług, które są/będą wprowadzone głównie na terytorium UE)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lub </w:t>
      </w:r>
    </w:p>
    <w:p w14:paraId="1C27C1F9" w14:textId="296D411F" w:rsidR="00CE2BF2" w:rsidRP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udzieli licencji (na zasadach rynkowych) na korzystanie z przysługujących praw do wyników prac B+R w działalności gospodarczej prowadzonej przez innego przedsiębiorcę (z zastrzeżeniem ust. 4).</w:t>
      </w:r>
    </w:p>
    <w:p w14:paraId="6D1A52D6" w14:textId="472B132A" w:rsidR="00A47066" w:rsidRPr="00381539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licencji:</w:t>
      </w:r>
    </w:p>
    <w:p w14:paraId="69992A44" w14:textId="3F629268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03B48">
        <w:rPr>
          <w:rFonts w:ascii="Arial" w:eastAsiaTheme="minorEastAsia" w:hAnsi="Arial" w:cs="Arial"/>
          <w:sz w:val="20"/>
          <w:szCs w:val="20"/>
        </w:rPr>
        <w:lastRenderedPageBreak/>
        <w:t>licencjobiorca musi być podmiotem założonym (zarejestrowanym) w państwie członkowskim UE oraz musi być kontrolowany</w:t>
      </w:r>
      <w:r w:rsidR="00C01326">
        <w:rPr>
          <w:rFonts w:ascii="Arial" w:eastAsiaTheme="minorEastAsia" w:hAnsi="Arial" w:cs="Arial"/>
          <w:sz w:val="20"/>
          <w:szCs w:val="20"/>
        </w:rPr>
        <w:t xml:space="preserve"> </w:t>
      </w:r>
      <w:r w:rsidR="00C01326" w:rsidRPr="0021643E">
        <w:rPr>
          <w:rFonts w:ascii="Arial" w:eastAsiaTheme="minorEastAsia" w:hAnsi="Arial" w:cs="Arial"/>
          <w:sz w:val="20"/>
          <w:szCs w:val="20"/>
        </w:rPr>
        <w:t>(sprawowana kontrola)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Unii Europejskiej.</w:t>
      </w:r>
      <w:r w:rsidR="0003641D">
        <w:rPr>
          <w:rFonts w:ascii="Arial" w:eastAsiaTheme="minorEastAsia" w:hAnsi="Arial" w:cs="Arial"/>
          <w:sz w:val="20"/>
          <w:szCs w:val="20"/>
        </w:rPr>
        <w:t xml:space="preserve"> </w:t>
      </w:r>
      <w:r w:rsidRPr="00103B48">
        <w:rPr>
          <w:rFonts w:ascii="Arial" w:eastAsiaTheme="minorEastAsia" w:hAnsi="Arial" w:cs="Arial"/>
          <w:sz w:val="20"/>
          <w:szCs w:val="20"/>
        </w:rPr>
        <w:t>Wraz z zawarciem umowy licencji Beneficjent zobowiązuje licencjobiorcę praw do wyników prac B+R do złożenia oświadczenia</w:t>
      </w:r>
      <w:r w:rsidR="004C40C9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dotyczącego sprawowania kontroli nad licencjobiorcą o treści </w:t>
      </w:r>
      <w:r>
        <w:rPr>
          <w:rFonts w:ascii="Arial" w:eastAsiaTheme="minorEastAsia" w:hAnsi="Arial" w:cs="Arial"/>
          <w:sz w:val="20"/>
          <w:szCs w:val="20"/>
        </w:rPr>
        <w:t>zgodnej z załącznikiem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nr </w:t>
      </w:r>
      <w:r w:rsidR="0003641D">
        <w:rPr>
          <w:rFonts w:ascii="Arial" w:eastAsiaTheme="minorEastAsia" w:hAnsi="Arial" w:cs="Arial"/>
          <w:sz w:val="20"/>
          <w:szCs w:val="20"/>
        </w:rPr>
        <w:t>7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 Umowy;</w:t>
      </w:r>
    </w:p>
    <w:p w14:paraId="617E6493" w14:textId="34F3EBE4" w:rsidR="00CE2BF2" w:rsidRDefault="0003641D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zapewni, że licencjobiorca wdroży wyniki</w:t>
      </w:r>
      <w:r w:rsidR="00C01326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we własnej działalności gospodarczej, tj. nie później niż 5 lat od zakończenia Projektu (niezależnie od daty zawarcia umowy licencji) rozpocznie produkcję nowych/ulepszonych wyrobów/ świadczenie nowych/ulepszonych usług/zastosuje nową technologię w swoim procesie biznesowym, które będą wprowadzone głównie na terytorium UE;</w:t>
      </w:r>
      <w:r w:rsid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Beneficjent przedłoży</w:t>
      </w:r>
      <w:r w:rsidR="002F4A04">
        <w:rPr>
          <w:rFonts w:ascii="Arial" w:eastAsiaTheme="minorEastAsia" w:hAnsi="Arial" w:cs="Arial"/>
          <w:sz w:val="20"/>
          <w:szCs w:val="20"/>
        </w:rPr>
        <w:t xml:space="preserve"> Instytucji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sprawozdanie, o którym mowa </w:t>
      </w:r>
      <w:bookmarkStart w:id="4" w:name="_Hlk201829142"/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w </w:t>
      </w:r>
      <w:r w:rsidR="00757BAC">
        <w:rPr>
          <w:rFonts w:ascii="Arial" w:eastAsiaTheme="minorEastAsia" w:hAnsi="Arial" w:cs="Arial"/>
          <w:sz w:val="20"/>
          <w:szCs w:val="20"/>
        </w:rPr>
        <w:t>§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4D1860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10</w:t>
      </w:r>
      <w:r w:rsidR="002F4A04">
        <w:rPr>
          <w:rFonts w:ascii="Arial" w:eastAsiaTheme="minorEastAsia" w:hAnsi="Arial" w:cs="Arial"/>
          <w:sz w:val="20"/>
          <w:szCs w:val="20"/>
        </w:rPr>
        <w:t xml:space="preserve"> Umowy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2F4A04">
        <w:rPr>
          <w:rFonts w:ascii="Arial" w:eastAsiaTheme="minorEastAsia" w:hAnsi="Arial" w:cs="Arial"/>
          <w:sz w:val="20"/>
          <w:szCs w:val="20"/>
        </w:rPr>
        <w:t xml:space="preserve"> wyników prac B+R przez licencjobiorcę, w terminie 30 dni od dnia złożenia oświadczenia, o którym </w:t>
      </w:r>
      <w:bookmarkEnd w:id="4"/>
      <w:r w:rsidR="002F4A04">
        <w:rPr>
          <w:rFonts w:ascii="Arial" w:eastAsiaTheme="minorEastAsia" w:hAnsi="Arial" w:cs="Arial"/>
          <w:sz w:val="20"/>
          <w:szCs w:val="20"/>
        </w:rPr>
        <w:t>mowa w ust. 6</w:t>
      </w:r>
      <w:r w:rsidR="002F4A04" w:rsidRPr="00164C42">
        <w:rPr>
          <w:rFonts w:ascii="Arial" w:eastAsiaTheme="minorEastAsia" w:hAnsi="Arial" w:cs="Arial"/>
          <w:sz w:val="20"/>
          <w:szCs w:val="20"/>
        </w:rPr>
        <w:t xml:space="preserve"> lit. e</w:t>
      </w:r>
      <w:r w:rsidR="002F4A04">
        <w:rPr>
          <w:rFonts w:ascii="Arial" w:eastAsiaTheme="minorEastAsia" w:hAnsi="Arial" w:cs="Arial"/>
          <w:sz w:val="20"/>
          <w:szCs w:val="20"/>
        </w:rPr>
        <w:t>;</w:t>
      </w:r>
    </w:p>
    <w:p w14:paraId="24E4E67B" w14:textId="77777777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wdrożenie wyników prac B+R przez licencjobiorcę nastąpi na terytorium Unii Europejskiej;</w:t>
      </w:r>
    </w:p>
    <w:p w14:paraId="0E3AD3C3" w14:textId="58A09E47" w:rsidR="00CE2BF2" w:rsidRP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 xml:space="preserve">za wdrożenie wyników prac B+R nie uznaje się licencjonowania wyników prac B+R w celu ich dalszego sublicencjonowania.  </w:t>
      </w:r>
    </w:p>
    <w:p w14:paraId="365A1ACA" w14:textId="483BE7C4" w:rsidR="00967ACF" w:rsidRPr="00430BB4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BD6F21">
        <w:rPr>
          <w:rFonts w:ascii="Arial" w:eastAsiaTheme="minorEastAsia" w:hAnsi="Arial" w:cs="Arial"/>
          <w:sz w:val="20"/>
          <w:szCs w:val="20"/>
        </w:rPr>
        <w:t>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D0712A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5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6C089657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gwarancję ceny udzielenia licencji na korzystanie z tych wyników po cenie rynkowej; </w:t>
      </w:r>
    </w:p>
    <w:p w14:paraId="2AAE0CD9" w14:textId="408D0A5A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47EE0012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podmiotowi trzeciemu;</w:t>
      </w:r>
    </w:p>
    <w:p w14:paraId="035EF739" w14:textId="108582DE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termin, w jakim ma nastąpić wprowadzenie tych wyników do działalności gospodarczej licencjobiorcy,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licencji);</w:t>
      </w:r>
    </w:p>
    <w:p w14:paraId="097E90BA" w14:textId="495296E3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4E32EA81" w:rsidR="00164C42" w:rsidRDefault="0068700D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>własności intelektualnej będącej przedmiotem umowy udzielenia licencj</w:t>
      </w:r>
      <w:r w:rsidR="0003641D">
        <w:rPr>
          <w:rFonts w:ascii="Arial" w:eastAsiaTheme="minorEastAsia" w:hAnsi="Arial" w:cs="Arial"/>
          <w:sz w:val="20"/>
          <w:szCs w:val="20"/>
        </w:rPr>
        <w:t>i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3B33BAE" w14:textId="20120270" w:rsidR="00A50FFC" w:rsidRDefault="00507D29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01326" w:rsidRPr="00F251CB">
        <w:rPr>
          <w:rFonts w:ascii="Arial" w:eastAsiaTheme="minorEastAsia" w:hAnsi="Arial" w:cs="Arial"/>
          <w:sz w:val="20"/>
          <w:szCs w:val="20"/>
        </w:rPr>
        <w:t>sprawowaniu kontroli</w:t>
      </w:r>
      <w:r w:rsidR="00C30C5C">
        <w:rPr>
          <w:rFonts w:ascii="Arial" w:eastAsiaTheme="minorEastAsia" w:hAnsi="Arial" w:cs="Arial"/>
          <w:sz w:val="20"/>
          <w:szCs w:val="20"/>
        </w:rPr>
        <w:t>)</w:t>
      </w:r>
      <w:r w:rsidR="00C01326" w:rsidRPr="00F251CB">
        <w:rPr>
          <w:rFonts w:ascii="Arial" w:eastAsiaTheme="minorEastAsia" w:hAnsi="Arial" w:cs="Arial"/>
          <w:sz w:val="20"/>
          <w:szCs w:val="20"/>
        </w:rPr>
        <w:t xml:space="preserve">,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A50FFC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0CAD6AB7" w:rsidR="003D1409" w:rsidRPr="00164C42" w:rsidRDefault="00A50FFC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1829457"/>
      <w:r>
        <w:rPr>
          <w:rFonts w:ascii="Arial" w:eastAsiaTheme="minorEastAsia" w:hAnsi="Arial" w:cs="Arial"/>
          <w:sz w:val="20"/>
          <w:szCs w:val="20"/>
        </w:rPr>
        <w:t>zobowiązanie licencjobiorcy do przekazania Beneficjentowi informacji niezbędnych do sporządzenia sprawozdania</w:t>
      </w:r>
      <w:r w:rsidR="002F4A04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o którym mowa w ust.</w:t>
      </w:r>
      <w:r w:rsidR="002F4A04">
        <w:rPr>
          <w:rFonts w:ascii="Arial" w:eastAsiaTheme="minorEastAsia" w:hAnsi="Arial" w:cs="Arial"/>
          <w:sz w:val="20"/>
          <w:szCs w:val="20"/>
        </w:rPr>
        <w:t xml:space="preserve"> 4 pkt 2</w:t>
      </w:r>
      <w:bookmarkEnd w:id="6"/>
      <w:r w:rsidR="004D1860">
        <w:rPr>
          <w:rFonts w:ascii="Arial" w:eastAsiaTheme="minorEastAsia" w:hAnsi="Arial" w:cs="Arial"/>
          <w:sz w:val="20"/>
          <w:szCs w:val="20"/>
        </w:rPr>
        <w:t>.</w:t>
      </w:r>
    </w:p>
    <w:bookmarkEnd w:id="5"/>
    <w:p w14:paraId="4C782205" w14:textId="758029B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okaże się, że dalsze prace B+R nie doprowadzą do </w:t>
      </w:r>
      <w:r w:rsidRPr="00381539">
        <w:rPr>
          <w:rFonts w:ascii="Arial" w:eastAsiaTheme="minorEastAsia" w:hAnsi="Arial" w:cs="Arial"/>
          <w:sz w:val="20"/>
          <w:szCs w:val="20"/>
        </w:rPr>
        <w:lastRenderedPageBreak/>
        <w:t>osiągnięcia zakładanych wyników, bądź gdy wdrożenie okaże się bezcelowe lub niezasadne ekonomicznie.</w:t>
      </w:r>
    </w:p>
    <w:p w14:paraId="31972940" w14:textId="4651E4BD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1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0E69DF44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C16224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ufp. </w:t>
      </w:r>
    </w:p>
    <w:p w14:paraId="55DC3413" w14:textId="0C3EB4ED" w:rsidR="00C64303" w:rsidRPr="00381539" w:rsidRDefault="00C61C3A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r w:rsidR="00A04124">
        <w:rPr>
          <w:rFonts w:ascii="Arial" w:hAnsi="Arial" w:cs="Arial"/>
          <w:sz w:val="20"/>
          <w:szCs w:val="20"/>
        </w:rPr>
        <w:t xml:space="preserve">Pzp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r w:rsidR="004F58ED">
        <w:rPr>
          <w:rFonts w:ascii="Arial" w:hAnsi="Arial" w:cs="Arial"/>
          <w:sz w:val="20"/>
          <w:szCs w:val="20"/>
          <w:lang w:eastAsia="pl-PL"/>
        </w:rPr>
        <w:t>Pzp</w:t>
      </w:r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34716167" w:rsidR="00B23E8E" w:rsidRPr="005A7CD2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>rozporządzenia</w:t>
      </w:r>
      <w:r w:rsidR="00F86BF2">
        <w:rPr>
          <w:rFonts w:ascii="Arial" w:hAnsi="Arial" w:cs="Arial"/>
          <w:sz w:val="20"/>
          <w:szCs w:val="20"/>
        </w:rPr>
        <w:t xml:space="preserve"> FENG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25C08C91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</w:t>
      </w:r>
      <w:r w:rsidR="00F86BF2">
        <w:rPr>
          <w:rFonts w:ascii="Arial" w:hAnsi="Arial" w:cs="Arial"/>
          <w:sz w:val="20"/>
          <w:szCs w:val="20"/>
        </w:rPr>
        <w:t xml:space="preserve">, </w:t>
      </w:r>
      <w:r w:rsidR="00F86BF2" w:rsidRPr="00381539">
        <w:rPr>
          <w:rFonts w:ascii="Arial" w:hAnsi="Arial" w:cs="Arial"/>
          <w:sz w:val="20"/>
          <w:szCs w:val="20"/>
        </w:rPr>
        <w:t>§</w:t>
      </w:r>
      <w:r w:rsidR="00F86BF2">
        <w:rPr>
          <w:rFonts w:ascii="Arial" w:hAnsi="Arial" w:cs="Arial"/>
          <w:sz w:val="20"/>
          <w:szCs w:val="20"/>
        </w:rPr>
        <w:t xml:space="preserve"> 5b</w:t>
      </w:r>
      <w:r w:rsidR="00F86BF2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50A9536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D33859">
        <w:rPr>
          <w:rFonts w:ascii="Arial" w:hAnsi="Arial" w:cs="Arial"/>
          <w:sz w:val="20"/>
          <w:szCs w:val="20"/>
          <w:lang w:eastAsia="pl-PL"/>
        </w:rPr>
        <w:t>4</w:t>
      </w:r>
      <w:r w:rsidR="00C01326">
        <w:rPr>
          <w:rFonts w:ascii="Arial" w:hAnsi="Arial" w:cs="Arial"/>
          <w:sz w:val="20"/>
          <w:szCs w:val="20"/>
          <w:lang w:eastAsia="pl-PL"/>
        </w:rPr>
        <w:t xml:space="preserve"> i 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6CA2D7AE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</w:t>
      </w:r>
      <w:r w:rsidR="00F86BF2">
        <w:rPr>
          <w:rFonts w:ascii="Arial" w:hAnsi="Arial" w:cs="Arial"/>
          <w:sz w:val="20"/>
          <w:szCs w:val="20"/>
          <w:lang w:eastAsia="pl-PL"/>
        </w:rPr>
        <w:t>współ</w:t>
      </w:r>
      <w:r w:rsidRPr="00381539">
        <w:rPr>
          <w:rFonts w:ascii="Arial" w:hAnsi="Arial" w:cs="Arial"/>
          <w:sz w:val="20"/>
          <w:szCs w:val="20"/>
          <w:lang w:eastAsia="pl-PL"/>
        </w:rPr>
        <w:t>finansowania realizacji Projektu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6BF2" w:rsidRPr="00992F69">
        <w:rPr>
          <w:rFonts w:ascii="Arial" w:hAnsi="Arial" w:cs="Arial"/>
          <w:sz w:val="20"/>
          <w:szCs w:val="20"/>
          <w:lang w:eastAsia="pl-PL"/>
        </w:rPr>
        <w:t xml:space="preserve">ze środków prywatnych (w tym zapewnienia wkładu własnego do </w:t>
      </w:r>
      <w:r w:rsidR="00F86BF2">
        <w:rPr>
          <w:rFonts w:ascii="Arial" w:hAnsi="Arial" w:cs="Arial"/>
          <w:sz w:val="20"/>
          <w:szCs w:val="20"/>
          <w:lang w:eastAsia="pl-PL"/>
        </w:rPr>
        <w:t>P</w:t>
      </w:r>
      <w:r w:rsidR="00F86BF2" w:rsidRPr="00992F69">
        <w:rPr>
          <w:rFonts w:ascii="Arial" w:hAnsi="Arial" w:cs="Arial"/>
          <w:sz w:val="20"/>
          <w:szCs w:val="20"/>
          <w:lang w:eastAsia="pl-PL"/>
        </w:rPr>
        <w:t>rojektu)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78152A8" w14:textId="7178A2E9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</w:t>
      </w:r>
      <w:r w:rsidR="00B162D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162DE" w:rsidRPr="00D15380">
        <w:rPr>
          <w:rFonts w:ascii="Arial" w:hAnsi="Arial" w:cs="Arial"/>
          <w:sz w:val="20"/>
          <w:szCs w:val="20"/>
          <w:lang w:eastAsia="pl-PL"/>
        </w:rPr>
        <w:t>na skutek sytuacji, o których mowa w ust. 21</w:t>
      </w:r>
      <w:r w:rsidRPr="00D15380">
        <w:rPr>
          <w:rFonts w:ascii="Arial" w:hAnsi="Arial" w:cs="Arial"/>
          <w:sz w:val="20"/>
          <w:szCs w:val="20"/>
          <w:lang w:eastAsia="pl-PL"/>
        </w:rPr>
        <w:t>, kwota przyznanego dofinansowania ulega zmianie po wyrażeniu zgody przez Instytucję, z zachowaniem postanowień ust. 4. Nie jest mo</w:t>
      </w:r>
      <w:r w:rsidRPr="00381539">
        <w:rPr>
          <w:rFonts w:ascii="Arial" w:hAnsi="Arial" w:cs="Arial"/>
          <w:sz w:val="20"/>
          <w:szCs w:val="20"/>
          <w:lang w:eastAsia="pl-PL"/>
        </w:rPr>
        <w:t>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522EE86D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F86BF2" w:rsidRPr="00F86BF2">
        <w:rPr>
          <w:rFonts w:ascii="Arial" w:hAnsi="Arial" w:cs="Arial"/>
          <w:sz w:val="20"/>
          <w:szCs w:val="20"/>
          <w:lang w:eastAsia="pl-PL"/>
        </w:rPr>
        <w:t>przypadku dzierżawy gruntów lub kwalifikowania opłat za użytkowanie wieczyste gruntu – oświadczenia właściciela gruntu, że nabycie gruntu nie było współfinansowane ze środków unijnych lub z dotacji krajowych</w:t>
      </w:r>
      <w:r w:rsidR="00D33859" w:rsidRPr="00D15380">
        <w:rPr>
          <w:rFonts w:ascii="Arial" w:hAnsi="Arial" w:cs="Arial"/>
          <w:sz w:val="20"/>
          <w:szCs w:val="20"/>
          <w:lang w:eastAsia="pl-PL"/>
        </w:rPr>
        <w:t>,</w:t>
      </w:r>
    </w:p>
    <w:p w14:paraId="6907DB01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41320799" w:rsidR="00B23E8E" w:rsidRDefault="00B23E8E" w:rsidP="00F802EC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F802EC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F802EC">
        <w:rPr>
          <w:rFonts w:ascii="Arial" w:hAnsi="Arial" w:cs="Arial"/>
          <w:sz w:val="20"/>
          <w:szCs w:val="20"/>
          <w:lang w:eastAsia="pl-PL"/>
        </w:rPr>
        <w:t>ów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F802EC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02EC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F86BF2">
        <w:rPr>
          <w:rFonts w:ascii="Arial" w:hAnsi="Arial" w:cs="Arial"/>
          <w:sz w:val="20"/>
          <w:szCs w:val="20"/>
          <w:lang w:eastAsia="pl-PL"/>
        </w:rPr>
        <w:t>,</w:t>
      </w:r>
    </w:p>
    <w:p w14:paraId="0E4AD922" w14:textId="77777777" w:rsidR="00F86BF2" w:rsidRDefault="00F86BF2" w:rsidP="00F86BF2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w przypadku wynagrodzeń wraz z pozapłacowymi kosztami pracy – dokumentacji potwierdzającej faktyczne zaangażowanie personelu w prace projektowe i udokumentowania poniesienia kosztów z tym związanych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14:paraId="6878A7DE" w14:textId="77777777" w:rsidR="00F86BF2" w:rsidRPr="009A5C20" w:rsidRDefault="00F86BF2" w:rsidP="00F86BF2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protokołów odbioru dokumentujących wykonanie dostaw/usług,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6F69">
        <w:rPr>
          <w:rFonts w:ascii="Arial" w:hAnsi="Arial" w:cs="Arial"/>
          <w:sz w:val="20"/>
          <w:szCs w:val="20"/>
          <w:lang w:eastAsia="pl-PL"/>
        </w:rPr>
        <w:t>lub innych dokumentów potwierdzających zgodność realizacji Projektu z warunkami Umowy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74A7A17C" w14:textId="77777777" w:rsidR="00F86BF2" w:rsidRPr="001F3683" w:rsidRDefault="00F86BF2" w:rsidP="001F368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53F323D" w14:textId="5855891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6B396D31" w:rsidR="00B23E8E" w:rsidRPr="00F86BF2" w:rsidRDefault="00B23E8E" w:rsidP="00F86BF2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  <w:r w:rsidR="00F86BF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86BF2" w:rsidRPr="000917A2">
        <w:rPr>
          <w:rFonts w:ascii="Arial" w:hAnsi="Arial" w:cs="Arial"/>
          <w:sz w:val="20"/>
          <w:szCs w:val="20"/>
          <w:lang w:eastAsia="pl-PL"/>
        </w:rPr>
        <w:t>W terminie 20 dni roboczych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p w14:paraId="6D09865A" w14:textId="77777777" w:rsidR="00B23E8E" w:rsidRPr="00381539" w:rsidRDefault="00B23E8E" w:rsidP="0003641D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6C978B84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</w:t>
      </w:r>
      <w:r w:rsidR="00CB46CC">
        <w:rPr>
          <w:rFonts w:ascii="Arial" w:hAnsi="Arial" w:cs="Arial"/>
          <w:sz w:val="20"/>
          <w:szCs w:val="20"/>
          <w:lang w:eastAsia="pl-PL"/>
        </w:rPr>
        <w:t>,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10</w:t>
      </w:r>
      <w:r w:rsidR="00CB46CC">
        <w:rPr>
          <w:rFonts w:ascii="Arial" w:hAnsi="Arial" w:cs="Arial"/>
          <w:sz w:val="20"/>
          <w:szCs w:val="20"/>
          <w:lang w:eastAsia="pl-PL"/>
        </w:rPr>
        <w:t xml:space="preserve"> i 12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03641D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03641D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03641D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7DFCEEDB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0132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5D696DBE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</w:t>
      </w:r>
      <w:r w:rsidR="00F86BF2">
        <w:rPr>
          <w:rFonts w:ascii="Arial" w:hAnsi="Arial" w:cs="Arial"/>
          <w:sz w:val="20"/>
          <w:szCs w:val="20"/>
        </w:rPr>
        <w:t xml:space="preserve"> </w:t>
      </w:r>
      <w:r w:rsidR="00F86BF2" w:rsidRPr="00703AB6">
        <w:rPr>
          <w:rFonts w:ascii="Arial" w:hAnsi="Arial" w:cs="Arial"/>
          <w:sz w:val="20"/>
          <w:szCs w:val="20"/>
        </w:rPr>
        <w:t xml:space="preserve">w całym okresie realizacji </w:t>
      </w:r>
      <w:r w:rsidR="00F86BF2">
        <w:rPr>
          <w:rFonts w:ascii="Arial" w:hAnsi="Arial" w:cs="Arial"/>
          <w:sz w:val="20"/>
          <w:szCs w:val="20"/>
        </w:rPr>
        <w:t>P</w:t>
      </w:r>
      <w:r w:rsidR="00F86BF2" w:rsidRPr="00703AB6">
        <w:rPr>
          <w:rFonts w:ascii="Arial" w:hAnsi="Arial" w:cs="Arial"/>
          <w:sz w:val="20"/>
          <w:szCs w:val="20"/>
        </w:rPr>
        <w:t>rojektu, w stosunku do pierwotnie zaakceptowanego wniosku o dofinansowanie</w:t>
      </w:r>
      <w:r w:rsidRPr="00381539">
        <w:rPr>
          <w:rFonts w:ascii="Arial" w:hAnsi="Arial" w:cs="Arial"/>
          <w:sz w:val="20"/>
          <w:szCs w:val="20"/>
        </w:rPr>
        <w:t>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69AB9B2C" w14:textId="5A09F074" w:rsidR="00B23E8E" w:rsidRPr="00381539" w:rsidRDefault="00B23E8E" w:rsidP="0003641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22E907EC" w14:textId="77777777" w:rsidR="00B23E8E" w:rsidRPr="005D65B3" w:rsidRDefault="00B23E8E" w:rsidP="00EB3872">
      <w:pPr>
        <w:pStyle w:val="Akapitzlist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03641D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43F567C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6"/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  <w:r w:rsidR="00F86BF2">
        <w:rPr>
          <w:rFonts w:ascii="Arial" w:eastAsiaTheme="minorEastAsia" w:hAnsi="Arial" w:cs="Arial"/>
          <w:sz w:val="20"/>
          <w:szCs w:val="20"/>
        </w:rPr>
        <w:t>albo</w:t>
      </w:r>
    </w:p>
    <w:p w14:paraId="4C5CF5C0" w14:textId="7797F75D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F86BF2">
        <w:rPr>
          <w:rFonts w:ascii="Arial" w:eastAsiaTheme="minorEastAsia" w:hAnsi="Arial" w:cs="Arial"/>
          <w:sz w:val="20"/>
          <w:szCs w:val="20"/>
        </w:rPr>
        <w:t>albo</w:t>
      </w:r>
    </w:p>
    <w:p w14:paraId="510C5184" w14:textId="77777777" w:rsidR="00F86BF2" w:rsidRDefault="003705D5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F86BF2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</w:p>
    <w:p w14:paraId="63DAE374" w14:textId="3EA88ECC" w:rsidR="00BD6F21" w:rsidRPr="001F3683" w:rsidRDefault="00F86BF2" w:rsidP="001F3683">
      <w:p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9A5C20">
        <w:rPr>
          <w:rFonts w:ascii="Arial" w:eastAsiaTheme="minorEastAsia" w:hAnsi="Arial" w:cs="Arial"/>
          <w:sz w:val="20"/>
          <w:szCs w:val="20"/>
        </w:rPr>
        <w:t>Intensywność pomocy na badania przemysłowe lub prace rozwojowe można zwiększyć do maksymalnej intensywności pomocy na poziomie 80% kosztów kwalifikowalnych</w:t>
      </w:r>
      <w:r>
        <w:rPr>
          <w:rFonts w:ascii="Arial" w:eastAsiaTheme="minorEastAsia" w:hAnsi="Arial" w:cs="Arial"/>
          <w:sz w:val="20"/>
          <w:szCs w:val="20"/>
        </w:rPr>
        <w:t>, z zastrzeżeniem, że premii wskazanych w lit. a, b i c nie można łączyć.</w:t>
      </w:r>
      <w:r w:rsidR="00BD6F21" w:rsidRPr="001F3683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1ABFE7F1" w:rsidR="00BD6F21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</w:t>
      </w:r>
      <w:r w:rsidR="00C90EF3">
        <w:rPr>
          <w:rFonts w:ascii="Arial" w:eastAsiaTheme="minorEastAsia" w:hAnsi="Arial" w:cs="Arial"/>
          <w:sz w:val="20"/>
          <w:szCs w:val="20"/>
        </w:rPr>
        <w:t xml:space="preserve"> </w:t>
      </w:r>
      <w:r w:rsidR="00C90EF3" w:rsidRPr="00000C85">
        <w:rPr>
          <w:rFonts w:ascii="Arial" w:eastAsiaTheme="minorEastAsia" w:hAnsi="Arial" w:cs="Arial"/>
          <w:sz w:val="20"/>
          <w:szCs w:val="20"/>
        </w:rPr>
        <w:t>Beneficjent niezwłocznie po zakończeniu prac B+R i w okresie do 5 lat od zakończenia prac B+R zobowiązany jest do szerokiego rozpowszechniania wyników prac B+R</w:t>
      </w:r>
      <w:r w:rsidR="00C90EF3">
        <w:rPr>
          <w:rFonts w:ascii="Arial" w:eastAsiaTheme="minorEastAsia" w:hAnsi="Arial" w:cs="Arial"/>
          <w:sz w:val="20"/>
          <w:szCs w:val="20"/>
        </w:rPr>
        <w:t>.</w:t>
      </w:r>
      <w:r w:rsidR="00C90EF3" w:rsidRPr="00000C85">
        <w:rPr>
          <w:rFonts w:ascii="Arial" w:eastAsiaTheme="minorEastAsia" w:hAnsi="Arial" w:cs="Arial"/>
          <w:sz w:val="20"/>
          <w:szCs w:val="20"/>
        </w:rPr>
        <w:t xml:space="preserve"> </w:t>
      </w:r>
      <w:r w:rsidR="00C90EF3" w:rsidRPr="00381539">
        <w:rPr>
          <w:rFonts w:ascii="Arial" w:eastAsiaTheme="minorEastAsia" w:hAnsi="Arial" w:cs="Arial"/>
          <w:sz w:val="20"/>
          <w:szCs w:val="20"/>
        </w:rPr>
        <w:t xml:space="preserve"> 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MNiSW, aktualnym na dzień przyjęcia artykułu do druku), lub </w:t>
      </w:r>
    </w:p>
    <w:p w14:paraId="00824A6F" w14:textId="64E36F22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1A2C04">
      <w:pPr>
        <w:pStyle w:val="Akapitzlist"/>
        <w:numPr>
          <w:ilvl w:val="0"/>
          <w:numId w:val="50"/>
        </w:numPr>
        <w:spacing w:before="120" w:after="120"/>
        <w:ind w:left="993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9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49013434" w:rsidR="00663595" w:rsidRPr="00381539" w:rsidRDefault="006860B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5DF2CEA" w14:textId="75E5D8E7" w:rsidR="00C01326" w:rsidRDefault="007F4F08" w:rsidP="00C0132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ufp</w:t>
      </w:r>
      <w:r w:rsidR="00F86BF2">
        <w:rPr>
          <w:rStyle w:val="Odwoanieprzypisudolnego"/>
          <w:rFonts w:ascii="Arial" w:hAnsi="Arial"/>
          <w:sz w:val="20"/>
          <w:szCs w:val="20"/>
          <w:lang w:eastAsia="pl-PL"/>
        </w:rPr>
        <w:footnoteReference w:id="30"/>
      </w:r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15814B4B" w:rsidR="00DA0DE1" w:rsidRPr="00381539" w:rsidRDefault="00C01326" w:rsidP="00C0132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C01326">
        <w:rPr>
          <w:rFonts w:ascii="Arial" w:hAnsi="Arial" w:cs="Arial"/>
          <w:sz w:val="20"/>
          <w:szCs w:val="20"/>
          <w:lang w:eastAsia="pl-PL"/>
        </w:rPr>
        <w:t>e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03641D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3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3BB480B0" w:rsidR="000B1043" w:rsidRPr="00381539" w:rsidRDefault="00804F4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rozporządzeni</w:t>
      </w:r>
      <w:r w:rsidR="00CB46CC">
        <w:rPr>
          <w:rFonts w:ascii="Arial" w:hAnsi="Arial" w:cs="Arial"/>
          <w:sz w:val="20"/>
          <w:szCs w:val="20"/>
          <w:lang w:eastAsia="pl-PL"/>
        </w:rPr>
        <w:t>u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FA866FC" w:rsidR="00C40FC5" w:rsidRPr="00381539" w:rsidRDefault="008E0B97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 rozporządzeni</w:t>
      </w:r>
      <w:r w:rsidR="00CB46CC">
        <w:rPr>
          <w:rFonts w:ascii="Arial" w:hAnsi="Arial" w:cs="Arial"/>
          <w:sz w:val="20"/>
          <w:szCs w:val="20"/>
          <w:lang w:eastAsia="pl-PL"/>
        </w:rPr>
        <w:t>u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B96C91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1A2C04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1A2C04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CA57AA5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035EF166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ufp.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lastRenderedPageBreak/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6FD47681" w14:textId="312F0E91" w:rsidR="00B868BA" w:rsidRPr="001A2C04" w:rsidRDefault="00ED0279" w:rsidP="001A2C04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389A0448" w:rsidR="005F357B" w:rsidRPr="00381539" w:rsidRDefault="005F357B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7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3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3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>rojektu, przedłożyć Instytucji kopie tego sprawozdania. Kopie przesyłane są w wersji elektronicznej, w formacie xml,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6C5F8748" w:rsidR="00A755CE" w:rsidRPr="00A755CE" w:rsidRDefault="00A755CE" w:rsidP="004D186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B96C91">
        <w:rPr>
          <w:rFonts w:ascii="Arial" w:hAnsi="Arial" w:cs="Arial"/>
          <w:sz w:val="20"/>
          <w:szCs w:val="20"/>
        </w:rPr>
        <w:t>każdorazowo</w:t>
      </w:r>
      <w:r w:rsidR="00B96C91" w:rsidRPr="00A755CE">
        <w:rPr>
          <w:rFonts w:ascii="Arial" w:hAnsi="Arial" w:cs="Arial"/>
          <w:sz w:val="20"/>
          <w:szCs w:val="20"/>
        </w:rPr>
        <w:t xml:space="preserve"> do</w:t>
      </w:r>
      <w:r w:rsidR="00B96C91">
        <w:rPr>
          <w:rFonts w:ascii="Arial" w:hAnsi="Arial" w:cs="Arial"/>
          <w:sz w:val="20"/>
          <w:szCs w:val="20"/>
        </w:rPr>
        <w:t xml:space="preserve"> niezwłocznego</w:t>
      </w:r>
      <w:r w:rsidR="00B96C91" w:rsidRPr="00A755CE">
        <w:rPr>
          <w:rFonts w:ascii="Arial" w:hAnsi="Arial" w:cs="Arial"/>
          <w:sz w:val="20"/>
          <w:szCs w:val="20"/>
        </w:rPr>
        <w:t xml:space="preserve"> 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717B342C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381539">
        <w:br/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>barw Rzeczypospolitej Polskiej (jeśli dotyczy; wersja pełnokolorowa)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22259B46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 xml:space="preserve">opisu Projektu na </w:t>
      </w:r>
      <w:r w:rsidR="00F86BF2">
        <w:rPr>
          <w:rFonts w:ascii="Arial" w:hAnsi="Arial" w:cs="Arial"/>
          <w:sz w:val="20"/>
          <w:szCs w:val="20"/>
        </w:rPr>
        <w:t xml:space="preserve">oficjalnej </w:t>
      </w:r>
      <w:r w:rsidRPr="00381539">
        <w:rPr>
          <w:rFonts w:ascii="Arial" w:hAnsi="Arial" w:cs="Arial"/>
          <w:sz w:val="20"/>
          <w:szCs w:val="20"/>
        </w:rPr>
        <w:t>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4E3C7EF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</w:t>
      </w:r>
      <w:r w:rsidR="00F86BF2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9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01E0906C" w:rsidR="00E620B1" w:rsidRPr="00381539" w:rsidRDefault="002F75B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0"/>
      </w:r>
      <w:r w:rsidRPr="00381539">
        <w:rPr>
          <w:rFonts w:ascii="Arial" w:hAnsi="Arial" w:cs="Arial"/>
          <w:sz w:val="20"/>
          <w:szCs w:val="20"/>
        </w:rPr>
        <w:t xml:space="preserve"> lub jego </w:t>
      </w:r>
      <w:r w:rsidR="00F86BF2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2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3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lastRenderedPageBreak/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27D5BBF6" w:rsidR="0056466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B96C91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ufp. </w:t>
      </w:r>
    </w:p>
    <w:p w14:paraId="3F7D951B" w14:textId="1CB1D973" w:rsidR="00101076" w:rsidRPr="00381539" w:rsidRDefault="00500418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4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4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3DA50AC9" w14:textId="74672186" w:rsidR="00446D17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</w:t>
      </w:r>
      <w:r w:rsidRPr="00381539">
        <w:rPr>
          <w:rFonts w:ascii="Arial" w:hAnsi="Arial" w:cs="Arial"/>
          <w:sz w:val="20"/>
          <w:szCs w:val="20"/>
        </w:rPr>
        <w:lastRenderedPageBreak/>
        <w:t xml:space="preserve">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03641D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9"/>
      </w:r>
    </w:p>
    <w:p w14:paraId="59ADE1B3" w14:textId="21467C9C" w:rsidR="007C6F27" w:rsidRPr="00381539" w:rsidRDefault="007C6F27" w:rsidP="0003641D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6" w:name="_Hlk100754061"/>
      <w:r w:rsidRPr="005D65B3">
        <w:rPr>
          <w:rFonts w:cs="Arial"/>
        </w:rPr>
        <w:lastRenderedPageBreak/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6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4D297D2E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="00F86BF2">
        <w:rPr>
          <w:rFonts w:ascii="Arial" w:hAnsi="Arial" w:cs="Arial"/>
          <w:sz w:val="20"/>
          <w:szCs w:val="20"/>
        </w:rPr>
        <w:t xml:space="preserve">, </w:t>
      </w:r>
      <w:r w:rsidR="00F86BF2" w:rsidRPr="0060050A">
        <w:rPr>
          <w:rFonts w:ascii="Arial" w:hAnsi="Arial" w:cs="Arial"/>
          <w:sz w:val="20"/>
          <w:szCs w:val="20"/>
        </w:rPr>
        <w:t>odmówić wypłaty dofinansowania w formie zaliczki</w:t>
      </w:r>
      <w:r w:rsidR="00F86BF2" w:rsidRPr="005D65B3">
        <w:rPr>
          <w:rFonts w:ascii="Arial" w:hAnsi="Arial" w:cs="Arial"/>
          <w:sz w:val="20"/>
          <w:szCs w:val="20"/>
        </w:rPr>
        <w:t xml:space="preserve"> l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70BA79D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1A2C04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50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1A2C04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7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29FDB481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5BAF788E" w:rsidR="00842662" w:rsidRPr="00951001" w:rsidRDefault="00AC10CD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>
        <w:rPr>
          <w:rFonts w:ascii="Arial" w:hAnsi="Arial" w:cs="Arial"/>
          <w:sz w:val="20"/>
          <w:szCs w:val="20"/>
          <w:lang w:eastAsia="pl-PL"/>
        </w:rPr>
        <w:t>Unii Europejskiej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6605597B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0FF8D9A1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181F99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6380A18" w:rsidR="00C60C22" w:rsidRPr="00957015" w:rsidRDefault="00C60C22" w:rsidP="00957015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957015">
        <w:rPr>
          <w:rFonts w:ascii="Arial" w:hAnsi="Arial" w:cs="Arial"/>
          <w:sz w:val="20"/>
          <w:szCs w:val="20"/>
        </w:rPr>
        <w:t xml:space="preserve">na terytorium UE </w:t>
      </w:r>
      <w:r w:rsidR="00957015"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957015">
        <w:rPr>
          <w:rFonts w:ascii="Arial" w:hAnsi="Arial" w:cs="Arial"/>
          <w:sz w:val="20"/>
          <w:szCs w:val="20"/>
        </w:rPr>
        <w:t xml:space="preserve">umowie </w:t>
      </w:r>
      <w:r w:rsidR="00957015" w:rsidRPr="00D458A6">
        <w:rPr>
          <w:rFonts w:ascii="Arial" w:hAnsi="Arial" w:cs="Arial"/>
          <w:sz w:val="20"/>
          <w:szCs w:val="20"/>
        </w:rPr>
        <w:t>udzielenia licencji zawartej z Beneficjentem lub</w:t>
      </w:r>
    </w:p>
    <w:p w14:paraId="7B067EDB" w14:textId="68E6418B" w:rsidR="00F14EC6" w:rsidRPr="009A2D21" w:rsidRDefault="00F14EC6" w:rsidP="001D3AFC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przez państwo </w:t>
      </w:r>
      <w:r w:rsidR="00957015">
        <w:rPr>
          <w:rFonts w:ascii="Arial" w:hAnsi="Arial" w:cs="Arial"/>
          <w:sz w:val="20"/>
          <w:szCs w:val="20"/>
          <w:lang w:eastAsia="pl-PL"/>
        </w:rPr>
        <w:t>lub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 podmiot z państwa należącego do Unii Europejskiej </w:t>
      </w:r>
      <w:r w:rsidR="00957015" w:rsidRPr="00103B48">
        <w:rPr>
          <w:rFonts w:ascii="Arial" w:hAnsi="Arial" w:cs="Arial"/>
          <w:sz w:val="20"/>
          <w:szCs w:val="20"/>
        </w:rPr>
        <w:t xml:space="preserve">w terminie określonym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689FCE31" w:rsidR="00C60C22" w:rsidRPr="00EB3872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trzeciemu.</w:t>
      </w:r>
    </w:p>
    <w:p w14:paraId="2C7AD9A3" w14:textId="236C4FB1" w:rsidR="00C33ACE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Pr="005D65B3" w:rsidRDefault="00663A1F" w:rsidP="001A2C04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lastRenderedPageBreak/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2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2A83D3EC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CB46CC">
        <w:rPr>
          <w:rFonts w:ascii="Arial" w:hAnsi="Arial" w:cs="Arial"/>
          <w:sz w:val="20"/>
          <w:szCs w:val="20"/>
        </w:rPr>
        <w:t xml:space="preserve"> obowiązujące</w:t>
      </w:r>
      <w:r w:rsidR="002F60C2" w:rsidRPr="005D65B3">
        <w:rPr>
          <w:rFonts w:ascii="Arial" w:hAnsi="Arial" w:cs="Arial"/>
          <w:sz w:val="20"/>
          <w:szCs w:val="20"/>
        </w:rPr>
        <w:t xml:space="preserve"> do końca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03641D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4568FB74" w:rsidR="00720018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CB46CC">
        <w:rPr>
          <w:rFonts w:ascii="Arial" w:hAnsi="Arial" w:cs="Arial"/>
          <w:sz w:val="20"/>
          <w:szCs w:val="20"/>
        </w:rPr>
        <w:t>u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21226D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696E5C95" w:rsidR="007A5D71" w:rsidRPr="005D65B3" w:rsidRDefault="1127C306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>5b</w:t>
      </w:r>
      <w:r w:rsidR="1D6C5F98" w:rsidRPr="0060583D">
        <w:rPr>
          <w:rFonts w:ascii="Arial" w:hAnsi="Arial" w:cs="Arial"/>
          <w:sz w:val="20"/>
          <w:szCs w:val="20"/>
        </w:rPr>
        <w:t xml:space="preserve"> ust. </w:t>
      </w:r>
      <w:r w:rsidR="00B96C91">
        <w:rPr>
          <w:rFonts w:ascii="Arial" w:hAnsi="Arial" w:cs="Arial"/>
          <w:sz w:val="20"/>
          <w:szCs w:val="20"/>
        </w:rPr>
        <w:t xml:space="preserve">7 i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</w:t>
      </w:r>
      <w:r w:rsidR="00301700">
        <w:rPr>
          <w:rFonts w:ascii="Arial" w:hAnsi="Arial" w:cs="Arial"/>
          <w:sz w:val="20"/>
          <w:szCs w:val="20"/>
        </w:rPr>
        <w:t>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482251D7" w:rsidR="006F1FF4" w:rsidRPr="005D65B3" w:rsidRDefault="006F1FF4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96C91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8" w:name="_Hlk114733887"/>
      <w:r w:rsidRPr="005D65B3">
        <w:rPr>
          <w:rFonts w:cs="Arial"/>
        </w:rPr>
        <w:t>§</w:t>
      </w:r>
      <w:bookmarkEnd w:id="18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7836A3A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</w:t>
      </w:r>
      <w:r w:rsidR="00CB46CC">
        <w:rPr>
          <w:rFonts w:ascii="Arial" w:hAnsi="Arial" w:cs="Arial"/>
          <w:sz w:val="20"/>
          <w:szCs w:val="20"/>
        </w:rPr>
        <w:t>6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1B43196C" w:rsidR="0053467F" w:rsidRPr="005D65B3" w:rsidRDefault="00872BC5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DD12F5" w:rsidRPr="005D65B3">
        <w:rPr>
          <w:rFonts w:ascii="Arial" w:hAnsi="Arial" w:cs="Arial"/>
          <w:sz w:val="20"/>
          <w:szCs w:val="20"/>
        </w:rPr>
        <w:t>,</w:t>
      </w:r>
      <w:r w:rsidR="00216E50">
        <w:rPr>
          <w:rFonts w:ascii="Arial" w:hAnsi="Arial" w:cs="Arial"/>
          <w:sz w:val="20"/>
          <w:szCs w:val="20"/>
        </w:rPr>
        <w:t xml:space="preserve"> </w:t>
      </w:r>
      <w:r w:rsidR="00216E50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216E50">
        <w:rPr>
          <w:rFonts w:ascii="Arial" w:hAnsi="Arial" w:cs="Arial"/>
          <w:sz w:val="20"/>
          <w:szCs w:val="20"/>
        </w:rPr>
        <w:t>6</w:t>
      </w:r>
      <w:r w:rsidR="00216E50" w:rsidRPr="005D65B3">
        <w:rPr>
          <w:rFonts w:ascii="Arial" w:hAnsi="Arial" w:cs="Arial"/>
          <w:sz w:val="20"/>
          <w:szCs w:val="20"/>
        </w:rPr>
        <w:t xml:space="preserve"> </w:t>
      </w:r>
      <w:r w:rsidR="00DD12F5" w:rsidRPr="005D65B3">
        <w:rPr>
          <w:rFonts w:ascii="Arial" w:hAnsi="Arial" w:cs="Arial"/>
          <w:sz w:val="20"/>
          <w:szCs w:val="20"/>
        </w:rPr>
        <w:t xml:space="preserve"> przy czym przesunięcia wydatków nie mogą skutkować naruszeniem efektu zachęty;</w:t>
      </w:r>
    </w:p>
    <w:p w14:paraId="5AD56CDC" w14:textId="1AD603F4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numerów rachunków bankowych;</w:t>
      </w:r>
    </w:p>
    <w:p w14:paraId="48BE0AC4" w14:textId="4B51D64A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03641D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18B4DCC9" w:rsidR="00603818" w:rsidRPr="005D65B3" w:rsidRDefault="00251E0F" w:rsidP="0003641D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216E50">
        <w:rPr>
          <w:rFonts w:ascii="Arial" w:hAnsi="Arial" w:cs="Arial"/>
          <w:sz w:val="20"/>
          <w:szCs w:val="20"/>
        </w:rPr>
        <w:t xml:space="preserve">, </w:t>
      </w:r>
      <w:r w:rsidR="00216E50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216E50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57384879" w:rsidR="00772B3A" w:rsidRPr="005D65B3" w:rsidRDefault="00670964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5B009A25" w:rsidR="00772B3A" w:rsidRPr="005D65B3" w:rsidRDefault="00CB46CC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>pomiędzy</w:t>
      </w:r>
      <w:r w:rsidR="006064DD"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34C025B1" w:rsidR="00012D75" w:rsidRDefault="00CB46CC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6B533EF9" w:rsidR="00AE6E04" w:rsidRPr="00AB782E" w:rsidRDefault="00216E50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16E50">
        <w:rPr>
          <w:rFonts w:ascii="Arial" w:hAnsi="Arial" w:cs="Arial"/>
          <w:sz w:val="20"/>
          <w:szCs w:val="20"/>
        </w:rPr>
        <w:t>rozszerzenie zakresu rzeczowego Projektu, które skutkowałoby naruszeniem efektu zachęty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9" w:name="_Hlk125727899"/>
      <w:r w:rsidRPr="005D65B3">
        <w:rPr>
          <w:rFonts w:cs="Arial"/>
        </w:rPr>
        <w:t>§ 13</w:t>
      </w:r>
      <w:bookmarkEnd w:id="19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8"/>
      </w:r>
    </w:p>
    <w:p w14:paraId="2B53C952" w14:textId="77942999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60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4429433"/>
      <w:r w:rsidRPr="005D65B3">
        <w:rPr>
          <w:rFonts w:cs="Arial"/>
        </w:rPr>
        <w:t>§ 14</w:t>
      </w:r>
      <w:bookmarkEnd w:id="20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5FF2E44A" w14:textId="7F475C04" w:rsidR="00B868BA" w:rsidRPr="001A2C04" w:rsidRDefault="12585183" w:rsidP="001A2C04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B96C91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6966DE6C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75623D">
        <w:rPr>
          <w:rFonts w:ascii="Arial" w:hAnsi="Arial" w:cs="Arial"/>
          <w:sz w:val="20"/>
          <w:szCs w:val="20"/>
        </w:rPr>
        <w:t>P</w:t>
      </w:r>
      <w:r w:rsidR="002E6FBC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MNiSW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F1F896" w14:textId="77777777" w:rsidR="00C9739D" w:rsidRPr="00E77215" w:rsidRDefault="00C9739D" w:rsidP="00C9739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5EDA9AA3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036B3AB5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3B7DCEA" w14:textId="2A6FD4D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 xml:space="preserve">- wywieranie decydującego wpływu na działalność wnioskodawcy </w:t>
      </w:r>
      <w:r w:rsidR="005A1CE0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74A19585" w14:textId="0378B086" w:rsidR="00C9739D" w:rsidRPr="00C9739D" w:rsidRDefault="00C9739D" w:rsidP="00C9739D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2C1537FD" w14:textId="2CC03577" w:rsidR="00216E50" w:rsidRPr="001F3683" w:rsidRDefault="00216E50" w:rsidP="00D15380">
      <w:pPr>
        <w:pStyle w:val="Akapitzlist"/>
        <w:numPr>
          <w:ilvl w:val="0"/>
          <w:numId w:val="4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77B8D">
        <w:rPr>
          <w:rFonts w:ascii="Arial" w:hAnsi="Arial" w:cs="Arial"/>
          <w:b/>
          <w:bCs/>
          <w:sz w:val="20"/>
          <w:szCs w:val="20"/>
        </w:rPr>
        <w:t>środkach prywatnych</w:t>
      </w:r>
      <w:r w:rsidRPr="00C83739">
        <w:rPr>
          <w:rFonts w:ascii="Arial" w:hAnsi="Arial" w:cs="Arial"/>
          <w:sz w:val="20"/>
          <w:szCs w:val="20"/>
        </w:rPr>
        <w:t xml:space="preserve"> - należy przez to rozumieć wkład własny oraz środki finansowe, które będą zapewnione przez Beneficjenta</w:t>
      </w:r>
      <w:r>
        <w:rPr>
          <w:rFonts w:ascii="Arial" w:hAnsi="Arial" w:cs="Arial"/>
          <w:sz w:val="20"/>
          <w:szCs w:val="20"/>
        </w:rPr>
        <w:t xml:space="preserve"> </w:t>
      </w:r>
      <w:r w:rsidRPr="00C83739">
        <w:rPr>
          <w:rFonts w:ascii="Arial" w:hAnsi="Arial" w:cs="Arial"/>
          <w:sz w:val="20"/>
          <w:szCs w:val="20"/>
        </w:rPr>
        <w:t>na pokrycie wydatków niekwalifikowalnych</w:t>
      </w:r>
      <w:r>
        <w:rPr>
          <w:rFonts w:ascii="Arial" w:hAnsi="Arial" w:cs="Arial"/>
          <w:sz w:val="20"/>
          <w:szCs w:val="20"/>
        </w:rPr>
        <w:t>,</w:t>
      </w:r>
      <w:r w:rsidRPr="00C83739">
        <w:rPr>
          <w:rFonts w:ascii="Arial" w:hAnsi="Arial" w:cs="Arial"/>
          <w:sz w:val="20"/>
          <w:szCs w:val="20"/>
        </w:rPr>
        <w:t xml:space="preserve"> (różnica między kwotą wydatków ogółem Projektu a kwotą dofinansowania przekazaną Beneficjentowi)</w:t>
      </w:r>
      <w:r>
        <w:rPr>
          <w:rFonts w:ascii="Arial" w:hAnsi="Arial" w:cs="Arial"/>
          <w:sz w:val="20"/>
          <w:szCs w:val="20"/>
        </w:rPr>
        <w:t>;</w:t>
      </w:r>
    </w:p>
    <w:p w14:paraId="00997218" w14:textId="5E1EB30C" w:rsidR="000D6975" w:rsidRPr="00216E50" w:rsidRDefault="000D6975" w:rsidP="00216E50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</w:t>
      </w:r>
      <w:r w:rsidR="00216E50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16E50" w:rsidRPr="002754B5">
        <w:rPr>
          <w:rFonts w:ascii="Arial" w:hAnsi="Arial" w:cs="Arial"/>
          <w:sz w:val="20"/>
          <w:szCs w:val="20"/>
        </w:rPr>
        <w:t>które będą zapewnione</w:t>
      </w:r>
      <w:r w:rsidRPr="005D65B3">
        <w:rPr>
          <w:rFonts w:ascii="Arial" w:hAnsi="Arial" w:cs="Arial"/>
          <w:sz w:val="20"/>
          <w:szCs w:val="20"/>
        </w:rPr>
        <w:t xml:space="preserve">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  <w:r w:rsidR="00216E50">
        <w:rPr>
          <w:rFonts w:ascii="Arial" w:hAnsi="Arial" w:cs="Arial"/>
          <w:sz w:val="20"/>
          <w:szCs w:val="20"/>
        </w:rPr>
        <w:t xml:space="preserve"> </w:t>
      </w:r>
      <w:r w:rsidR="00216E50" w:rsidRPr="00475E92">
        <w:rPr>
          <w:rFonts w:ascii="Arial" w:hAnsi="Arial" w:cs="Arial"/>
          <w:sz w:val="20"/>
          <w:szCs w:val="20"/>
        </w:rPr>
        <w:t>wkład własny należy wnieść w formie pieniężnej</w:t>
      </w:r>
      <w:r w:rsidR="00216E50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A5FA6DA" w:rsidR="00BF1612" w:rsidRPr="005D65B3" w:rsidRDefault="00BF1612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8763A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 xml:space="preserve">przelewu na rachunek bankowy Beneficjenta – w przypadku, gdy w ramach rozliczenia wniosku o płatność końcową </w:t>
      </w:r>
      <w:r w:rsidRPr="005D65B3">
        <w:rPr>
          <w:rFonts w:ascii="Arial" w:hAnsi="Arial" w:cs="Arial"/>
          <w:sz w:val="20"/>
          <w:szCs w:val="20"/>
        </w:rPr>
        <w:lastRenderedPageBreak/>
        <w:t>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</w:p>
    <w:p w14:paraId="48F30AB5" w14:textId="0C2020C8" w:rsidR="00BF1612" w:rsidRPr="005D65B3" w:rsidRDefault="002479C4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2" w:name="_Hlk125728189"/>
      <w:r w:rsidRPr="005D65B3">
        <w:rPr>
          <w:rFonts w:cs="Arial"/>
        </w:rPr>
        <w:t>§ 15</w:t>
      </w:r>
      <w:bookmarkEnd w:id="22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254138EE" w:rsidR="007F70D6" w:rsidRPr="005D65B3" w:rsidRDefault="00216E50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„</w:t>
      </w:r>
      <w:r w:rsidR="007F70D6" w:rsidRPr="005D65B3">
        <w:rPr>
          <w:rFonts w:ascii="Arial" w:hAnsi="Arial"/>
          <w:b/>
          <w:bCs/>
          <w:sz w:val="20"/>
          <w:szCs w:val="20"/>
        </w:rPr>
        <w:t>rozporządzenia</w:t>
      </w:r>
      <w:r>
        <w:rPr>
          <w:rFonts w:ascii="Arial" w:hAnsi="Arial"/>
          <w:b/>
          <w:bCs/>
          <w:sz w:val="20"/>
          <w:szCs w:val="20"/>
        </w:rPr>
        <w:t xml:space="preserve"> FENG” </w:t>
      </w:r>
      <w:r w:rsidRPr="00D15380">
        <w:rPr>
          <w:rFonts w:ascii="Arial" w:hAnsi="Arial"/>
          <w:sz w:val="20"/>
          <w:szCs w:val="20"/>
        </w:rPr>
        <w:t>- rozporządzeni</w:t>
      </w:r>
      <w:r w:rsidR="006E5BAD">
        <w:rPr>
          <w:rFonts w:ascii="Arial" w:hAnsi="Arial"/>
          <w:sz w:val="20"/>
          <w:szCs w:val="20"/>
        </w:rPr>
        <w:t>a</w:t>
      </w:r>
      <w:r w:rsidR="007F70D6" w:rsidRPr="00D15380">
        <w:rPr>
          <w:rFonts w:ascii="Arial" w:hAnsi="Arial"/>
          <w:sz w:val="20"/>
          <w:szCs w:val="20"/>
        </w:rPr>
        <w:t xml:space="preserve"> Ministra Funduszy i Polityki Regionalnej</w:t>
      </w:r>
      <w:r w:rsidR="007F70D6"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</w:t>
      </w:r>
      <w:r w:rsidR="007F70D6" w:rsidRPr="005D65B3">
        <w:rPr>
          <w:rFonts w:ascii="Arial" w:hAnsi="Arial" w:cs="Arial"/>
          <w:sz w:val="20"/>
          <w:szCs w:val="20"/>
        </w:rPr>
        <w:t>;</w:t>
      </w:r>
    </w:p>
    <w:p w14:paraId="36FF58A0" w14:textId="5231B64F" w:rsidR="000A5E41" w:rsidRPr="00D458A6" w:rsidRDefault="000B59EC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</w:t>
      </w:r>
      <w:r w:rsidR="006E5BA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03641D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„Pzp”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3" w:name="_Hlk199934392"/>
      <w:bookmarkStart w:id="24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3"/>
      <w:r>
        <w:rPr>
          <w:rFonts w:ascii="Arial" w:hAnsi="Arial" w:cs="Arial"/>
          <w:sz w:val="20"/>
          <w:szCs w:val="20"/>
        </w:rPr>
        <w:t xml:space="preserve"> ustawy </w:t>
      </w:r>
      <w:bookmarkEnd w:id="24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EDD0F" w:rsidR="00E251C1" w:rsidRDefault="007B7E6B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="00216E50">
        <w:rPr>
          <w:rFonts w:ascii="Arial" w:hAnsi="Arial" w:cs="Arial"/>
          <w:b/>
          <w:bCs/>
          <w:sz w:val="20"/>
          <w:szCs w:val="20"/>
        </w:rPr>
        <w:t xml:space="preserve"> </w:t>
      </w:r>
      <w:r w:rsidR="00216E50" w:rsidRPr="00B566F0">
        <w:rPr>
          <w:rFonts w:ascii="Arial" w:hAnsi="Arial" w:cs="Arial"/>
          <w:b/>
          <w:bCs/>
          <w:sz w:val="20"/>
          <w:szCs w:val="20"/>
        </w:rPr>
        <w:t>(</w:t>
      </w:r>
      <w:r w:rsidR="00216E50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</w:t>
      </w:r>
      <w:r w:rsidR="00216E50" w:rsidRPr="00E610C1">
        <w:rPr>
          <w:rFonts w:ascii="Arial" w:hAnsi="Arial" w:cs="Arial"/>
          <w:sz w:val="20"/>
          <w:szCs w:val="20"/>
        </w:rPr>
        <w:t xml:space="preserve">z dnia 13 maja 2024 r. </w:t>
      </w:r>
      <w:r w:rsidR="00C068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216E50">
        <w:rPr>
          <w:rFonts w:ascii="Arial" w:hAnsi="Arial" w:cs="Arial"/>
          <w:sz w:val="20"/>
          <w:szCs w:val="20"/>
        </w:rPr>
        <w:t>;</w:t>
      </w:r>
    </w:p>
    <w:p w14:paraId="1586C3C4" w14:textId="77777777" w:rsidR="00216E50" w:rsidRPr="009A5C20" w:rsidRDefault="00216E50" w:rsidP="00216E50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t xml:space="preserve">„Wytycznych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35EFDA73" w14:textId="77777777" w:rsidR="00216E50" w:rsidRPr="005D65B3" w:rsidRDefault="00216E50" w:rsidP="001F3683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Umowę sporządzono i podpisano kwalifikowanymi podpisami elektronicznymi w systemie informatycznym.</w:t>
      </w:r>
    </w:p>
    <w:p w14:paraId="38ED15B0" w14:textId="1C5DC9E8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0A9C95F2" w:rsidR="008F6FE1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216E50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F44FC65" w:rsidR="00321393" w:rsidRDefault="004754E4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3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053981F3" w:rsidR="005E5DC8" w:rsidRPr="005E5DC8" w:rsidDel="00A172C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8A4C62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4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3F67" w14:textId="77777777" w:rsidR="00462398" w:rsidRDefault="00462398" w:rsidP="001F6437">
      <w:pPr>
        <w:spacing w:after="0" w:line="240" w:lineRule="auto"/>
      </w:pPr>
      <w:r>
        <w:separator/>
      </w:r>
    </w:p>
  </w:endnote>
  <w:endnote w:type="continuationSeparator" w:id="0">
    <w:p w14:paraId="6FF0E237" w14:textId="77777777" w:rsidR="00462398" w:rsidRDefault="00462398" w:rsidP="001F6437">
      <w:pPr>
        <w:spacing w:after="0" w:line="240" w:lineRule="auto"/>
      </w:pPr>
      <w:r>
        <w:continuationSeparator/>
      </w:r>
    </w:p>
  </w:endnote>
  <w:endnote w:type="continuationNotice" w:id="1">
    <w:p w14:paraId="71797AB6" w14:textId="77777777" w:rsidR="00462398" w:rsidRDefault="00462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127D" w14:textId="77777777" w:rsidR="00462398" w:rsidRDefault="00462398" w:rsidP="001F6437">
      <w:pPr>
        <w:spacing w:after="0" w:line="240" w:lineRule="auto"/>
      </w:pPr>
      <w:r>
        <w:separator/>
      </w:r>
    </w:p>
  </w:footnote>
  <w:footnote w:type="continuationSeparator" w:id="0">
    <w:p w14:paraId="776E3F0F" w14:textId="77777777" w:rsidR="00462398" w:rsidRDefault="00462398" w:rsidP="001F6437">
      <w:pPr>
        <w:spacing w:after="0" w:line="240" w:lineRule="auto"/>
      </w:pPr>
      <w:r>
        <w:continuationSeparator/>
      </w:r>
    </w:p>
  </w:footnote>
  <w:footnote w:type="continuationNotice" w:id="1">
    <w:p w14:paraId="5D7B39A8" w14:textId="77777777" w:rsidR="00462398" w:rsidRDefault="00462398">
      <w:pPr>
        <w:spacing w:after="0" w:line="240" w:lineRule="auto"/>
      </w:pPr>
    </w:p>
  </w:footnote>
  <w:footnote w:id="2">
    <w:p w14:paraId="07EEF5F9" w14:textId="73D01DE5" w:rsidR="00F7340C" w:rsidRPr="008A4C62" w:rsidRDefault="00F501E7" w:rsidP="008A4C6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8A4C62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  <w:r w:rsidR="005E6A35" w:rsidRPr="008A4C6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6B680EA" w14:textId="182F6B62" w:rsidR="006E7960" w:rsidRPr="008A4C62" w:rsidRDefault="006E7960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Kwota może ulec zmianie zgodnie z zasadami określonymi  w § 5 ust. 21</w:t>
      </w:r>
      <w:r w:rsidR="00F5291E"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Umowy</w:t>
      </w:r>
      <w:r w:rsidR="00F5291E" w:rsidRPr="008A4C62">
        <w:rPr>
          <w:rFonts w:ascii="Arial" w:hAnsi="Arial" w:cs="Arial"/>
          <w:sz w:val="16"/>
          <w:szCs w:val="16"/>
        </w:rPr>
        <w:t>.</w:t>
      </w:r>
    </w:p>
  </w:footnote>
  <w:footnote w:id="4">
    <w:p w14:paraId="57B033B2" w14:textId="2EE1D90D" w:rsidR="00B324DA" w:rsidRPr="008A4C62" w:rsidRDefault="00B324DA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eastAsiaTheme="minorHAnsi" w:hAnsi="Arial" w:cs="Arial"/>
          <w:sz w:val="16"/>
          <w:szCs w:val="16"/>
          <w:lang w:eastAsia="en-US"/>
        </w:rPr>
        <w:t>W przypadku braku dan</w:t>
      </w:r>
      <w:r w:rsidR="007C1C1B" w:rsidRPr="008A4C62">
        <w:rPr>
          <w:rFonts w:ascii="Arial" w:eastAsiaTheme="minorHAnsi" w:hAnsi="Arial" w:cs="Arial"/>
          <w:sz w:val="16"/>
          <w:szCs w:val="16"/>
          <w:lang w:eastAsia="en-US"/>
        </w:rPr>
        <w:t xml:space="preserve">ego </w:t>
      </w:r>
      <w:r w:rsidR="009D0143" w:rsidRPr="008A4C62">
        <w:rPr>
          <w:rFonts w:ascii="Arial" w:eastAsiaTheme="minorHAnsi" w:hAnsi="Arial" w:cs="Arial"/>
          <w:sz w:val="16"/>
          <w:szCs w:val="16"/>
          <w:lang w:eastAsia="en-US"/>
        </w:rPr>
        <w:t>rodzaju pomocy należy wpisać „0”.</w:t>
      </w:r>
    </w:p>
  </w:footnote>
  <w:footnote w:id="5">
    <w:p w14:paraId="3E5FF82D" w14:textId="17D0397D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  przypadku regulaminów pracy konieczne jest uwzględnienie przesłanek </w:t>
      </w:r>
      <w:r w:rsidR="000F620F" w:rsidRPr="008A4C62">
        <w:rPr>
          <w:rFonts w:ascii="Arial" w:hAnsi="Arial" w:cs="Arial"/>
          <w:sz w:val="16"/>
          <w:szCs w:val="16"/>
        </w:rPr>
        <w:t>w</w:t>
      </w:r>
      <w:r w:rsidRPr="008A4C62">
        <w:rPr>
          <w:rFonts w:ascii="Arial" w:hAnsi="Arial" w:cs="Arial"/>
          <w:sz w:val="16"/>
          <w:szCs w:val="16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8A4C62" w:rsidRDefault="004023C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</w:t>
      </w:r>
      <w:r w:rsidR="006727F0" w:rsidRPr="008A4C62">
        <w:rPr>
          <w:rFonts w:ascii="Arial" w:hAnsi="Arial" w:cs="Arial"/>
          <w:sz w:val="16"/>
          <w:szCs w:val="16"/>
        </w:rPr>
        <w:t>.</w:t>
      </w:r>
    </w:p>
  </w:footnote>
  <w:footnote w:id="7">
    <w:p w14:paraId="4A42BDBB" w14:textId="38AC7099" w:rsidR="009E4DB3" w:rsidRPr="008A4C62" w:rsidRDefault="009E4DB3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Wymóg dotyczy przypadku, kiedy sprawozdanie nie jest publikowane w ogólnodostępnych rejestrach.</w:t>
      </w:r>
    </w:p>
  </w:footnote>
  <w:footnote w:id="8">
    <w:p w14:paraId="68752FB3" w14:textId="49178540" w:rsidR="00B06BBD" w:rsidRPr="008A4C62" w:rsidRDefault="00B06BBD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  <w:vertAlign w:val="superscript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Wybrać właściwe</w:t>
      </w:r>
      <w:r w:rsidR="009206FF">
        <w:rPr>
          <w:rFonts w:ascii="Arial" w:hAnsi="Arial" w:cs="Arial"/>
          <w:sz w:val="16"/>
          <w:szCs w:val="16"/>
        </w:rPr>
        <w:t>.</w:t>
      </w:r>
    </w:p>
  </w:footnote>
  <w:footnote w:id="9">
    <w:p w14:paraId="41E4E309" w14:textId="0C3940A3" w:rsidR="00B06BBD" w:rsidRPr="008A4C62" w:rsidRDefault="00B06BBD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8A4C62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8A4C62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8A4C62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8A4C62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8A4C62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8A4C62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0">
    <w:p w14:paraId="3A2E6E87" w14:textId="35F34583" w:rsidR="00A24874" w:rsidRPr="008A4C62" w:rsidRDefault="00A24874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Wybrać właściwe.</w:t>
      </w:r>
    </w:p>
  </w:footnote>
  <w:footnote w:id="11">
    <w:p w14:paraId="16759BA0" w14:textId="66854391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 w:rsidRPr="008A4C62">
        <w:rPr>
          <w:rFonts w:ascii="Arial" w:hAnsi="Arial" w:cs="Arial"/>
          <w:sz w:val="16"/>
          <w:szCs w:val="16"/>
        </w:rPr>
        <w:t xml:space="preserve"> Beneficjent</w:t>
      </w:r>
      <w:r w:rsidRPr="008A4C62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 w:rsidRPr="008A4C62">
        <w:rPr>
          <w:rFonts w:ascii="Arial" w:hAnsi="Arial" w:cs="Arial"/>
          <w:sz w:val="16"/>
          <w:szCs w:val="16"/>
        </w:rPr>
        <w:t>P</w:t>
      </w:r>
      <w:r w:rsidRPr="008A4C62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2C67DFDD" w14:textId="7F706D63" w:rsidR="00BC453C" w:rsidRPr="008A4C62" w:rsidRDefault="00BC453C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Beneficjent </w:t>
      </w:r>
      <w:r w:rsidR="00810615" w:rsidRPr="008A4C62">
        <w:rPr>
          <w:rFonts w:ascii="Arial" w:hAnsi="Arial" w:cs="Arial"/>
          <w:sz w:val="16"/>
          <w:szCs w:val="16"/>
        </w:rPr>
        <w:t>mu</w:t>
      </w:r>
      <w:r w:rsidR="00263092" w:rsidRPr="008A4C62">
        <w:rPr>
          <w:rFonts w:ascii="Arial" w:hAnsi="Arial" w:cs="Arial"/>
          <w:sz w:val="16"/>
          <w:szCs w:val="16"/>
        </w:rPr>
        <w:t>s</w:t>
      </w:r>
      <w:r w:rsidR="000108BC" w:rsidRPr="008A4C62">
        <w:rPr>
          <w:rFonts w:ascii="Arial" w:hAnsi="Arial" w:cs="Arial"/>
          <w:sz w:val="16"/>
          <w:szCs w:val="16"/>
        </w:rPr>
        <w:t>i</w:t>
      </w:r>
      <w:r w:rsidR="00263092" w:rsidRPr="008A4C62">
        <w:rPr>
          <w:rFonts w:ascii="Arial" w:hAnsi="Arial" w:cs="Arial"/>
          <w:sz w:val="16"/>
          <w:szCs w:val="16"/>
        </w:rPr>
        <w:t xml:space="preserve"> być</w:t>
      </w:r>
      <w:r w:rsidR="00EB3872" w:rsidRPr="008A4C62">
        <w:rPr>
          <w:rFonts w:ascii="Arial" w:hAnsi="Arial" w:cs="Arial"/>
          <w:sz w:val="16"/>
          <w:szCs w:val="16"/>
        </w:rPr>
        <w:t xml:space="preserve"> kontrolowan</w:t>
      </w:r>
      <w:r w:rsidR="000108BC" w:rsidRPr="008A4C62">
        <w:rPr>
          <w:rFonts w:ascii="Arial" w:hAnsi="Arial" w:cs="Arial"/>
          <w:sz w:val="16"/>
          <w:szCs w:val="16"/>
        </w:rPr>
        <w:t>y</w:t>
      </w:r>
      <w:r w:rsidR="00C9739D" w:rsidRPr="008A4C62">
        <w:rPr>
          <w:rFonts w:ascii="Arial" w:hAnsi="Arial" w:cs="Arial"/>
          <w:sz w:val="16"/>
          <w:szCs w:val="16"/>
        </w:rPr>
        <w:t xml:space="preserve"> </w:t>
      </w:r>
      <w:r w:rsidR="00C01326" w:rsidRPr="008A4C62">
        <w:rPr>
          <w:rFonts w:ascii="Arial" w:hAnsi="Arial" w:cs="Arial"/>
          <w:sz w:val="16"/>
          <w:szCs w:val="16"/>
        </w:rPr>
        <w:t xml:space="preserve">(musi być sprawowana kontrola) </w:t>
      </w:r>
      <w:r w:rsidR="007563EA" w:rsidRPr="008A4C6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8A4C62">
        <w:rPr>
          <w:rFonts w:ascii="Arial" w:hAnsi="Arial" w:cs="Arial"/>
          <w:sz w:val="16"/>
          <w:szCs w:val="16"/>
        </w:rPr>
        <w:t>państwa</w:t>
      </w:r>
      <w:r w:rsidR="00232B9E" w:rsidRPr="008A4C62">
        <w:rPr>
          <w:rFonts w:ascii="Arial" w:hAnsi="Arial" w:cs="Arial"/>
          <w:sz w:val="16"/>
          <w:szCs w:val="16"/>
        </w:rPr>
        <w:t xml:space="preserve"> należącego do</w:t>
      </w:r>
      <w:r w:rsidR="00EB3872" w:rsidRPr="008A4C62">
        <w:rPr>
          <w:rFonts w:ascii="Arial" w:hAnsi="Arial" w:cs="Arial"/>
          <w:sz w:val="16"/>
          <w:szCs w:val="16"/>
        </w:rPr>
        <w:t xml:space="preserve"> </w:t>
      </w:r>
      <w:r w:rsidR="000333C0" w:rsidRPr="008A4C62">
        <w:rPr>
          <w:rFonts w:ascii="Arial" w:hAnsi="Arial" w:cs="Arial"/>
          <w:sz w:val="16"/>
          <w:szCs w:val="16"/>
        </w:rPr>
        <w:t>UE.</w:t>
      </w:r>
      <w:r w:rsidR="007563EA"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 xml:space="preserve"> </w:t>
      </w:r>
    </w:p>
  </w:footnote>
  <w:footnote w:id="19">
    <w:p w14:paraId="05865597" w14:textId="24D9A318" w:rsidR="00CB46CC" w:rsidRPr="00066C70" w:rsidRDefault="00CB46CC" w:rsidP="00CB46C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6C70">
        <w:rPr>
          <w:rFonts w:ascii="Arial" w:hAnsi="Arial" w:cs="Arial"/>
          <w:sz w:val="16"/>
          <w:szCs w:val="16"/>
        </w:rPr>
        <w:t>Warunek jest obligatoryjny, jeśli w</w:t>
      </w:r>
      <w:r>
        <w:rPr>
          <w:rFonts w:ascii="Arial" w:hAnsi="Arial" w:cs="Arial"/>
          <w:sz w:val="16"/>
          <w:szCs w:val="16"/>
        </w:rPr>
        <w:t>nioskodawca</w:t>
      </w:r>
      <w:r w:rsidRPr="00066C70">
        <w:rPr>
          <w:rFonts w:ascii="Arial" w:hAnsi="Arial" w:cs="Arial"/>
          <w:sz w:val="16"/>
          <w:szCs w:val="16"/>
        </w:rPr>
        <w:t xml:space="preserve"> zadeklarował we </w:t>
      </w:r>
      <w:r>
        <w:rPr>
          <w:rFonts w:ascii="Arial" w:hAnsi="Arial" w:cs="Arial"/>
          <w:sz w:val="16"/>
          <w:szCs w:val="16"/>
        </w:rPr>
        <w:t>w</w:t>
      </w:r>
      <w:r w:rsidRPr="00066C70">
        <w:rPr>
          <w:rFonts w:ascii="Arial" w:hAnsi="Arial" w:cs="Arial"/>
          <w:sz w:val="16"/>
          <w:szCs w:val="16"/>
        </w:rPr>
        <w:t>niosku o dofinansowanie miejsce wdrożenia wyników na terytorium RP i otrzymał za to dodatkow</w:t>
      </w:r>
      <w:r>
        <w:rPr>
          <w:rFonts w:ascii="Arial" w:hAnsi="Arial" w:cs="Arial"/>
          <w:sz w:val="16"/>
          <w:szCs w:val="16"/>
        </w:rPr>
        <w:t>e</w:t>
      </w:r>
      <w:r w:rsidRPr="00066C70">
        <w:rPr>
          <w:rFonts w:ascii="Arial" w:hAnsi="Arial" w:cs="Arial"/>
          <w:sz w:val="16"/>
          <w:szCs w:val="16"/>
        </w:rPr>
        <w:t xml:space="preserve"> punkt</w:t>
      </w:r>
      <w:r>
        <w:rPr>
          <w:rFonts w:ascii="Arial" w:hAnsi="Arial" w:cs="Arial"/>
          <w:sz w:val="16"/>
          <w:szCs w:val="16"/>
        </w:rPr>
        <w:t>y</w:t>
      </w:r>
      <w:r w:rsidRPr="00066C7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066C70">
        <w:rPr>
          <w:rFonts w:ascii="Arial" w:hAnsi="Arial" w:cs="Arial"/>
          <w:sz w:val="16"/>
          <w:szCs w:val="16"/>
        </w:rPr>
        <w:t xml:space="preserve"> ocenie</w:t>
      </w:r>
      <w:r>
        <w:rPr>
          <w:rFonts w:ascii="Arial" w:hAnsi="Arial" w:cs="Arial"/>
          <w:sz w:val="16"/>
          <w:szCs w:val="16"/>
        </w:rPr>
        <w:t>.</w:t>
      </w:r>
    </w:p>
  </w:footnote>
  <w:footnote w:id="20">
    <w:p w14:paraId="421EF7F3" w14:textId="77777777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Cena może zostać uznana za rynkową, jeśli: </w:t>
      </w:r>
    </w:p>
    <w:p w14:paraId="391AF693" w14:textId="5112CF66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a)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jej wysokość określono w drodze otwartej, przejrzystej i niedyskryminacyjnej konkurencyjnej procedury udzielenia licencji; lub</w:t>
      </w:r>
    </w:p>
    <w:p w14:paraId="5A724250" w14:textId="1E9A91E4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b)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wycena niezależnego eksperta potwierdza, że cena jest co najmniej równa wartości rynkowej; lub</w:t>
      </w:r>
    </w:p>
    <w:p w14:paraId="38D84EA2" w14:textId="43CF5D42" w:rsidR="00731010" w:rsidRPr="008A4C62" w:rsidRDefault="00731010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</w:rPr>
        <w:t>c)</w:t>
      </w:r>
      <w:r w:rsid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1">
    <w:p w14:paraId="71F7047E" w14:textId="58663ACC" w:rsidR="00B32451" w:rsidRPr="008A4C62" w:rsidRDefault="00B32451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3E7E27" w:rsidRPr="008A4C62">
        <w:rPr>
          <w:rFonts w:ascii="Arial" w:hAnsi="Arial" w:cs="Arial"/>
          <w:sz w:val="16"/>
          <w:szCs w:val="16"/>
        </w:rPr>
        <w:t xml:space="preserve">Załącznik nr </w:t>
      </w:r>
      <w:r w:rsidR="00F74386" w:rsidRPr="008A4C62">
        <w:rPr>
          <w:rFonts w:ascii="Arial" w:hAnsi="Arial" w:cs="Arial"/>
          <w:sz w:val="16"/>
          <w:szCs w:val="16"/>
        </w:rPr>
        <w:t>8</w:t>
      </w:r>
      <w:r w:rsidR="003E7E27" w:rsidRPr="008A4C6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2">
    <w:p w14:paraId="34E7090C" w14:textId="77777777" w:rsidR="00C64303" w:rsidRPr="008A4C62" w:rsidRDefault="00C64303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3">
    <w:p w14:paraId="37510329" w14:textId="783DA548" w:rsidR="00B23E8E" w:rsidRPr="008A4C62" w:rsidRDefault="00B23E8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 w:rsidRPr="008A4C62">
        <w:rPr>
          <w:rFonts w:ascii="Arial" w:hAnsi="Arial" w:cs="Arial"/>
          <w:sz w:val="16"/>
          <w:szCs w:val="16"/>
        </w:rPr>
        <w:t>Beneficjent</w:t>
      </w:r>
      <w:r w:rsidRPr="008A4C62">
        <w:rPr>
          <w:rFonts w:ascii="Arial" w:hAnsi="Arial" w:cs="Arial"/>
          <w:sz w:val="16"/>
          <w:szCs w:val="16"/>
        </w:rPr>
        <w:t xml:space="preserve"> nie rozpoczęli działań w </w:t>
      </w:r>
      <w:r w:rsidR="00EA0058" w:rsidRPr="008A4C62">
        <w:rPr>
          <w:rFonts w:ascii="Arial" w:hAnsi="Arial" w:cs="Arial"/>
          <w:sz w:val="16"/>
          <w:szCs w:val="16"/>
        </w:rPr>
        <w:t>P</w:t>
      </w:r>
      <w:r w:rsidRPr="008A4C62">
        <w:rPr>
          <w:rFonts w:ascii="Arial" w:hAnsi="Arial" w:cs="Arial"/>
          <w:sz w:val="16"/>
          <w:szCs w:val="16"/>
        </w:rPr>
        <w:t xml:space="preserve">rojekcie przed lub w dniu złożenia wniosku. </w:t>
      </w:r>
    </w:p>
  </w:footnote>
  <w:footnote w:id="24">
    <w:p w14:paraId="39F30E2B" w14:textId="77777777" w:rsidR="00B23E8E" w:rsidRPr="008A4C62" w:rsidRDefault="00B23E8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Zwiększenie dofinansowania uregulowane w ust. 21 nie narusza efektu zachęty.</w:t>
      </w:r>
    </w:p>
  </w:footnote>
  <w:footnote w:id="25">
    <w:p w14:paraId="3C734C08" w14:textId="77777777" w:rsidR="00B23E8E" w:rsidRPr="008A4C62" w:rsidRDefault="00B23E8E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stawką ryczałtową.</w:t>
      </w:r>
    </w:p>
  </w:footnote>
  <w:footnote w:id="26">
    <w:p w14:paraId="37B5D7FC" w14:textId="23B63C4A" w:rsidR="00F86BF2" w:rsidRDefault="00F86B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C20">
        <w:rPr>
          <w:rFonts w:ascii="Arial" w:hAnsi="Arial" w:cs="Arial"/>
          <w:sz w:val="16"/>
          <w:szCs w:val="16"/>
        </w:rPr>
        <w:t>Premia określona w § 14 ust. 1 pkt 3 lit. b) rozporządzenia FENG.</w:t>
      </w:r>
    </w:p>
  </w:footnote>
  <w:footnote w:id="27">
    <w:p w14:paraId="7026C1BA" w14:textId="4799D613" w:rsidR="00F86BF2" w:rsidRDefault="00F86B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>Premia określona w § 14 ust. 1 pkt 3 lit. d) rozporządzenia FENG.</w:t>
      </w:r>
    </w:p>
  </w:footnote>
  <w:footnote w:id="28">
    <w:p w14:paraId="6E02D665" w14:textId="458EA618" w:rsidR="00F86BF2" w:rsidRPr="001F3683" w:rsidRDefault="00F86BF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>Premia określona w § 14 ust. 1 pkt 4 rozporządzenia FENG.</w:t>
      </w:r>
    </w:p>
  </w:footnote>
  <w:footnote w:id="29">
    <w:p w14:paraId="0FE33A9A" w14:textId="697AECBA" w:rsidR="00E93939" w:rsidRPr="008A4C62" w:rsidRDefault="00E9393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 przypadku zmiany miejsca realizacji </w:t>
      </w:r>
      <w:r w:rsidR="00F42A36" w:rsidRPr="008A4C62">
        <w:rPr>
          <w:rFonts w:ascii="Arial" w:hAnsi="Arial" w:cs="Arial"/>
          <w:sz w:val="16"/>
          <w:szCs w:val="16"/>
        </w:rPr>
        <w:t>prac</w:t>
      </w:r>
      <w:r w:rsidRPr="008A4C6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8A4C62">
        <w:rPr>
          <w:rFonts w:ascii="Arial" w:hAnsi="Arial" w:cs="Arial"/>
          <w:sz w:val="16"/>
          <w:szCs w:val="16"/>
        </w:rPr>
        <w:t xml:space="preserve">art. 25 ust. 6 </w:t>
      </w:r>
      <w:r w:rsidRPr="008A4C62">
        <w:rPr>
          <w:rFonts w:ascii="Arial" w:hAnsi="Arial" w:cs="Arial"/>
          <w:sz w:val="16"/>
          <w:szCs w:val="16"/>
        </w:rPr>
        <w:t xml:space="preserve">lit. c </w:t>
      </w:r>
      <w:r w:rsidR="005719BC" w:rsidRPr="008A4C62">
        <w:rPr>
          <w:rFonts w:ascii="Arial" w:hAnsi="Arial" w:cs="Arial"/>
          <w:sz w:val="16"/>
          <w:szCs w:val="16"/>
        </w:rPr>
        <w:t>r</w:t>
      </w:r>
      <w:r w:rsidRPr="008A4C6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30">
    <w:p w14:paraId="0DBF0677" w14:textId="65C8E0E4" w:rsidR="00F86BF2" w:rsidRPr="001F3683" w:rsidRDefault="00F86BF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3683">
        <w:rPr>
          <w:rFonts w:ascii="Arial" w:hAnsi="Arial" w:cs="Arial"/>
          <w:sz w:val="16"/>
          <w:szCs w:val="16"/>
        </w:rPr>
        <w:t>Beneficjent nie może przeznaczać otrzymanego dofinansowania na cele inne niż związane z Projektem, w szczególności na tymczasowe finansowanie swojej podstawowej, pozaprojektowej działalności.</w:t>
      </w:r>
    </w:p>
  </w:footnote>
  <w:footnote w:id="31">
    <w:p w14:paraId="737BA692" w14:textId="582DE522" w:rsidR="00873E49" w:rsidRPr="008A4C62" w:rsidRDefault="00873E49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Poziom transzy zaliczki  zostanie zmniejszony w przypadku wskazania przez eksperta, na etapie oceny wniosku</w:t>
      </w:r>
      <w:r w:rsidR="005719BC" w:rsidRPr="008A4C62">
        <w:rPr>
          <w:rFonts w:ascii="Arial" w:hAnsi="Arial" w:cs="Arial"/>
          <w:sz w:val="16"/>
          <w:szCs w:val="16"/>
        </w:rPr>
        <w:t xml:space="preserve"> o dofinansowanie</w:t>
      </w:r>
      <w:r w:rsidRPr="008A4C62">
        <w:rPr>
          <w:rFonts w:ascii="Arial" w:hAnsi="Arial" w:cs="Arial"/>
          <w:sz w:val="16"/>
          <w:szCs w:val="16"/>
        </w:rPr>
        <w:t>, niższego poziomu transzy zaliczki.</w:t>
      </w:r>
    </w:p>
  </w:footnote>
  <w:footnote w:id="32">
    <w:p w14:paraId="3DC99C37" w14:textId="07DEF36B" w:rsidR="00CF2E47" w:rsidRPr="008A4C62" w:rsidRDefault="00CF2E47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Z zastrzeżeniem </w:t>
      </w:r>
      <w:r w:rsidR="008A6BAA" w:rsidRPr="008A4C62">
        <w:rPr>
          <w:rFonts w:ascii="Arial" w:hAnsi="Arial" w:cs="Arial"/>
          <w:sz w:val="16"/>
          <w:szCs w:val="16"/>
        </w:rPr>
        <w:t>postanowień</w:t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8A6BAA" w:rsidRPr="008A4C62">
        <w:rPr>
          <w:rFonts w:ascii="Arial" w:hAnsi="Arial" w:cs="Arial"/>
          <w:sz w:val="16"/>
          <w:szCs w:val="16"/>
        </w:rPr>
        <w:t>§</w:t>
      </w:r>
      <w:r w:rsidRPr="008A4C62">
        <w:rPr>
          <w:rFonts w:ascii="Arial" w:hAnsi="Arial" w:cs="Arial"/>
          <w:sz w:val="16"/>
          <w:szCs w:val="16"/>
        </w:rPr>
        <w:t xml:space="preserve"> 5b ust. 1</w:t>
      </w:r>
      <w:r w:rsidR="008A6BAA" w:rsidRPr="008A4C62">
        <w:rPr>
          <w:rFonts w:ascii="Arial" w:hAnsi="Arial" w:cs="Arial"/>
          <w:sz w:val="16"/>
          <w:szCs w:val="16"/>
        </w:rPr>
        <w:t xml:space="preserve"> Umowy</w:t>
      </w:r>
      <w:r w:rsidRPr="008A4C62">
        <w:rPr>
          <w:rFonts w:ascii="Arial" w:hAnsi="Arial" w:cs="Arial"/>
          <w:sz w:val="16"/>
          <w:szCs w:val="16"/>
        </w:rPr>
        <w:t>.</w:t>
      </w:r>
    </w:p>
  </w:footnote>
  <w:footnote w:id="33">
    <w:p w14:paraId="1ADCC777" w14:textId="4A82E9B9" w:rsidR="00FE56FB" w:rsidRPr="008A4C62" w:rsidRDefault="00FE56F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C33906" w:rsidRPr="008A4C62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4">
    <w:p w14:paraId="32E731C3" w14:textId="05234014" w:rsidR="002D67F7" w:rsidRPr="008A4C62" w:rsidRDefault="002D67F7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Po uwzględnieniu </w:t>
      </w:r>
      <w:r w:rsidR="00E34CA4" w:rsidRPr="008A4C62">
        <w:rPr>
          <w:rFonts w:ascii="Arial" w:hAnsi="Arial" w:cs="Arial"/>
          <w:sz w:val="16"/>
          <w:szCs w:val="16"/>
        </w:rPr>
        <w:t xml:space="preserve">poziomu </w:t>
      </w:r>
      <w:r w:rsidRPr="008A4C62">
        <w:rPr>
          <w:rFonts w:ascii="Arial" w:hAnsi="Arial" w:cs="Arial"/>
          <w:sz w:val="16"/>
          <w:szCs w:val="16"/>
        </w:rPr>
        <w:t>dofinansowania przyznanego Beneficjentowi</w:t>
      </w:r>
      <w:r w:rsidR="002F74BE" w:rsidRPr="008A4C62">
        <w:rPr>
          <w:rFonts w:ascii="Arial" w:hAnsi="Arial" w:cs="Arial"/>
          <w:sz w:val="16"/>
          <w:szCs w:val="16"/>
        </w:rPr>
        <w:t>.</w:t>
      </w:r>
    </w:p>
  </w:footnote>
  <w:footnote w:id="35">
    <w:p w14:paraId="0360DC34" w14:textId="6C6635E5" w:rsidR="00AB6B7E" w:rsidRPr="008A4C62" w:rsidRDefault="00AB6B7E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6D0845" w:rsidRPr="008A4C62">
        <w:rPr>
          <w:rFonts w:ascii="Arial" w:hAnsi="Arial" w:cs="Arial"/>
          <w:sz w:val="16"/>
          <w:szCs w:val="16"/>
        </w:rPr>
        <w:t>Okres odpowiadający okresowi trwałości wynosi</w:t>
      </w:r>
      <w:r w:rsidR="00F324AC" w:rsidRPr="008A4C62">
        <w:rPr>
          <w:rFonts w:ascii="Arial" w:hAnsi="Arial" w:cs="Arial"/>
          <w:sz w:val="16"/>
          <w:szCs w:val="16"/>
        </w:rPr>
        <w:t xml:space="preserve"> 3 lata od zakończenia realizacji Projektu dla beneficjentów będących MŚP/</w:t>
      </w:r>
      <w:r w:rsidR="006D0845" w:rsidRPr="008A4C62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 w:rsidRPr="008A4C62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8A4C62">
        <w:rPr>
          <w:rFonts w:ascii="Arial" w:hAnsi="Arial" w:cs="Arial"/>
          <w:sz w:val="16"/>
          <w:szCs w:val="16"/>
        </w:rPr>
        <w:t xml:space="preserve">. </w:t>
      </w:r>
    </w:p>
  </w:footnote>
  <w:footnote w:id="36">
    <w:p w14:paraId="5DE134A2" w14:textId="22DEDCC5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7">
    <w:p w14:paraId="23F76E37" w14:textId="5A03DF05" w:rsidR="00490400" w:rsidRPr="008A4C62" w:rsidRDefault="00490400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Wzór sprawozdania zostanie udostępniony na stronie internetowej Instytucji.</w:t>
      </w:r>
    </w:p>
  </w:footnote>
  <w:footnote w:id="38">
    <w:p w14:paraId="57577304" w14:textId="77777777" w:rsidR="00C44992" w:rsidRPr="008A4C62" w:rsidRDefault="00C44992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Jeśli Beneficjent nie posiada profilu na mediach społecznościowych, zobowiązany jest do założenia przynajmniej jednego takiego profilu.</w:t>
      </w:r>
    </w:p>
  </w:footnote>
  <w:footnote w:id="39">
    <w:p w14:paraId="42C2034D" w14:textId="3A238ABB" w:rsidR="004B3FA8" w:rsidRPr="008A4C62" w:rsidRDefault="004B3FA8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Dotyczy publikacji w mediach społecznościowych</w:t>
      </w:r>
      <w:r w:rsidR="0077552F" w:rsidRPr="008A4C62">
        <w:rPr>
          <w:rFonts w:ascii="Arial" w:hAnsi="Arial" w:cs="Arial"/>
          <w:sz w:val="16"/>
          <w:szCs w:val="16"/>
        </w:rPr>
        <w:t>.</w:t>
      </w:r>
    </w:p>
  </w:footnote>
  <w:footnote w:id="40">
    <w:p w14:paraId="73DFB15A" w14:textId="52B9D48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 w:rsidRPr="008A4C62">
        <w:rPr>
          <w:rFonts w:ascii="Arial" w:hAnsi="Arial" w:cs="Arial"/>
          <w:sz w:val="16"/>
          <w:szCs w:val="16"/>
        </w:rPr>
        <w:t>P</w:t>
      </w:r>
      <w:r w:rsidR="009D514C" w:rsidRPr="008A4C62">
        <w:rPr>
          <w:rFonts w:ascii="Arial" w:hAnsi="Arial" w:cs="Arial"/>
          <w:sz w:val="16"/>
          <w:szCs w:val="16"/>
        </w:rPr>
        <w:t>rogramu</w:t>
      </w:r>
      <w:r w:rsidRPr="008A4C62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 w:rsidRPr="008A4C62">
        <w:rPr>
          <w:rFonts w:ascii="Arial" w:hAnsi="Arial" w:cs="Arial"/>
          <w:sz w:val="16"/>
          <w:szCs w:val="16"/>
        </w:rPr>
        <w:t>.</w:t>
      </w:r>
    </w:p>
  </w:footnote>
  <w:footnote w:id="41">
    <w:p w14:paraId="598D0A97" w14:textId="266B11BC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42">
    <w:p w14:paraId="16739C7E" w14:textId="53FE305D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Dotyczy Projektów o </w:t>
      </w:r>
      <w:r w:rsidR="00E9432E" w:rsidRPr="008A4C62">
        <w:rPr>
          <w:rFonts w:ascii="Arial" w:hAnsi="Arial" w:cs="Arial"/>
          <w:sz w:val="16"/>
          <w:szCs w:val="16"/>
        </w:rPr>
        <w:t xml:space="preserve">całkowitym </w:t>
      </w:r>
      <w:r w:rsidRPr="008A4C62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3">
    <w:p w14:paraId="0FDD54C0" w14:textId="169194A2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44">
    <w:p w14:paraId="3908F4AF" w14:textId="62A4F0C7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5">
    <w:p w14:paraId="34BF4DCF" w14:textId="6D3B97D8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6">
    <w:p w14:paraId="573D6F19" w14:textId="1DC3FC4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7">
    <w:p w14:paraId="39138061" w14:textId="7DCDAA81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8">
    <w:p w14:paraId="3C30CE19" w14:textId="42AFC63F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49">
    <w:p w14:paraId="5ABCEE73" w14:textId="4B3D172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wydatków rozliczanych w sposób uproszczony. </w:t>
      </w:r>
    </w:p>
  </w:footnote>
  <w:footnote w:id="50">
    <w:p w14:paraId="6FFDA485" w14:textId="55A65198" w:rsidR="00757C16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C8280A" w:rsidRPr="008A4C62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 w:rsidRPr="008A4C62">
        <w:rPr>
          <w:rFonts w:ascii="Arial" w:hAnsi="Arial" w:cs="Arial"/>
          <w:sz w:val="16"/>
          <w:szCs w:val="16"/>
        </w:rPr>
        <w:t xml:space="preserve">Beneficjentem </w:t>
      </w:r>
      <w:r w:rsidR="00FE407E" w:rsidRPr="008A4C62">
        <w:rPr>
          <w:rFonts w:ascii="Arial" w:hAnsi="Arial" w:cs="Arial"/>
          <w:sz w:val="16"/>
          <w:szCs w:val="16"/>
        </w:rPr>
        <w:t>jest</w:t>
      </w:r>
      <w:r w:rsidR="00EC5F03" w:rsidRPr="008A4C62">
        <w:rPr>
          <w:rFonts w:ascii="Arial" w:hAnsi="Arial" w:cs="Arial"/>
          <w:sz w:val="16"/>
          <w:szCs w:val="16"/>
        </w:rPr>
        <w:t xml:space="preserve"> </w:t>
      </w:r>
      <w:r w:rsidR="00C8280A" w:rsidRPr="008A4C62">
        <w:rPr>
          <w:rFonts w:ascii="Arial" w:hAnsi="Arial" w:cs="Arial"/>
          <w:sz w:val="16"/>
          <w:szCs w:val="16"/>
        </w:rPr>
        <w:t>podmiot zależn</w:t>
      </w:r>
      <w:r w:rsidR="00FE407E" w:rsidRPr="008A4C62">
        <w:rPr>
          <w:rFonts w:ascii="Arial" w:hAnsi="Arial" w:cs="Arial"/>
          <w:sz w:val="16"/>
          <w:szCs w:val="16"/>
        </w:rPr>
        <w:t>y</w:t>
      </w:r>
      <w:r w:rsidR="00C8280A" w:rsidRPr="008A4C62">
        <w:rPr>
          <w:rFonts w:ascii="Arial" w:hAnsi="Arial" w:cs="Arial"/>
          <w:sz w:val="16"/>
          <w:szCs w:val="16"/>
        </w:rPr>
        <w:t xml:space="preserve"> lub kontrolowan</w:t>
      </w:r>
      <w:r w:rsidR="00FE407E" w:rsidRPr="008A4C62">
        <w:rPr>
          <w:rFonts w:ascii="Arial" w:hAnsi="Arial" w:cs="Arial"/>
          <w:sz w:val="16"/>
          <w:szCs w:val="16"/>
        </w:rPr>
        <w:t>y</w:t>
      </w:r>
      <w:r w:rsidR="00C8280A" w:rsidRPr="008A4C62">
        <w:rPr>
          <w:rFonts w:ascii="Arial" w:hAnsi="Arial" w:cs="Arial"/>
          <w:sz w:val="16"/>
          <w:szCs w:val="16"/>
        </w:rPr>
        <w:t xml:space="preserve"> </w:t>
      </w:r>
      <w:r w:rsidR="00EC5F03" w:rsidRPr="008A4C62">
        <w:rPr>
          <w:rFonts w:ascii="Arial" w:hAnsi="Arial" w:cs="Arial"/>
          <w:sz w:val="16"/>
          <w:szCs w:val="16"/>
        </w:rPr>
        <w:t>przez</w:t>
      </w:r>
      <w:r w:rsidR="00C8280A" w:rsidRPr="008A4C62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</w:p>
  </w:footnote>
  <w:footnote w:id="51">
    <w:p w14:paraId="1618828B" w14:textId="4B06502D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  <w:lang w:eastAsia="en-US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52">
    <w:p w14:paraId="328D9238" w14:textId="77777777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  <w:lang w:eastAsia="en-US"/>
        </w:rPr>
      </w:pP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53">
    <w:p w14:paraId="7C2F2EB4" w14:textId="44E6100F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W przypadku</w:t>
      </w:r>
      <w:r w:rsidR="009D514C" w:rsidRPr="008A4C62">
        <w:rPr>
          <w:rFonts w:ascii="Arial" w:hAnsi="Arial" w:cs="Arial"/>
          <w:sz w:val="16"/>
          <w:szCs w:val="16"/>
          <w:lang w:eastAsia="en-US"/>
        </w:rPr>
        <w:t>,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4">
    <w:p w14:paraId="391FB0B8" w14:textId="43B25EF9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Jeżeli weksel jest podpisywany przez pełnomocnika</w:t>
      </w:r>
      <w:r w:rsidR="009D514C" w:rsidRPr="008A4C62">
        <w:rPr>
          <w:rFonts w:ascii="Arial" w:hAnsi="Arial" w:cs="Arial"/>
          <w:sz w:val="16"/>
          <w:szCs w:val="16"/>
          <w:lang w:eastAsia="en-US"/>
        </w:rPr>
        <w:t>,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5">
    <w:p w14:paraId="009EF36A" w14:textId="1C740E33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8A4C62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Zgodnie z art.78</w:t>
      </w:r>
      <w:r w:rsidR="006E5BAD">
        <w:rPr>
          <w:rFonts w:ascii="Arial" w:hAnsi="Arial" w:cs="Arial"/>
          <w:sz w:val="16"/>
          <w:szCs w:val="16"/>
          <w:vertAlign w:val="superscript"/>
          <w:lang w:eastAsia="en-US"/>
        </w:rPr>
        <w:t>1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 §  1.</w:t>
      </w:r>
      <w:r w:rsidRPr="008A4C62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56">
    <w:p w14:paraId="5BD589CE" w14:textId="49682B1C" w:rsidR="00DB708B" w:rsidRPr="008A4C62" w:rsidRDefault="00DB708B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 xml:space="preserve">Granica 25% wartości kwoty danej kategorii kosztów </w:t>
      </w:r>
      <w:r w:rsidR="00E67835" w:rsidRPr="008A4C62">
        <w:rPr>
          <w:rFonts w:ascii="Arial" w:hAnsi="Arial" w:cs="Arial"/>
          <w:sz w:val="16"/>
          <w:szCs w:val="16"/>
          <w:lang w:eastAsia="en-US"/>
        </w:rPr>
        <w:t xml:space="preserve">FENG </w:t>
      </w:r>
      <w:r w:rsidRPr="008A4C62">
        <w:rPr>
          <w:rFonts w:ascii="Arial" w:hAnsi="Arial" w:cs="Arial"/>
          <w:sz w:val="16"/>
          <w:szCs w:val="16"/>
          <w:lang w:eastAsia="en-US"/>
        </w:rPr>
        <w:t>jest zawsze określana w stosunku do pierwotnego Harmonogramu rzeczowo-finansowego.</w:t>
      </w:r>
    </w:p>
  </w:footnote>
  <w:footnote w:id="57">
    <w:p w14:paraId="2288B795" w14:textId="77777777" w:rsidR="00251E0F" w:rsidRPr="008A4C62" w:rsidRDefault="00251E0F" w:rsidP="008A4C6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58">
    <w:p w14:paraId="4BDFF050" w14:textId="526FE416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 w:rsidRPr="008A4C62">
        <w:rPr>
          <w:rFonts w:ascii="Arial" w:hAnsi="Arial" w:cs="Arial"/>
          <w:sz w:val="16"/>
          <w:szCs w:val="16"/>
        </w:rPr>
        <w:t>.</w:t>
      </w:r>
    </w:p>
  </w:footnote>
  <w:footnote w:id="59">
    <w:p w14:paraId="1D47F065" w14:textId="2D85AA22" w:rsidR="00DB708B" w:rsidRPr="008A4C62" w:rsidRDefault="00DB708B" w:rsidP="008A4C6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Pr="008A4C62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 w:rsidRPr="008A4C62">
        <w:rPr>
          <w:rFonts w:ascii="Arial" w:hAnsi="Arial" w:cs="Arial"/>
          <w:sz w:val="16"/>
          <w:szCs w:val="16"/>
          <w:lang w:eastAsia="pl-PL"/>
        </w:rPr>
        <w:t>zgłoszoną przez Beneficjenta zgodnie z procedurą zgłaszania osoby uprawnionej zarządzającej projektem po stronie Beneficjenta, stanowiącej Załącznik nr 4  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8A4C62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0">
    <w:p w14:paraId="199EC20F" w14:textId="3AE46EC4" w:rsidR="006B7AE6" w:rsidRPr="008A4C62" w:rsidRDefault="006B7AE6" w:rsidP="008A4C62">
      <w:pPr>
        <w:pStyle w:val="Tekstprzypisudolnego"/>
        <w:spacing w:before="60"/>
        <w:rPr>
          <w:rFonts w:ascii="Arial" w:eastAsiaTheme="minorHAnsi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</w:t>
      </w:r>
      <w:r w:rsidR="00407C22" w:rsidRPr="008A4C62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8A4C62">
        <w:rPr>
          <w:rFonts w:ascii="Arial" w:eastAsiaTheme="minorHAnsi" w:hAnsi="Arial" w:cs="Arial"/>
          <w:sz w:val="16"/>
          <w:szCs w:val="16"/>
        </w:rPr>
        <w:t xml:space="preserve">. </w:t>
      </w:r>
    </w:p>
  </w:footnote>
  <w:footnote w:id="61">
    <w:p w14:paraId="6BDE10BB" w14:textId="40B09BC8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Dzień uznania rachunku Beneficjenta.</w:t>
      </w:r>
    </w:p>
  </w:footnote>
  <w:footnote w:id="62">
    <w:p w14:paraId="5145D89B" w14:textId="4BF89B0E" w:rsidR="00DB708B" w:rsidRPr="008A4C62" w:rsidRDefault="00DB708B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3">
    <w:p w14:paraId="10106909" w14:textId="0426747C" w:rsidR="00254F0F" w:rsidRPr="008A4C62" w:rsidRDefault="00254F0F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Instytucja zastrzega sobie możliwość powierzenia podmiotom zewnętrznym czynności w zakresie zweryfikowania informacji zawartych w oświadczeniu.</w:t>
      </w:r>
    </w:p>
  </w:footnote>
  <w:footnote w:id="64">
    <w:p w14:paraId="6E8C7C5D" w14:textId="3887CCA0" w:rsidR="00FC4D37" w:rsidRPr="008A4C62" w:rsidRDefault="00FC4D37" w:rsidP="008A4C6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A4C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4C62">
        <w:rPr>
          <w:rFonts w:ascii="Arial" w:hAnsi="Arial" w:cs="Arial"/>
          <w:sz w:val="16"/>
          <w:szCs w:val="16"/>
        </w:rPr>
        <w:t xml:space="preserve"> Oświadczenie składa </w:t>
      </w:r>
      <w:r w:rsidR="00F82DB8" w:rsidRPr="008A4C62">
        <w:rPr>
          <w:rFonts w:ascii="Arial" w:hAnsi="Arial" w:cs="Arial"/>
          <w:sz w:val="16"/>
          <w:szCs w:val="16"/>
        </w:rPr>
        <w:t>Beneficjent</w:t>
      </w:r>
      <w:r w:rsidRPr="008A4C62">
        <w:rPr>
          <w:rFonts w:ascii="Arial" w:hAnsi="Arial" w:cs="Arial"/>
          <w:sz w:val="16"/>
          <w:szCs w:val="16"/>
        </w:rPr>
        <w:t xml:space="preserve">, </w:t>
      </w:r>
      <w:r w:rsidR="00F82DB8" w:rsidRPr="008A4C62">
        <w:rPr>
          <w:rFonts w:ascii="Arial" w:hAnsi="Arial" w:cs="Arial"/>
          <w:sz w:val="16"/>
          <w:szCs w:val="16"/>
        </w:rPr>
        <w:t xml:space="preserve">o ile </w:t>
      </w:r>
      <w:r w:rsidRPr="008A4C6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E3137C"/>
    <w:multiLevelType w:val="hybridMultilevel"/>
    <w:tmpl w:val="602A8C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8B952B1"/>
    <w:multiLevelType w:val="hybridMultilevel"/>
    <w:tmpl w:val="31B68C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9225177">
    <w:abstractNumId w:val="58"/>
  </w:num>
  <w:num w:numId="2" w16cid:durableId="327364902">
    <w:abstractNumId w:val="45"/>
  </w:num>
  <w:num w:numId="3" w16cid:durableId="846402360">
    <w:abstractNumId w:val="44"/>
  </w:num>
  <w:num w:numId="4" w16cid:durableId="895899686">
    <w:abstractNumId w:val="34"/>
  </w:num>
  <w:num w:numId="5" w16cid:durableId="1677802557">
    <w:abstractNumId w:val="32"/>
  </w:num>
  <w:num w:numId="6" w16cid:durableId="310214641">
    <w:abstractNumId w:val="4"/>
  </w:num>
  <w:num w:numId="7" w16cid:durableId="622152227">
    <w:abstractNumId w:val="27"/>
  </w:num>
  <w:num w:numId="8" w16cid:durableId="25062001">
    <w:abstractNumId w:val="36"/>
  </w:num>
  <w:num w:numId="9" w16cid:durableId="1202788137">
    <w:abstractNumId w:val="12"/>
  </w:num>
  <w:num w:numId="10" w16cid:durableId="1884563266">
    <w:abstractNumId w:val="16"/>
  </w:num>
  <w:num w:numId="11" w16cid:durableId="1061517665">
    <w:abstractNumId w:val="55"/>
  </w:num>
  <w:num w:numId="12" w16cid:durableId="840313858">
    <w:abstractNumId w:val="53"/>
  </w:num>
  <w:num w:numId="13" w16cid:durableId="402723810">
    <w:abstractNumId w:val="56"/>
  </w:num>
  <w:num w:numId="14" w16cid:durableId="201284322">
    <w:abstractNumId w:val="25"/>
  </w:num>
  <w:num w:numId="15" w16cid:durableId="176668418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192916">
    <w:abstractNumId w:val="40"/>
  </w:num>
  <w:num w:numId="17" w16cid:durableId="1706757083">
    <w:abstractNumId w:val="8"/>
  </w:num>
  <w:num w:numId="18" w16cid:durableId="1222016574">
    <w:abstractNumId w:val="42"/>
  </w:num>
  <w:num w:numId="19" w16cid:durableId="1311984595">
    <w:abstractNumId w:val="26"/>
  </w:num>
  <w:num w:numId="20" w16cid:durableId="1033267061">
    <w:abstractNumId w:val="10"/>
  </w:num>
  <w:num w:numId="21" w16cid:durableId="200093906">
    <w:abstractNumId w:val="1"/>
  </w:num>
  <w:num w:numId="22" w16cid:durableId="1493061386">
    <w:abstractNumId w:val="9"/>
  </w:num>
  <w:num w:numId="23" w16cid:durableId="1868372939">
    <w:abstractNumId w:val="6"/>
  </w:num>
  <w:num w:numId="24" w16cid:durableId="641033982">
    <w:abstractNumId w:val="33"/>
  </w:num>
  <w:num w:numId="25" w16cid:durableId="1254823990">
    <w:abstractNumId w:val="48"/>
  </w:num>
  <w:num w:numId="26" w16cid:durableId="1739935509">
    <w:abstractNumId w:val="41"/>
  </w:num>
  <w:num w:numId="27" w16cid:durableId="1440298264">
    <w:abstractNumId w:val="17"/>
  </w:num>
  <w:num w:numId="28" w16cid:durableId="1169760038">
    <w:abstractNumId w:val="18"/>
  </w:num>
  <w:num w:numId="29" w16cid:durableId="478347754">
    <w:abstractNumId w:val="7"/>
  </w:num>
  <w:num w:numId="30" w16cid:durableId="2123912720">
    <w:abstractNumId w:val="0"/>
  </w:num>
  <w:num w:numId="31" w16cid:durableId="744960537">
    <w:abstractNumId w:val="22"/>
  </w:num>
  <w:num w:numId="32" w16cid:durableId="1856310971">
    <w:abstractNumId w:val="15"/>
  </w:num>
  <w:num w:numId="33" w16cid:durableId="1343895355">
    <w:abstractNumId w:val="52"/>
  </w:num>
  <w:num w:numId="34" w16cid:durableId="865289150">
    <w:abstractNumId w:val="43"/>
  </w:num>
  <w:num w:numId="35" w16cid:durableId="1727952084">
    <w:abstractNumId w:val="51"/>
  </w:num>
  <w:num w:numId="36" w16cid:durableId="1132750073">
    <w:abstractNumId w:val="50"/>
  </w:num>
  <w:num w:numId="37" w16cid:durableId="1083798136">
    <w:abstractNumId w:val="39"/>
  </w:num>
  <w:num w:numId="38" w16cid:durableId="1880774948">
    <w:abstractNumId w:val="31"/>
  </w:num>
  <w:num w:numId="39" w16cid:durableId="1298797702">
    <w:abstractNumId w:val="49"/>
  </w:num>
  <w:num w:numId="40" w16cid:durableId="1032462654">
    <w:abstractNumId w:val="37"/>
  </w:num>
  <w:num w:numId="41" w16cid:durableId="1755735514">
    <w:abstractNumId w:val="5"/>
  </w:num>
  <w:num w:numId="42" w16cid:durableId="1985154482">
    <w:abstractNumId w:val="47"/>
  </w:num>
  <w:num w:numId="43" w16cid:durableId="1846901583">
    <w:abstractNumId w:val="20"/>
  </w:num>
  <w:num w:numId="44" w16cid:durableId="959261363">
    <w:abstractNumId w:val="13"/>
  </w:num>
  <w:num w:numId="45" w16cid:durableId="1473326378">
    <w:abstractNumId w:val="38"/>
  </w:num>
  <w:num w:numId="46" w16cid:durableId="1562130477">
    <w:abstractNumId w:val="29"/>
  </w:num>
  <w:num w:numId="47" w16cid:durableId="1571963764">
    <w:abstractNumId w:val="46"/>
  </w:num>
  <w:num w:numId="48" w16cid:durableId="1307392338">
    <w:abstractNumId w:val="14"/>
  </w:num>
  <w:num w:numId="49" w16cid:durableId="1136140570">
    <w:abstractNumId w:val="3"/>
  </w:num>
  <w:num w:numId="50" w16cid:durableId="2017531335">
    <w:abstractNumId w:val="11"/>
  </w:num>
  <w:num w:numId="51" w16cid:durableId="1539707421">
    <w:abstractNumId w:val="35"/>
  </w:num>
  <w:num w:numId="52" w16cid:durableId="1998143485">
    <w:abstractNumId w:val="28"/>
  </w:num>
  <w:num w:numId="53" w16cid:durableId="489054919">
    <w:abstractNumId w:val="24"/>
  </w:num>
  <w:num w:numId="54" w16cid:durableId="49042266">
    <w:abstractNumId w:val="2"/>
  </w:num>
  <w:num w:numId="55" w16cid:durableId="1985424614">
    <w:abstractNumId w:val="21"/>
  </w:num>
  <w:num w:numId="56" w16cid:durableId="185367967">
    <w:abstractNumId w:val="57"/>
  </w:num>
  <w:num w:numId="57" w16cid:durableId="248539589">
    <w:abstractNumId w:val="23"/>
  </w:num>
  <w:num w:numId="58" w16cid:durableId="1344472749">
    <w:abstractNumId w:val="19"/>
  </w:num>
  <w:num w:numId="59" w16cid:durableId="796534311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8BC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3C0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41D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B8D"/>
    <w:rsid w:val="00077E71"/>
    <w:rsid w:val="00080107"/>
    <w:rsid w:val="00080294"/>
    <w:rsid w:val="00080907"/>
    <w:rsid w:val="00080ACD"/>
    <w:rsid w:val="00080BA6"/>
    <w:rsid w:val="00080E27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40E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2F"/>
    <w:rsid w:val="000B754E"/>
    <w:rsid w:val="000B7598"/>
    <w:rsid w:val="000C006F"/>
    <w:rsid w:val="000C0284"/>
    <w:rsid w:val="000C0524"/>
    <w:rsid w:val="000C09B1"/>
    <w:rsid w:val="000C0DB5"/>
    <w:rsid w:val="000C1342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01A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05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1F99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2C04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B8F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83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26D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E50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9D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9A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62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48B9"/>
    <w:rsid w:val="002A5276"/>
    <w:rsid w:val="002A5327"/>
    <w:rsid w:val="002A55C8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6FBC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599"/>
    <w:rsid w:val="002F4A04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9A1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4D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97EDA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25C"/>
    <w:rsid w:val="003B573A"/>
    <w:rsid w:val="003B59A9"/>
    <w:rsid w:val="003B66B2"/>
    <w:rsid w:val="003B70A3"/>
    <w:rsid w:val="003B731E"/>
    <w:rsid w:val="003B755A"/>
    <w:rsid w:val="003B7802"/>
    <w:rsid w:val="003B783C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717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C22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CA5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257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398"/>
    <w:rsid w:val="00462731"/>
    <w:rsid w:val="0046283F"/>
    <w:rsid w:val="00462F94"/>
    <w:rsid w:val="004630FF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63A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0C9"/>
    <w:rsid w:val="004C4480"/>
    <w:rsid w:val="004C454D"/>
    <w:rsid w:val="004C47CC"/>
    <w:rsid w:val="004C4EE4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F4"/>
    <w:rsid w:val="004D1860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24A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1CE0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26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4C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941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49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963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15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5BAD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23D"/>
    <w:rsid w:val="007563EA"/>
    <w:rsid w:val="007564D7"/>
    <w:rsid w:val="00756B64"/>
    <w:rsid w:val="00756F29"/>
    <w:rsid w:val="0075715C"/>
    <w:rsid w:val="00757B29"/>
    <w:rsid w:val="00757BAC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2E4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038"/>
    <w:rsid w:val="007B65C4"/>
    <w:rsid w:val="007B7787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40B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478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6E6A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4FC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1C9F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4C62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B7EA6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266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65B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2D32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6FF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49B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15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47EC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92F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B4B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657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4DB3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3"/>
    <w:rsid w:val="00A22FFC"/>
    <w:rsid w:val="00A2326C"/>
    <w:rsid w:val="00A2334F"/>
    <w:rsid w:val="00A234B6"/>
    <w:rsid w:val="00A239C5"/>
    <w:rsid w:val="00A24484"/>
    <w:rsid w:val="00A2487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C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6E3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6F6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0F61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72B"/>
    <w:rsid w:val="00AC7889"/>
    <w:rsid w:val="00AC7A07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4C6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2DE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89C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87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8BA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2FF8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6C91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EBA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01C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683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326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CF1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22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AB9"/>
    <w:rsid w:val="00C30C5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31B6"/>
    <w:rsid w:val="00C8360A"/>
    <w:rsid w:val="00C838F8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EF3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39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294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46CC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5DFC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BF2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80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859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37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2D49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6B7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C7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1C3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7A3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E27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CCA"/>
    <w:rsid w:val="00ED1D3A"/>
    <w:rsid w:val="00ED1F83"/>
    <w:rsid w:val="00ED235B"/>
    <w:rsid w:val="00ED31AD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0F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D95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5CD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74DA"/>
    <w:rsid w:val="00F774F7"/>
    <w:rsid w:val="00F77743"/>
    <w:rsid w:val="00F77928"/>
    <w:rsid w:val="00F77C94"/>
    <w:rsid w:val="00F802D1"/>
    <w:rsid w:val="00F802EC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BF2"/>
    <w:rsid w:val="00F86C34"/>
    <w:rsid w:val="00F87261"/>
    <w:rsid w:val="00F87C8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4EDF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3BE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ABE844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AD02E-BF55-463E-96BD-D006CA46F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12511</Words>
  <Characters>75071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Dorota Mróz-Kaproń</cp:lastModifiedBy>
  <cp:revision>4</cp:revision>
  <cp:lastPrinted>2023-11-15T12:27:00Z</cp:lastPrinted>
  <dcterms:created xsi:type="dcterms:W3CDTF">2026-04-16T14:17:00Z</dcterms:created>
  <dcterms:modified xsi:type="dcterms:W3CDTF">2026-04-21T13:35:00Z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