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62" w:rsidRDefault="005467CB">
      <w:pPr>
        <w:pStyle w:val="Bodytext10"/>
        <w:spacing w:after="0"/>
      </w:pPr>
      <w:r>
        <w:rPr>
          <w:rStyle w:val="Bodytext1"/>
        </w:rPr>
        <w:t>Podstawa prawna:</w:t>
      </w:r>
    </w:p>
    <w:p w:rsidR="00576562" w:rsidRDefault="005467CB">
      <w:pPr>
        <w:pStyle w:val="Bodytext10"/>
        <w:spacing w:after="940"/>
      </w:pPr>
      <w:r w:rsidRPr="00883E3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z dnia 11 lipca 2014 r. o petycjach (Dz.U. 2014 poz. 1195)</w:t>
      </w:r>
    </w:p>
    <w:p w:rsidR="00576562" w:rsidRDefault="005467CB">
      <w:pPr>
        <w:pStyle w:val="Bodytext10"/>
      </w:pPr>
      <w:r>
        <w:rPr>
          <w:rStyle w:val="Bodytext1"/>
        </w:rPr>
        <w:t>Petycja</w:t>
      </w:r>
    </w:p>
    <w:p w:rsidR="00576562" w:rsidRDefault="005467CB">
      <w:pPr>
        <w:pStyle w:val="Bodytext10"/>
        <w:spacing w:after="360"/>
      </w:pPr>
      <w:r>
        <w:rPr>
          <w:rStyle w:val="Bodytext1"/>
        </w:rPr>
        <w:t xml:space="preserve">Działając na podstawie </w:t>
      </w:r>
      <w:r w:rsidRPr="00883E3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o petycjach, wnoszę o:</w:t>
      </w:r>
    </w:p>
    <w:p w:rsidR="00576562" w:rsidRDefault="005467CB">
      <w:pPr>
        <w:pStyle w:val="Bodytext10"/>
      </w:pPr>
      <w:r>
        <w:rPr>
          <w:rStyle w:val="Bodytext1"/>
        </w:rPr>
        <w:t xml:space="preserve">dokonanie </w:t>
      </w:r>
      <w:bookmarkStart w:id="0" w:name="_GoBack"/>
      <w:r>
        <w:rPr>
          <w:rStyle w:val="Bodytext1"/>
        </w:rPr>
        <w:t xml:space="preserve">zmiany wzoru wniosku o transkrypcję zagranicznego aktu małżeństwa, udostępnianego na stronie Rządowego Centrum Administracji </w:t>
      </w:r>
      <w:r w:rsidRPr="00883E3A">
        <w:rPr>
          <w:rStyle w:val="Bodytext1"/>
          <w:lang w:eastAsia="en-US" w:bidi="en-US"/>
        </w:rPr>
        <w:t xml:space="preserve">(gov.pl), </w:t>
      </w:r>
      <w:r>
        <w:rPr>
          <w:rStyle w:val="Bodytext1"/>
        </w:rPr>
        <w:t>poprzez zastąpienie w formularzu słów „kobieta”, „mężczyzna”, „mąż”, „żona” neutralnym słowem „małżonek”</w:t>
      </w:r>
      <w:bookmarkEnd w:id="0"/>
      <w:r>
        <w:rPr>
          <w:rStyle w:val="Bodytext1"/>
        </w:rPr>
        <w:t>.</w:t>
      </w:r>
    </w:p>
    <w:p w:rsidR="00576562" w:rsidRDefault="005467CB">
      <w:pPr>
        <w:pStyle w:val="Bodytext10"/>
        <w:spacing w:after="0"/>
      </w:pPr>
      <w:r>
        <w:rPr>
          <w:rStyle w:val="Bodytext1"/>
        </w:rPr>
        <w:t>Wzór,</w:t>
      </w:r>
      <w:r>
        <w:rPr>
          <w:rStyle w:val="Bodytext1"/>
        </w:rPr>
        <w:t xml:space="preserve"> o którym mowa, jest dostępny pod adresem:</w:t>
      </w:r>
    </w:p>
    <w:p w:rsidR="00576562" w:rsidRDefault="005467CB">
      <w:pPr>
        <w:pStyle w:val="Bodytext10"/>
        <w:spacing w:after="940"/>
      </w:pPr>
      <w:hyperlink r:id="rId7" w:history="1">
        <w:r w:rsidRPr="00883E3A">
          <w:rPr>
            <w:rStyle w:val="Bodytext1"/>
            <w:u w:val="single"/>
            <w:lang w:eastAsia="en-US" w:bidi="en-US"/>
          </w:rPr>
          <w:t>https://www.gov.pl/web/rpa/transkrypcja-zagranicznego-aktu-malzenstwa</w:t>
        </w:r>
      </w:hyperlink>
    </w:p>
    <w:p w:rsidR="00576562" w:rsidRDefault="005467CB">
      <w:pPr>
        <w:pStyle w:val="Bodytext10"/>
      </w:pPr>
      <w:r>
        <w:rPr>
          <w:rStyle w:val="Bodytext1"/>
        </w:rPr>
        <w:t>Uzasadnienie</w:t>
      </w:r>
    </w:p>
    <w:p w:rsidR="00576562" w:rsidRDefault="005467CB">
      <w:pPr>
        <w:pStyle w:val="Bodytext10"/>
      </w:pPr>
      <w:r>
        <w:rPr>
          <w:rStyle w:val="Bodytext1"/>
        </w:rPr>
        <w:t>W dniu 6 listopada 2025 r. Trybunał Sprawiedli</w:t>
      </w:r>
      <w:r>
        <w:rPr>
          <w:rStyle w:val="Bodytext1"/>
        </w:rPr>
        <w:t>wości Unii Europejskiej wydał wyrok w sprawie dotyczącej nieuznawania małżeństw jednopłciowych zawartych w innym państwie członkowskim. W komunikacie prasowym nr 147/25 (sygn. CP250147PL) opublikowanym przez TSUE podkreślono, że:</w:t>
      </w:r>
    </w:p>
    <w:p w:rsidR="00576562" w:rsidRDefault="005467CB">
      <w:pPr>
        <w:pStyle w:val="Bodytext10"/>
        <w:numPr>
          <w:ilvl w:val="0"/>
          <w:numId w:val="1"/>
        </w:numPr>
        <w:tabs>
          <w:tab w:val="left" w:pos="715"/>
        </w:tabs>
        <w:ind w:left="700" w:hanging="260"/>
      </w:pPr>
      <w:r>
        <w:rPr>
          <w:rStyle w:val="Bodytext1"/>
        </w:rPr>
        <w:t>państwa członkowskie, niez</w:t>
      </w:r>
      <w:r>
        <w:rPr>
          <w:rStyle w:val="Bodytext1"/>
        </w:rPr>
        <w:t>ależnie od ich wewnętrznej definicji małżeństwa, nie mogą odmawiać skutków cywilnych małżeństw zawartych zgodnie z prawem innego państwa członkowskiego;</w:t>
      </w:r>
    </w:p>
    <w:p w:rsidR="00576562" w:rsidRDefault="005467CB">
      <w:pPr>
        <w:pStyle w:val="Bodytext10"/>
        <w:numPr>
          <w:ilvl w:val="0"/>
          <w:numId w:val="1"/>
        </w:numPr>
        <w:tabs>
          <w:tab w:val="left" w:pos="715"/>
        </w:tabs>
        <w:ind w:left="700" w:hanging="260"/>
      </w:pPr>
      <w:r>
        <w:rPr>
          <w:rStyle w:val="Bodytext1"/>
        </w:rPr>
        <w:t xml:space="preserve">odmowa uznania małżeństwa jednopłciowego narusza zasady swobodnego przepływu osób wynikające z </w:t>
      </w:r>
      <w:r w:rsidRPr="00883E3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21 </w:t>
      </w:r>
      <w:r>
        <w:rPr>
          <w:rStyle w:val="Bodytext1"/>
        </w:rPr>
        <w:t>TFUE;</w:t>
      </w:r>
    </w:p>
    <w:p w:rsidR="00576562" w:rsidRDefault="005467CB">
      <w:pPr>
        <w:pStyle w:val="Bodytext10"/>
        <w:numPr>
          <w:ilvl w:val="0"/>
          <w:numId w:val="1"/>
        </w:numPr>
        <w:tabs>
          <w:tab w:val="left" w:pos="715"/>
        </w:tabs>
        <w:ind w:left="700" w:hanging="260"/>
      </w:pPr>
      <w:r>
        <w:rPr>
          <w:rStyle w:val="Bodytext1"/>
        </w:rPr>
        <w:t>państwa członkowskie są zobowiązane zapewnić obywatelom Unii i ich rodzinom skuteczną możliwość realizacji praw wynikających z małżeństwa, na potrzeby postępowań administracyjnych, w tym związanych z aktami stanu cywilnego.</w:t>
      </w:r>
    </w:p>
    <w:p w:rsidR="00576562" w:rsidRDefault="005467CB">
      <w:pPr>
        <w:pStyle w:val="Bodytext10"/>
      </w:pPr>
      <w:r>
        <w:rPr>
          <w:rStyle w:val="Bodytext1"/>
        </w:rPr>
        <w:t>Wobec powyższego obowiązuj</w:t>
      </w:r>
      <w:r>
        <w:rPr>
          <w:rStyle w:val="Bodytext1"/>
        </w:rPr>
        <w:t>ące w Polsce wzory urzędowe, w tym wzór wniosku o transkrypcję zagranicznego aktu małżeństwa, powinny umożliwiać korzystanie z tych praw wszystkim obywatelom, w tym pozostającym w małżeństwach jednopłciowych zawartych za granicą.</w:t>
      </w:r>
    </w:p>
    <w:p w:rsidR="00576562" w:rsidRDefault="005467CB">
      <w:pPr>
        <w:pStyle w:val="Bodytext10"/>
      </w:pPr>
      <w:r>
        <w:rPr>
          <w:rStyle w:val="Bodytext1"/>
        </w:rPr>
        <w:t>Aktualny formularz przewid</w:t>
      </w:r>
      <w:r>
        <w:rPr>
          <w:rStyle w:val="Bodytext1"/>
        </w:rPr>
        <w:t>uje wyłącznie kategorię „mąż-żona” i zakłada z góry różnopłciowość małżonków, co:</w:t>
      </w:r>
    </w:p>
    <w:p w:rsidR="00576562" w:rsidRDefault="005467CB">
      <w:pPr>
        <w:pStyle w:val="Bodytext10"/>
        <w:numPr>
          <w:ilvl w:val="0"/>
          <w:numId w:val="2"/>
        </w:numPr>
        <w:tabs>
          <w:tab w:val="left" w:pos="750"/>
        </w:tabs>
        <w:ind w:firstLine="420"/>
      </w:pPr>
      <w:r>
        <w:rPr>
          <w:rStyle w:val="Bodytext1"/>
        </w:rPr>
        <w:t>pozostaje sprzeczne z wyrokiem TSUE z listopada 2025 r.,</w:t>
      </w:r>
    </w:p>
    <w:p w:rsidR="00576562" w:rsidRDefault="005467CB">
      <w:pPr>
        <w:pStyle w:val="Bodytext10"/>
        <w:numPr>
          <w:ilvl w:val="0"/>
          <w:numId w:val="2"/>
        </w:numPr>
        <w:tabs>
          <w:tab w:val="left" w:pos="778"/>
        </w:tabs>
        <w:ind w:firstLine="420"/>
      </w:pPr>
      <w:r>
        <w:rPr>
          <w:rStyle w:val="Bodytext1"/>
        </w:rPr>
        <w:t>może prowadzić do niezgodnej z prawem unijnym odmowy przyjmowania wniosków,</w:t>
      </w:r>
    </w:p>
    <w:p w:rsidR="00576562" w:rsidRDefault="005467CB">
      <w:pPr>
        <w:pStyle w:val="Bodytext10"/>
        <w:numPr>
          <w:ilvl w:val="0"/>
          <w:numId w:val="2"/>
        </w:numPr>
        <w:tabs>
          <w:tab w:val="left" w:pos="771"/>
        </w:tabs>
        <w:ind w:firstLine="420"/>
      </w:pPr>
      <w:r>
        <w:rPr>
          <w:rStyle w:val="Bodytext1"/>
        </w:rPr>
        <w:t>narusza zasadę równego traktowania obywat</w:t>
      </w:r>
      <w:r>
        <w:rPr>
          <w:rStyle w:val="Bodytext1"/>
        </w:rPr>
        <w:t>eli w dostępie do procedur administracyjnych.</w:t>
      </w:r>
    </w:p>
    <w:p w:rsidR="00576562" w:rsidRDefault="005467CB">
      <w:pPr>
        <w:pStyle w:val="Bodytext10"/>
      </w:pPr>
      <w:r>
        <w:rPr>
          <w:rStyle w:val="Bodytext1"/>
        </w:rPr>
        <w:t>Zastąpienie kategorii płciowych neutralnym pojęciem „małżonek”:</w:t>
      </w:r>
    </w:p>
    <w:p w:rsidR="00576562" w:rsidRDefault="005467CB">
      <w:pPr>
        <w:pStyle w:val="Bodytext10"/>
        <w:numPr>
          <w:ilvl w:val="0"/>
          <w:numId w:val="3"/>
        </w:numPr>
        <w:tabs>
          <w:tab w:val="left" w:pos="686"/>
        </w:tabs>
        <w:ind w:firstLine="420"/>
      </w:pPr>
      <w:r>
        <w:rPr>
          <w:rStyle w:val="Bodytext1"/>
        </w:rPr>
        <w:t>nie wymaga zmiany polskiej definicji małżeństwa,</w:t>
      </w:r>
    </w:p>
    <w:p w:rsidR="00576562" w:rsidRDefault="005467CB">
      <w:pPr>
        <w:pStyle w:val="Bodytext10"/>
        <w:numPr>
          <w:ilvl w:val="0"/>
          <w:numId w:val="3"/>
        </w:numPr>
        <w:tabs>
          <w:tab w:val="left" w:pos="686"/>
        </w:tabs>
        <w:ind w:firstLine="420"/>
      </w:pPr>
      <w:r>
        <w:rPr>
          <w:rStyle w:val="Bodytext1"/>
        </w:rPr>
        <w:t>jest prostą i techniczną modyfikacją wzoru dokumentu,</w:t>
      </w:r>
    </w:p>
    <w:p w:rsidR="00576562" w:rsidRDefault="005467CB">
      <w:pPr>
        <w:pStyle w:val="Bodytext10"/>
        <w:numPr>
          <w:ilvl w:val="0"/>
          <w:numId w:val="3"/>
        </w:numPr>
        <w:tabs>
          <w:tab w:val="left" w:pos="686"/>
        </w:tabs>
        <w:ind w:firstLine="420"/>
      </w:pPr>
      <w:r>
        <w:rPr>
          <w:rStyle w:val="Bodytext1"/>
        </w:rPr>
        <w:t xml:space="preserve">pozwala administracji rządowej wykonywać </w:t>
      </w:r>
      <w:r>
        <w:rPr>
          <w:rStyle w:val="Bodytext1"/>
        </w:rPr>
        <w:t>obowiązki wynikające z prawa UE,</w:t>
      </w:r>
    </w:p>
    <w:p w:rsidR="00576562" w:rsidRDefault="005467CB">
      <w:pPr>
        <w:pStyle w:val="Bodytext10"/>
        <w:numPr>
          <w:ilvl w:val="0"/>
          <w:numId w:val="3"/>
        </w:numPr>
        <w:tabs>
          <w:tab w:val="left" w:pos="715"/>
        </w:tabs>
        <w:ind w:left="700" w:hanging="260"/>
      </w:pPr>
      <w:r>
        <w:rPr>
          <w:rStyle w:val="Bodytext1"/>
        </w:rPr>
        <w:t>gwarantuje obywatelom możliwość transkrypcji aktów małżeństwa zgodnie z prawem unijnym.</w:t>
      </w:r>
      <w:r>
        <w:br w:type="page"/>
      </w:r>
    </w:p>
    <w:p w:rsidR="00576562" w:rsidRDefault="005467CB">
      <w:pPr>
        <w:pStyle w:val="Bodytext10"/>
        <w:spacing w:after="940"/>
      </w:pPr>
      <w:r>
        <w:rPr>
          <w:rStyle w:val="Bodytext1"/>
        </w:rPr>
        <w:lastRenderedPageBreak/>
        <w:t>W związku z powyższym wnoszę o dostosowanie wzoru formularza do wyroku TSUE.</w:t>
      </w:r>
    </w:p>
    <w:p w:rsidR="00576562" w:rsidRDefault="005467CB">
      <w:pPr>
        <w:pStyle w:val="Bodytext10"/>
        <w:spacing w:after="580" w:line="346" w:lineRule="auto"/>
      </w:pPr>
      <w:r>
        <w:rPr>
          <w:rStyle w:val="Bodytext1"/>
        </w:rPr>
        <w:t xml:space="preserve">Wnoszę o udzielenie odpowiedzi na adres: </w:t>
      </w:r>
    </w:p>
    <w:p w:rsidR="00576562" w:rsidRDefault="005467CB">
      <w:pPr>
        <w:pStyle w:val="Bodytext10"/>
        <w:spacing w:after="280" w:line="346" w:lineRule="auto"/>
      </w:pPr>
      <w:r>
        <w:rPr>
          <w:rStyle w:val="Bodytext1"/>
        </w:rPr>
        <w:t>Z poważaniem</w:t>
      </w:r>
    </w:p>
    <w:p w:rsidR="00576562" w:rsidRDefault="00576562">
      <w:pPr>
        <w:pStyle w:val="Bodytext10"/>
        <w:spacing w:after="0" w:line="346" w:lineRule="auto"/>
      </w:pPr>
    </w:p>
    <w:sectPr w:rsidR="00576562">
      <w:pgSz w:w="11900" w:h="16840"/>
      <w:pgMar w:top="1141" w:right="1112" w:bottom="1215" w:left="1112" w:header="713" w:footer="7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CB" w:rsidRDefault="005467CB">
      <w:r>
        <w:separator/>
      </w:r>
    </w:p>
  </w:endnote>
  <w:endnote w:type="continuationSeparator" w:id="0">
    <w:p w:rsidR="005467CB" w:rsidRDefault="0054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CB" w:rsidRDefault="005467CB"/>
  </w:footnote>
  <w:footnote w:type="continuationSeparator" w:id="0">
    <w:p w:rsidR="005467CB" w:rsidRDefault="005467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B02"/>
    <w:multiLevelType w:val="multilevel"/>
    <w:tmpl w:val="5BD695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A95EEF"/>
    <w:multiLevelType w:val="multilevel"/>
    <w:tmpl w:val="91B42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3D0E54"/>
    <w:multiLevelType w:val="multilevel"/>
    <w:tmpl w:val="D80831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62"/>
    <w:rsid w:val="005467CB"/>
    <w:rsid w:val="00576562"/>
    <w:rsid w:val="008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60449-5E23-4D8A-91D5-98C4FFEF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alny"/>
    <w:link w:val="Bodytext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pa/transkrypcja-zagranicznego-aktu-malzenst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2104</Characters>
  <Application>Microsoft Office Word</Application>
  <DocSecurity>0</DocSecurity>
  <Lines>17</Lines>
  <Paragraphs>4</Paragraphs>
  <ScaleCrop>false</ScaleCrop>
  <Company>MSWiA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2026-05-26T12:31:00Z</dcterms:created>
  <dcterms:modified xsi:type="dcterms:W3CDTF">2026-05-26T12:31:00Z</dcterms:modified>
</cp:coreProperties>
</file>