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4B" w:rsidRPr="00F80B36" w:rsidRDefault="005B2C4B" w:rsidP="005B2C4B">
      <w:pPr>
        <w:keepNext/>
        <w:tabs>
          <w:tab w:val="left" w:pos="-180"/>
          <w:tab w:val="left" w:pos="9000"/>
        </w:tabs>
        <w:spacing w:after="0" w:line="240" w:lineRule="auto"/>
        <w:ind w:right="72"/>
        <w:outlineLvl w:val="1"/>
        <w:rPr>
          <w:rFonts w:ascii="Times New Roman" w:eastAsia="Arial Unicode MS" w:hAnsi="Times New Roman" w:cs="Times New Roman"/>
          <w:b/>
          <w:lang w:eastAsia="pl-PL"/>
        </w:rPr>
      </w:pPr>
      <w:r w:rsidRPr="00F80B36">
        <w:rPr>
          <w:rFonts w:ascii="Times New Roman" w:eastAsia="Arial Unicode MS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64914" wp14:editId="0FDE7A5B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C4B" w:rsidRPr="005C626A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C019053" wp14:editId="630AB3B1">
                                  <wp:extent cx="523875" cy="54292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2C4B" w:rsidRPr="00A72E6F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5B2C4B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5B2C4B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5B2C4B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5B2C4B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5B2C4B" w:rsidRPr="008978E9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5B2C4B" w:rsidRPr="007D0B8E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5B2C4B" w:rsidRPr="007D0B8E" w:rsidRDefault="005B2C4B" w:rsidP="005B2C4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64914" id="Prostokąt 2" o:spid="_x0000_s1026" style="position:absolute;margin-left:-10.15pt;margin-top:4.6pt;width:22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" filled="f" fillcolor="#bbe0e3" stroked="f">
                <v:textbox inset="0,0,0,0">
                  <w:txbxContent>
                    <w:p w:rsidR="005B2C4B" w:rsidRPr="005C626A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C019053" wp14:editId="630AB3B1">
                            <wp:extent cx="523875" cy="54292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2C4B" w:rsidRPr="00A72E6F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5B2C4B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5B2C4B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5B2C4B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5B2C4B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5B2C4B" w:rsidRPr="008978E9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5B2C4B" w:rsidRPr="007D0B8E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5B2C4B" w:rsidRPr="007D0B8E" w:rsidRDefault="005B2C4B" w:rsidP="005B2C4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B2C4B" w:rsidRPr="0006412F" w:rsidRDefault="005B2C4B" w:rsidP="0006412F">
      <w:pPr>
        <w:spacing w:after="0" w:line="320" w:lineRule="exact"/>
        <w:jc w:val="right"/>
        <w:rPr>
          <w:rFonts w:eastAsia="MS Mincho" w:cstheme="minorHAnsi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</w:t>
      </w:r>
      <w:r w:rsidRPr="0006412F">
        <w:rPr>
          <w:rFonts w:eastAsia="MS Mincho" w:cstheme="minorHAnsi"/>
          <w:sz w:val="24"/>
          <w:szCs w:val="24"/>
          <w:lang w:eastAsia="pl-PL"/>
        </w:rPr>
        <w:t>Warszawa,</w:t>
      </w:r>
      <w:r w:rsidR="000D32D9">
        <w:rPr>
          <w:rFonts w:eastAsia="MS Mincho" w:cstheme="minorHAnsi"/>
          <w:sz w:val="24"/>
          <w:szCs w:val="24"/>
          <w:lang w:eastAsia="pl-PL"/>
        </w:rPr>
        <w:t xml:space="preserve"> 6</w:t>
      </w:r>
      <w:bookmarkStart w:id="0" w:name="_GoBack"/>
      <w:bookmarkEnd w:id="0"/>
      <w:r w:rsidRPr="0006412F">
        <w:rPr>
          <w:rFonts w:eastAsia="MS Mincho" w:cstheme="minorHAnsi"/>
          <w:sz w:val="24"/>
          <w:szCs w:val="24"/>
          <w:lang w:eastAsia="pl-PL"/>
        </w:rPr>
        <w:t xml:space="preserve"> kwietnia 2020 r.</w:t>
      </w:r>
    </w:p>
    <w:p w:rsidR="005B2C4B" w:rsidRPr="0006412F" w:rsidRDefault="005B2C4B" w:rsidP="0006412F">
      <w:pPr>
        <w:spacing w:after="0" w:line="320" w:lineRule="exact"/>
        <w:rPr>
          <w:rFonts w:eastAsia="MS Mincho" w:cstheme="minorHAnsi"/>
          <w:sz w:val="24"/>
          <w:szCs w:val="24"/>
          <w:lang w:eastAsia="pl-PL"/>
        </w:rPr>
      </w:pPr>
    </w:p>
    <w:p w:rsidR="005B2C4B" w:rsidRPr="0006412F" w:rsidRDefault="005B2C4B" w:rsidP="0006412F">
      <w:pPr>
        <w:spacing w:after="0" w:line="320" w:lineRule="exact"/>
        <w:rPr>
          <w:rFonts w:eastAsia="MS Mincho" w:cstheme="minorHAnsi"/>
          <w:sz w:val="24"/>
          <w:szCs w:val="24"/>
          <w:lang w:eastAsia="pl-PL"/>
        </w:rPr>
      </w:pPr>
    </w:p>
    <w:p w:rsidR="005B2C4B" w:rsidRPr="0006412F" w:rsidRDefault="005B2C4B" w:rsidP="0006412F">
      <w:pPr>
        <w:spacing w:after="0" w:line="320" w:lineRule="exact"/>
        <w:rPr>
          <w:rFonts w:eastAsia="MS Mincho" w:cstheme="minorHAnsi"/>
          <w:sz w:val="24"/>
          <w:szCs w:val="24"/>
          <w:lang w:eastAsia="pl-PL"/>
        </w:rPr>
      </w:pPr>
    </w:p>
    <w:p w:rsidR="005B2C4B" w:rsidRPr="0006412F" w:rsidRDefault="005B2C4B" w:rsidP="0006412F">
      <w:pPr>
        <w:spacing w:after="0" w:line="320" w:lineRule="exact"/>
        <w:rPr>
          <w:rFonts w:eastAsia="MS Mincho" w:cstheme="minorHAnsi"/>
          <w:sz w:val="24"/>
          <w:szCs w:val="24"/>
          <w:lang w:eastAsia="pl-PL"/>
        </w:rPr>
      </w:pPr>
    </w:p>
    <w:p w:rsidR="005B2C4B" w:rsidRPr="0006412F" w:rsidRDefault="005B2C4B" w:rsidP="0006412F">
      <w:pPr>
        <w:spacing w:after="0" w:line="320" w:lineRule="exact"/>
        <w:ind w:left="708"/>
        <w:rPr>
          <w:rFonts w:eastAsia="MS Mincho" w:cstheme="minorHAnsi"/>
          <w:sz w:val="24"/>
          <w:szCs w:val="24"/>
          <w:lang w:eastAsia="pl-PL"/>
        </w:rPr>
      </w:pPr>
      <w:r w:rsidRPr="0006412F">
        <w:rPr>
          <w:rFonts w:eastAsia="MS Mincho" w:cstheme="minorHAnsi"/>
          <w:sz w:val="24"/>
          <w:szCs w:val="24"/>
          <w:lang w:eastAsia="pl-PL"/>
        </w:rPr>
        <w:t xml:space="preserve"> WNP-I.4131.</w:t>
      </w:r>
      <w:r w:rsidR="001D6B9E">
        <w:rPr>
          <w:rFonts w:eastAsia="MS Mincho" w:cstheme="minorHAnsi"/>
          <w:sz w:val="24"/>
          <w:szCs w:val="24"/>
          <w:lang w:eastAsia="pl-PL"/>
        </w:rPr>
        <w:t>40</w:t>
      </w:r>
      <w:r w:rsidRPr="0006412F">
        <w:rPr>
          <w:rFonts w:eastAsia="MS Mincho" w:cstheme="minorHAnsi"/>
          <w:sz w:val="24"/>
          <w:szCs w:val="24"/>
          <w:lang w:eastAsia="pl-PL"/>
        </w:rPr>
        <w:t>.2020.</w:t>
      </w:r>
      <w:r w:rsidR="001D6B9E">
        <w:rPr>
          <w:rFonts w:eastAsia="MS Mincho" w:cstheme="minorHAnsi"/>
          <w:sz w:val="24"/>
          <w:szCs w:val="24"/>
          <w:lang w:eastAsia="pl-PL"/>
        </w:rPr>
        <w:t>AJS</w:t>
      </w:r>
    </w:p>
    <w:p w:rsidR="005B2C4B" w:rsidRPr="0006412F" w:rsidRDefault="005B2C4B" w:rsidP="0006412F">
      <w:pPr>
        <w:widowControl w:val="0"/>
        <w:spacing w:after="0" w:line="320" w:lineRule="exact"/>
        <w:ind w:left="4253"/>
        <w:rPr>
          <w:rFonts w:eastAsia="Calibri" w:cstheme="minorHAnsi"/>
          <w:b/>
          <w:bCs/>
          <w:color w:val="000000"/>
          <w:sz w:val="24"/>
          <w:szCs w:val="24"/>
        </w:rPr>
      </w:pPr>
    </w:p>
    <w:p w:rsidR="005B2C4B" w:rsidRPr="0006412F" w:rsidRDefault="005B2C4B" w:rsidP="0006412F">
      <w:pPr>
        <w:autoSpaceDE w:val="0"/>
        <w:autoSpaceDN w:val="0"/>
        <w:adjustRightInd w:val="0"/>
        <w:spacing w:after="0" w:line="320" w:lineRule="exact"/>
        <w:ind w:left="4248" w:firstLine="708"/>
        <w:rPr>
          <w:rFonts w:cstheme="minorHAnsi"/>
          <w:b/>
          <w:i/>
          <w:sz w:val="24"/>
          <w:szCs w:val="24"/>
        </w:rPr>
      </w:pPr>
    </w:p>
    <w:p w:rsidR="005B2C4B" w:rsidRPr="0006412F" w:rsidRDefault="005B2C4B" w:rsidP="0006412F">
      <w:pPr>
        <w:suppressAutoHyphens/>
        <w:spacing w:after="0" w:line="320" w:lineRule="exact"/>
        <w:ind w:left="5664"/>
        <w:rPr>
          <w:rFonts w:eastAsia="Times New Roman" w:cstheme="minorHAnsi"/>
          <w:b/>
          <w:sz w:val="24"/>
          <w:szCs w:val="24"/>
          <w:lang w:eastAsia="ar-SA"/>
        </w:rPr>
      </w:pPr>
      <w:r w:rsidRPr="0006412F">
        <w:rPr>
          <w:rFonts w:eastAsia="Times New Roman" w:cstheme="minorHAnsi"/>
          <w:b/>
          <w:sz w:val="24"/>
          <w:szCs w:val="24"/>
          <w:lang w:eastAsia="ar-SA"/>
        </w:rPr>
        <w:t>Rada Gminy Raszyn</w:t>
      </w:r>
    </w:p>
    <w:p w:rsidR="005B2C4B" w:rsidRPr="0006412F" w:rsidRDefault="005B2C4B" w:rsidP="0006412F">
      <w:pPr>
        <w:suppressAutoHyphens/>
        <w:spacing w:after="0" w:line="320" w:lineRule="exact"/>
        <w:ind w:left="5664"/>
        <w:rPr>
          <w:rFonts w:eastAsia="Times New Roman" w:cstheme="minorHAnsi"/>
          <w:b/>
          <w:sz w:val="24"/>
          <w:szCs w:val="24"/>
          <w:lang w:eastAsia="ar-SA"/>
        </w:rPr>
      </w:pPr>
      <w:r w:rsidRPr="0006412F">
        <w:rPr>
          <w:rFonts w:eastAsia="Times New Roman" w:cstheme="minorHAnsi"/>
          <w:b/>
          <w:sz w:val="24"/>
          <w:szCs w:val="24"/>
          <w:lang w:eastAsia="ar-SA"/>
        </w:rPr>
        <w:t>ul. Szkolna 2A</w:t>
      </w:r>
    </w:p>
    <w:p w:rsidR="005B2C4B" w:rsidRPr="0006412F" w:rsidRDefault="005B2C4B" w:rsidP="0006412F">
      <w:pPr>
        <w:suppressAutoHyphens/>
        <w:spacing w:after="0" w:line="320" w:lineRule="exact"/>
        <w:ind w:left="5664"/>
        <w:rPr>
          <w:rFonts w:eastAsia="Times New Roman" w:cstheme="minorHAnsi"/>
          <w:b/>
          <w:sz w:val="24"/>
          <w:szCs w:val="24"/>
          <w:lang w:eastAsia="ar-SA"/>
        </w:rPr>
      </w:pPr>
      <w:r w:rsidRPr="0006412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05-090 Raszyn </w:t>
      </w:r>
    </w:p>
    <w:p w:rsidR="005B2C4B" w:rsidRPr="0006412F" w:rsidRDefault="005B2C4B" w:rsidP="0006412F">
      <w:pPr>
        <w:pStyle w:val="Nagwek1"/>
        <w:spacing w:before="0" w:line="320" w:lineRule="exact"/>
        <w:ind w:left="-426" w:right="-468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5B2C4B" w:rsidRPr="0006412F" w:rsidRDefault="005B2C4B" w:rsidP="0006412F">
      <w:pPr>
        <w:spacing w:after="0" w:line="320" w:lineRule="exact"/>
        <w:rPr>
          <w:rFonts w:cstheme="minorHAnsi"/>
          <w:sz w:val="24"/>
          <w:szCs w:val="24"/>
          <w:lang w:eastAsia="pl-PL"/>
        </w:rPr>
      </w:pPr>
    </w:p>
    <w:p w:rsidR="005B2C4B" w:rsidRPr="0006412F" w:rsidRDefault="005B2C4B" w:rsidP="0006412F">
      <w:pPr>
        <w:spacing w:after="0" w:line="320" w:lineRule="exact"/>
        <w:rPr>
          <w:rFonts w:cstheme="minorHAnsi"/>
          <w:sz w:val="24"/>
          <w:szCs w:val="24"/>
          <w:lang w:eastAsia="pl-PL"/>
        </w:rPr>
      </w:pPr>
    </w:p>
    <w:p w:rsidR="005B2C4B" w:rsidRPr="0006412F" w:rsidRDefault="005B2C4B" w:rsidP="0006412F">
      <w:pPr>
        <w:pStyle w:val="Nagwek1"/>
        <w:spacing w:before="0" w:line="320" w:lineRule="exact"/>
        <w:ind w:left="-426" w:right="-468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6412F">
        <w:rPr>
          <w:rFonts w:asciiTheme="minorHAnsi" w:hAnsiTheme="minorHAnsi" w:cstheme="minorHAnsi"/>
          <w:b/>
          <w:color w:val="auto"/>
          <w:sz w:val="24"/>
          <w:szCs w:val="24"/>
        </w:rPr>
        <w:t>Rozstrzygnięcie nadzorcze</w:t>
      </w:r>
    </w:p>
    <w:p w:rsidR="005B2C4B" w:rsidRPr="0006412F" w:rsidRDefault="005B2C4B" w:rsidP="0006412F">
      <w:pPr>
        <w:spacing w:after="0" w:line="320" w:lineRule="exact"/>
        <w:rPr>
          <w:rFonts w:cstheme="minorHAnsi"/>
          <w:sz w:val="24"/>
          <w:szCs w:val="24"/>
          <w:lang w:eastAsia="pl-PL"/>
        </w:rPr>
      </w:pPr>
    </w:p>
    <w:p w:rsidR="005C545C" w:rsidRDefault="005B2C4B" w:rsidP="005C545C">
      <w:pPr>
        <w:pStyle w:val="Tekstpodstawowy"/>
        <w:spacing w:line="320" w:lineRule="exact"/>
        <w:ind w:right="-2" w:firstLine="708"/>
        <w:rPr>
          <w:rFonts w:asciiTheme="minorHAnsi" w:hAnsiTheme="minorHAnsi" w:cstheme="minorHAnsi"/>
          <w:sz w:val="24"/>
        </w:rPr>
      </w:pPr>
      <w:r w:rsidRPr="0006412F">
        <w:rPr>
          <w:rFonts w:asciiTheme="minorHAnsi" w:hAnsiTheme="minorHAnsi" w:cstheme="minorHAnsi"/>
          <w:sz w:val="24"/>
        </w:rPr>
        <w:t xml:space="preserve">Działając na podstawie art. 91 ust. 1, w związku z art. 86 ustawy z dnia </w:t>
      </w:r>
      <w:r w:rsidR="005C545C">
        <w:rPr>
          <w:rFonts w:asciiTheme="minorHAnsi" w:hAnsiTheme="minorHAnsi" w:cstheme="minorHAnsi"/>
          <w:sz w:val="24"/>
        </w:rPr>
        <w:t xml:space="preserve">                                        </w:t>
      </w:r>
      <w:r w:rsidRPr="0006412F">
        <w:rPr>
          <w:rFonts w:asciiTheme="minorHAnsi" w:hAnsiTheme="minorHAnsi" w:cstheme="minorHAnsi"/>
          <w:sz w:val="24"/>
        </w:rPr>
        <w:t>8</w:t>
      </w:r>
      <w:r w:rsidR="005C545C">
        <w:rPr>
          <w:rFonts w:asciiTheme="minorHAnsi" w:hAnsiTheme="minorHAnsi" w:cstheme="minorHAnsi"/>
          <w:sz w:val="24"/>
        </w:rPr>
        <w:t xml:space="preserve"> </w:t>
      </w:r>
      <w:r w:rsidRPr="0006412F">
        <w:rPr>
          <w:rFonts w:asciiTheme="minorHAnsi" w:hAnsiTheme="minorHAnsi" w:cstheme="minorHAnsi"/>
          <w:sz w:val="24"/>
        </w:rPr>
        <w:t>marca 1990 r. o samorządzie gminnym (Dz. U. z 2019 r. poz. 506, z późn. zm.)</w:t>
      </w:r>
    </w:p>
    <w:p w:rsidR="005C545C" w:rsidRDefault="005C545C" w:rsidP="005C545C">
      <w:pPr>
        <w:pStyle w:val="Tekstpodstawowy"/>
        <w:spacing w:line="320" w:lineRule="exact"/>
        <w:ind w:right="-2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5B2C4B" w:rsidRDefault="005C545C" w:rsidP="005C545C">
      <w:pPr>
        <w:pStyle w:val="Tekstpodstawowy"/>
        <w:spacing w:line="320" w:lineRule="exact"/>
        <w:ind w:right="-2" w:firstLine="708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</w:t>
      </w:r>
      <w:r w:rsidR="005B2C4B" w:rsidRPr="0006412F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5C545C" w:rsidRPr="0006412F" w:rsidRDefault="005C545C" w:rsidP="005C545C">
      <w:pPr>
        <w:pStyle w:val="Tekstpodstawowy"/>
        <w:spacing w:line="320" w:lineRule="exact"/>
        <w:ind w:right="-2" w:firstLine="708"/>
        <w:rPr>
          <w:rFonts w:asciiTheme="minorHAnsi" w:hAnsiTheme="minorHAnsi" w:cstheme="minorHAnsi"/>
          <w:sz w:val="24"/>
        </w:rPr>
      </w:pPr>
    </w:p>
    <w:p w:rsidR="005B2C4B" w:rsidRPr="0006412F" w:rsidRDefault="005B2C4B" w:rsidP="0006412F">
      <w:pPr>
        <w:spacing w:after="0" w:line="320" w:lineRule="exact"/>
        <w:ind w:right="-2"/>
        <w:jc w:val="both"/>
        <w:rPr>
          <w:rFonts w:cstheme="minorHAnsi"/>
          <w:bCs/>
          <w:sz w:val="24"/>
          <w:szCs w:val="24"/>
        </w:rPr>
      </w:pPr>
      <w:r w:rsidRPr="005B2C4B">
        <w:rPr>
          <w:rFonts w:eastAsia="Calibri" w:cstheme="minorHAnsi"/>
          <w:bCs/>
          <w:sz w:val="24"/>
          <w:szCs w:val="24"/>
        </w:rPr>
        <w:t xml:space="preserve">uchwały Rady Gminy Raszyn z dnia 10 marca 2020 r. Nr XXIV/215/2020 </w:t>
      </w:r>
      <w:r w:rsidRPr="005B2C4B">
        <w:rPr>
          <w:rFonts w:eastAsia="Calibri" w:cstheme="minorHAnsi"/>
          <w:bCs/>
          <w:i/>
          <w:sz w:val="24"/>
          <w:szCs w:val="24"/>
        </w:rPr>
        <w:t>w sprawie zasad przyznawania i wysokości diet radnych Gminy Raszyn</w:t>
      </w:r>
      <w:r w:rsidR="0006412F">
        <w:rPr>
          <w:rFonts w:eastAsia="Calibri" w:cstheme="minorHAnsi"/>
          <w:bCs/>
          <w:i/>
          <w:sz w:val="24"/>
          <w:szCs w:val="24"/>
        </w:rPr>
        <w:t>.</w:t>
      </w:r>
    </w:p>
    <w:p w:rsidR="005B2C4B" w:rsidRPr="0006412F" w:rsidRDefault="005B2C4B" w:rsidP="0006412F">
      <w:pPr>
        <w:spacing w:after="0" w:line="320" w:lineRule="exact"/>
        <w:rPr>
          <w:rFonts w:eastAsia="MS Mincho" w:cstheme="minorHAnsi"/>
          <w:sz w:val="24"/>
          <w:szCs w:val="24"/>
          <w:lang w:eastAsia="pl-PL"/>
        </w:rPr>
      </w:pPr>
    </w:p>
    <w:p w:rsidR="005B2C4B" w:rsidRPr="005B2C4B" w:rsidRDefault="005B2C4B" w:rsidP="0006412F">
      <w:pPr>
        <w:widowControl w:val="0"/>
        <w:spacing w:after="0" w:line="320" w:lineRule="exact"/>
        <w:ind w:right="-2"/>
        <w:jc w:val="center"/>
        <w:rPr>
          <w:rFonts w:eastAsia="Calibri" w:cstheme="minorHAnsi"/>
          <w:b/>
          <w:bCs/>
          <w:sz w:val="24"/>
          <w:szCs w:val="24"/>
        </w:rPr>
      </w:pPr>
      <w:r w:rsidRPr="0006412F"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:rsidR="005B2C4B" w:rsidRPr="005B2C4B" w:rsidRDefault="005B2C4B" w:rsidP="0006412F">
      <w:pPr>
        <w:widowControl w:val="0"/>
        <w:spacing w:after="0" w:line="320" w:lineRule="exact"/>
        <w:ind w:right="-2"/>
        <w:jc w:val="both"/>
        <w:rPr>
          <w:rFonts w:eastAsia="Calibri" w:cstheme="minorHAnsi"/>
          <w:bCs/>
          <w:sz w:val="24"/>
          <w:szCs w:val="24"/>
        </w:rPr>
      </w:pPr>
    </w:p>
    <w:p w:rsidR="005B2C4B" w:rsidRPr="005B2C4B" w:rsidRDefault="005B2C4B" w:rsidP="006A1133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Rada Gminy Raszyn podjęła w dniu 10 marca 2020 r. uchwałę Nr XXIV/215/2020 </w:t>
      </w:r>
      <w:r w:rsidR="006A1133">
        <w:rPr>
          <w:rFonts w:eastAsia="MS Mincho" w:cstheme="minorHAnsi"/>
          <w:sz w:val="24"/>
          <w:szCs w:val="24"/>
          <w:lang w:eastAsia="pl-PL"/>
        </w:rPr>
        <w:br/>
      </w:r>
      <w:r w:rsidRPr="005B2C4B">
        <w:rPr>
          <w:rFonts w:eastAsia="MS Mincho" w:cstheme="minorHAnsi"/>
          <w:i/>
          <w:sz w:val="24"/>
          <w:szCs w:val="24"/>
          <w:lang w:eastAsia="pl-PL"/>
        </w:rPr>
        <w:t>w sprawie zasad przyznawania i wysokości diet radnych Gminy Raszyn</w:t>
      </w:r>
      <w:r w:rsidRPr="005B2C4B">
        <w:rPr>
          <w:rFonts w:eastAsia="MS Mincho" w:cstheme="minorHAnsi"/>
          <w:sz w:val="24"/>
          <w:szCs w:val="24"/>
          <w:lang w:eastAsia="pl-PL"/>
        </w:rPr>
        <w:t>.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Organ nadzoru zobligowany jest do badania zgodności uchwały ze stanem prawnym obowiązującym w dacie podjęcia przez radę gminy uchwały, a w przypadku stwierdzenia naruszenia prawa, do podjęcia działań, stosownych do posiadanych kompetencji w tym zakresie. </w:t>
      </w:r>
    </w:p>
    <w:p w:rsidR="005B2C4B" w:rsidRPr="005B2C4B" w:rsidRDefault="005B2C4B" w:rsidP="0006412F">
      <w:pPr>
        <w:spacing w:after="0" w:line="320" w:lineRule="exact"/>
        <w:ind w:firstLine="709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W uchwale wskazano, że podstawę prawną do jej podjęcia stanowią przepisy: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 xml:space="preserve">art. 25 ust. 4, 6 - 8 i art. 37b ust. 1 ustawy z dnia 8 marca 1990 r. o samorządzie gminnym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>(Dz. U. z 2019 r. poz. 506, z późn. zm.), zwanej dalej „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 xml:space="preserve">”, rozporządzenia Rady Ministrów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>z dnia 26 lipca 2000 r. w sprawie maksymalnej wysokości diet przysługujących radnemu gminy (Dz. U. Nr 61, poz. 710) zwanego dalej „rozporządzeniem”.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Zgodnie z przywołanym art. 25 ust. 4, 6 -8 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>., n</w:t>
      </w:r>
      <w:r w:rsidRPr="005B2C4B">
        <w:rPr>
          <w:rFonts w:eastAsia="Times New Roman" w:cstheme="minorHAnsi"/>
          <w:sz w:val="24"/>
          <w:szCs w:val="24"/>
          <w:lang w:eastAsia="pl-PL"/>
        </w:rPr>
        <w:t xml:space="preserve">a zasadach ustalonych przez radę gminy radnemu przysługują diety oraz zwrot kosztów podróży służbowych. Wysokość diet przysługujących radnemu nie może przekroczyć w ciągu miesiąca łącznie półtorakrotności kwoty bazowej określonej w ustawie budżetowej dla osób zajmujących kierownicze stanowiska państwowe na podstawie przepisów ustawy z dnia 23 grudnia 1999 r. </w:t>
      </w:r>
      <w:r w:rsidRPr="005B2C4B">
        <w:rPr>
          <w:rFonts w:eastAsia="Times New Roman" w:cstheme="minorHAnsi"/>
          <w:sz w:val="24"/>
          <w:szCs w:val="24"/>
          <w:lang w:eastAsia="pl-PL"/>
        </w:rPr>
        <w:br/>
        <w:t xml:space="preserve">o kształtowaniu wynagrodzeń w państwowej sferze budżetowej oraz o zmianie niektórych </w:t>
      </w:r>
      <w:r w:rsidRPr="005B2C4B">
        <w:rPr>
          <w:rFonts w:eastAsia="Times New Roman" w:cstheme="minorHAnsi"/>
          <w:sz w:val="24"/>
          <w:szCs w:val="24"/>
          <w:lang w:eastAsia="pl-PL"/>
        </w:rPr>
        <w:lastRenderedPageBreak/>
        <w:t xml:space="preserve">ustaw (Dz. U. z 2018 r. poz. 2288). Rada gminy przy ustalaniu wysokości diet radnych bierze pod uwagę funkcje pełnione przez radnego. 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Zaznaczyć również należy, iż Rada Ministrów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>w przywołanym wyżej rozporządzeniu określa maksymalną wysokość diet przysługujących radnemu w ciągu miesiąca, uwzględniając liczbę mieszkańców gminy, przy czy</w:t>
      </w:r>
      <w:r w:rsidR="006A1133">
        <w:rPr>
          <w:rFonts w:eastAsia="MS Mincho" w:cstheme="minorHAnsi"/>
          <w:sz w:val="24"/>
          <w:szCs w:val="24"/>
          <w:lang w:eastAsia="pl-PL"/>
        </w:rPr>
        <w:t>m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kwota wskazana w art. 25 ust. 6 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 xml:space="preserve">. oznacza maksymalną wysokość diet w gminach o największej liczbie mieszkańców (art. 25 ust. 7 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 xml:space="preserve">.). 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Zarówno z przepisów ustawy o samorządzie gminnym</w:t>
      </w:r>
      <w:r w:rsidR="006A1133">
        <w:rPr>
          <w:rFonts w:eastAsia="MS Mincho" w:cstheme="minorHAnsi"/>
          <w:sz w:val="24"/>
          <w:szCs w:val="24"/>
          <w:lang w:eastAsia="pl-PL"/>
        </w:rPr>
        <w:t>,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jak i z przepisów rozporządzenia wynika wprost, że przy ustalaniu wysokości diet radnych gminy, rada zobligowana jest wziąć pod uwagę zarówno liczbę mieszkańców gminy</w:t>
      </w:r>
      <w:r w:rsidR="006A1133">
        <w:rPr>
          <w:rFonts w:eastAsia="MS Mincho" w:cstheme="minorHAnsi"/>
          <w:sz w:val="24"/>
          <w:szCs w:val="24"/>
          <w:lang w:eastAsia="pl-PL"/>
        </w:rPr>
        <w:t>,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jak i funkcję pełnioną przez radnego, która związana jest z nakładem pracy tego radnego. 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Nadto wysokość diet, które zostały określone w rozporządzeniu nie może przekroczyć limitów procentowych wskazanych w § 3 ww. aktu wykonawczego. </w:t>
      </w:r>
    </w:p>
    <w:p w:rsidR="005B2C4B" w:rsidRPr="005B2C4B" w:rsidRDefault="005B2C4B" w:rsidP="0006412F">
      <w:pPr>
        <w:spacing w:after="0" w:line="320" w:lineRule="exact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ab/>
        <w:t>Na mocy rozporządzenia radnemu przysługują w ciągu miesiąca diety, których wysokość uzależniona jest od liczby mieszkańców danej gminy, tj.:</w:t>
      </w:r>
    </w:p>
    <w:p w:rsidR="005B2C4B" w:rsidRPr="005B2C4B" w:rsidRDefault="005B2C4B" w:rsidP="0006412F">
      <w:pPr>
        <w:spacing w:after="0" w:line="320" w:lineRule="exact"/>
        <w:ind w:left="709" w:hanging="425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1)</w:t>
      </w:r>
      <w:r w:rsidRPr="005B2C4B">
        <w:rPr>
          <w:rFonts w:eastAsia="MS Mincho" w:cstheme="minorHAnsi"/>
          <w:sz w:val="24"/>
          <w:szCs w:val="24"/>
          <w:lang w:eastAsia="pl-PL"/>
        </w:rPr>
        <w:tab/>
        <w:t>100% maksymalnej wysokości diety w gminach powyżej 100 tys. mieszkańców,</w:t>
      </w:r>
    </w:p>
    <w:p w:rsidR="005B2C4B" w:rsidRPr="005B2C4B" w:rsidRDefault="005B2C4B" w:rsidP="0006412F">
      <w:pPr>
        <w:spacing w:after="0" w:line="320" w:lineRule="exact"/>
        <w:ind w:left="709" w:hanging="425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2)</w:t>
      </w:r>
      <w:r w:rsidRPr="005B2C4B">
        <w:rPr>
          <w:rFonts w:eastAsia="MS Mincho" w:cstheme="minorHAnsi"/>
          <w:sz w:val="24"/>
          <w:szCs w:val="24"/>
          <w:lang w:eastAsia="pl-PL"/>
        </w:rPr>
        <w:tab/>
        <w:t>75% maksymalnej wysokości diety w gminach od 15 tys. do 100 tys. mieszkańców,</w:t>
      </w:r>
    </w:p>
    <w:p w:rsidR="005B2C4B" w:rsidRPr="005B2C4B" w:rsidRDefault="005B2C4B" w:rsidP="0006412F">
      <w:pPr>
        <w:spacing w:after="0" w:line="320" w:lineRule="exact"/>
        <w:ind w:left="709" w:hanging="425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3)</w:t>
      </w:r>
      <w:r w:rsidRPr="005B2C4B">
        <w:rPr>
          <w:rFonts w:eastAsia="MS Mincho" w:cstheme="minorHAnsi"/>
          <w:sz w:val="24"/>
          <w:szCs w:val="24"/>
          <w:lang w:eastAsia="pl-PL"/>
        </w:rPr>
        <w:tab/>
        <w:t>50% maksymalnej wysokości diety w gminach poniżej 15 tys. mieszkańców.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Ponadto na mocy art. 37b ust. 1 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>. rada gminy może ustanowić zasady, na jakich przewodniczącemu organu wykonawczego jednostki pomocniczej będzie przysługiwała dieta oraz zwrot kosztów podróży służbowej.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W § 2 kwestionowanej uchwały Rada postanowiła o ryczałtowym charakterze diety, przyjmując, że: </w:t>
      </w:r>
    </w:p>
    <w:p w:rsidR="005B2C4B" w:rsidRPr="005B2C4B" w:rsidRDefault="005B2C4B" w:rsidP="0006412F">
      <w:pPr>
        <w:autoSpaceDE w:val="0"/>
        <w:autoSpaceDN w:val="0"/>
        <w:adjustRightInd w:val="0"/>
        <w:spacing w:after="0" w:line="320" w:lineRule="exact"/>
        <w:ind w:left="360" w:hanging="36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>„1. Podstawą procentowego określenia wysokości diety radnych Rady Gminy Raszyn jest maksymalna wysokość diety określona w § 3 pkt 2 rozporządzenia Rady Ministrów z dnia 26 lipca 2000r. w sprawie maksymalnej wysokości diet przysługujących radnemu gminy, zwana dalej kwotą maksymalną.</w:t>
      </w:r>
    </w:p>
    <w:p w:rsidR="005B2C4B" w:rsidRPr="005B2C4B" w:rsidRDefault="005B2C4B" w:rsidP="0006412F">
      <w:pPr>
        <w:autoSpaceDE w:val="0"/>
        <w:autoSpaceDN w:val="0"/>
        <w:adjustRightInd w:val="0"/>
        <w:spacing w:after="0" w:line="320" w:lineRule="exact"/>
        <w:ind w:left="360" w:hanging="36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2.   Ustala się zryczałtowaną miesięczną wysokość diety przysługującą radnym: </w:t>
      </w:r>
    </w:p>
    <w:p w:rsidR="005B2C4B" w:rsidRPr="005B2C4B" w:rsidRDefault="005B2C4B" w:rsidP="0006412F">
      <w:pPr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36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przewodniczącemu Rady – w wysokości 97 %  kwoty maksymalnej, </w:t>
      </w:r>
    </w:p>
    <w:p w:rsidR="005B2C4B" w:rsidRPr="005B2C4B" w:rsidRDefault="005B2C4B" w:rsidP="0006412F">
      <w:pPr>
        <w:numPr>
          <w:ilvl w:val="0"/>
          <w:numId w:val="2"/>
        </w:numPr>
        <w:tabs>
          <w:tab w:val="num" w:pos="720"/>
          <w:tab w:val="num" w:pos="1260"/>
        </w:tabs>
        <w:autoSpaceDE w:val="0"/>
        <w:autoSpaceDN w:val="0"/>
        <w:adjustRightInd w:val="0"/>
        <w:spacing w:after="0" w:line="320" w:lineRule="exact"/>
        <w:ind w:left="72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wiceprzewodniczącym Rady – w wysokości 81 % kwoty maksymalnej, </w:t>
      </w:r>
    </w:p>
    <w:p w:rsidR="005B2C4B" w:rsidRPr="005B2C4B" w:rsidRDefault="005B2C4B" w:rsidP="0006412F">
      <w:pPr>
        <w:numPr>
          <w:ilvl w:val="0"/>
          <w:numId w:val="2"/>
        </w:numPr>
        <w:tabs>
          <w:tab w:val="num" w:pos="720"/>
          <w:tab w:val="num" w:pos="1260"/>
        </w:tabs>
        <w:autoSpaceDE w:val="0"/>
        <w:autoSpaceDN w:val="0"/>
        <w:adjustRightInd w:val="0"/>
        <w:spacing w:after="0" w:line="320" w:lineRule="exact"/>
        <w:ind w:left="72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przewodniczącym komisji stałych i doraźnych Rady – w wysokości 71 % kwoty maksymalnej, </w:t>
      </w:r>
    </w:p>
    <w:p w:rsidR="005B2C4B" w:rsidRPr="005B2C4B" w:rsidRDefault="005B2C4B" w:rsidP="0006412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20" w:lineRule="exact"/>
        <w:ind w:left="72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>radnym nie pełniącym funkcji wymienionych w pkt. 1,2,3 – będącym członkami komisji stałej  lub doraźnej w wysokości 57 % kwoty maksymalnej.</w:t>
      </w:r>
    </w:p>
    <w:p w:rsidR="005B2C4B" w:rsidRPr="005B2C4B" w:rsidRDefault="005B2C4B" w:rsidP="0006412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20" w:lineRule="exact"/>
        <w:ind w:left="720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B2C4B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radnym nie pełniącym funkcji wymienionych w pkt. 1,2,3 – nie będących członkiem żadnej komisji stałej lub doraźnej w wysokości 50 % kwoty maksymalnej.” . 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Ponadto w § 4 uchwały Rada wprowadziła zasady potrąceń związane z nieobecności</w:t>
      </w:r>
      <w:r w:rsidR="006A1133">
        <w:rPr>
          <w:rFonts w:eastAsia="MS Mincho" w:cstheme="minorHAnsi"/>
          <w:sz w:val="24"/>
          <w:szCs w:val="24"/>
          <w:lang w:eastAsia="pl-PL"/>
        </w:rPr>
        <w:t>ą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radnego na sesji rady lub posiedzeniu komisji, określając, iż:</w:t>
      </w:r>
    </w:p>
    <w:p w:rsidR="005B2C4B" w:rsidRPr="005B2C4B" w:rsidRDefault="005B2C4B" w:rsidP="0006412F">
      <w:pPr>
        <w:spacing w:after="0" w:line="320" w:lineRule="exact"/>
        <w:jc w:val="both"/>
        <w:rPr>
          <w:rFonts w:eastAsia="MS Mincho" w:cstheme="minorHAnsi"/>
          <w:i/>
          <w:sz w:val="24"/>
          <w:szCs w:val="24"/>
          <w:lang w:eastAsia="pl-PL"/>
        </w:rPr>
      </w:pPr>
      <w:r w:rsidRPr="005B2C4B">
        <w:rPr>
          <w:rFonts w:eastAsia="MS Mincho" w:cstheme="minorHAnsi"/>
          <w:i/>
          <w:sz w:val="24"/>
          <w:szCs w:val="24"/>
          <w:lang w:eastAsia="pl-PL"/>
        </w:rPr>
        <w:t>„1. Dieta radnego podlega potrąceniu w danym miesiącu za każdą nieobecność:</w:t>
      </w:r>
    </w:p>
    <w:p w:rsidR="005B2C4B" w:rsidRPr="0006412F" w:rsidRDefault="005B2C4B" w:rsidP="0006412F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eastAsia="MS Mincho" w:cstheme="minorHAnsi"/>
          <w:i/>
          <w:sz w:val="24"/>
          <w:szCs w:val="24"/>
          <w:lang w:eastAsia="pl-PL"/>
        </w:rPr>
      </w:pPr>
      <w:r w:rsidRPr="0006412F">
        <w:rPr>
          <w:rFonts w:eastAsia="MS Mincho" w:cstheme="minorHAnsi"/>
          <w:i/>
          <w:sz w:val="24"/>
          <w:szCs w:val="24"/>
          <w:lang w:eastAsia="pl-PL"/>
        </w:rPr>
        <w:t>na sesji Rady Gminy w wysokości 15% należnej mu diety wynikającej z postanowień</w:t>
      </w:r>
      <w:r w:rsidRPr="0006412F">
        <w:rPr>
          <w:rFonts w:eastAsia="MS Mincho" w:cstheme="minorHAnsi"/>
          <w:i/>
          <w:sz w:val="24"/>
          <w:szCs w:val="24"/>
          <w:lang w:eastAsia="pl-PL"/>
        </w:rPr>
        <w:br/>
        <w:t xml:space="preserve"> § 2 ust. 2.</w:t>
      </w:r>
    </w:p>
    <w:p w:rsidR="005B2C4B" w:rsidRPr="0006412F" w:rsidRDefault="005B2C4B" w:rsidP="0006412F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eastAsia="MS Mincho" w:cstheme="minorHAnsi"/>
          <w:i/>
          <w:sz w:val="24"/>
          <w:szCs w:val="24"/>
          <w:lang w:eastAsia="pl-PL"/>
        </w:rPr>
      </w:pPr>
      <w:r w:rsidRPr="0006412F">
        <w:rPr>
          <w:rFonts w:eastAsia="MS Mincho" w:cstheme="minorHAnsi"/>
          <w:i/>
          <w:sz w:val="24"/>
          <w:szCs w:val="24"/>
          <w:lang w:eastAsia="pl-PL"/>
        </w:rPr>
        <w:t xml:space="preserve"> na komisji Rady Gminy, której jest członkiem w wysokości 5% należnej mu diety wynikającej z postanowień §</w:t>
      </w:r>
      <w:r w:rsidR="00C2503C">
        <w:rPr>
          <w:rFonts w:eastAsia="MS Mincho" w:cstheme="minorHAnsi"/>
          <w:i/>
          <w:sz w:val="24"/>
          <w:szCs w:val="24"/>
          <w:lang w:eastAsia="pl-PL"/>
        </w:rPr>
        <w:t xml:space="preserve"> </w:t>
      </w:r>
      <w:r w:rsidRPr="0006412F">
        <w:rPr>
          <w:rFonts w:eastAsia="MS Mincho" w:cstheme="minorHAnsi"/>
          <w:i/>
          <w:sz w:val="24"/>
          <w:szCs w:val="24"/>
          <w:lang w:eastAsia="pl-PL"/>
        </w:rPr>
        <w:t>2 ust.</w:t>
      </w:r>
      <w:r w:rsidR="005C545C">
        <w:rPr>
          <w:rFonts w:eastAsia="MS Mincho" w:cstheme="minorHAnsi"/>
          <w:i/>
          <w:sz w:val="24"/>
          <w:szCs w:val="24"/>
          <w:lang w:eastAsia="pl-PL"/>
        </w:rPr>
        <w:t xml:space="preserve"> </w:t>
      </w:r>
      <w:r w:rsidRPr="0006412F">
        <w:rPr>
          <w:rFonts w:eastAsia="MS Mincho" w:cstheme="minorHAnsi"/>
          <w:i/>
          <w:sz w:val="24"/>
          <w:szCs w:val="24"/>
          <w:lang w:eastAsia="pl-PL"/>
        </w:rPr>
        <w:t>2.</w:t>
      </w:r>
    </w:p>
    <w:p w:rsidR="005B2C4B" w:rsidRPr="005B2C4B" w:rsidRDefault="005B2C4B" w:rsidP="0006412F">
      <w:pPr>
        <w:spacing w:after="0" w:line="320" w:lineRule="exact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i/>
          <w:sz w:val="24"/>
          <w:szCs w:val="24"/>
          <w:lang w:eastAsia="pl-PL"/>
        </w:rPr>
        <w:t>2. W miesiącu, w którym radny nie uczestniczył w żadnym posiedzeniu rady lub Komisji dieta nie przysługuje.”</w:t>
      </w:r>
      <w:r w:rsidRPr="005B2C4B">
        <w:rPr>
          <w:rFonts w:eastAsia="MS Mincho" w:cstheme="minorHAnsi"/>
          <w:sz w:val="24"/>
          <w:szCs w:val="24"/>
          <w:lang w:eastAsia="pl-PL"/>
        </w:rPr>
        <w:t>.</w:t>
      </w:r>
    </w:p>
    <w:p w:rsidR="005B2C4B" w:rsidRPr="0006412F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lastRenderedPageBreak/>
        <w:t xml:space="preserve">W judykaturze wykształciła się jednolita linia orzecznicza, zgodnie z którą dieta </w:t>
      </w:r>
      <w:r w:rsidRPr="0006412F">
        <w:rPr>
          <w:rFonts w:eastAsia="MS Mincho" w:cstheme="minorHAnsi"/>
          <w:sz w:val="24"/>
          <w:szCs w:val="24"/>
          <w:lang w:eastAsia="pl-PL"/>
        </w:rPr>
        <w:t xml:space="preserve">stanowi jedynie ekwiwalent utraconych przez radnego korzyści lub poniesionych nakładów, 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zatem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 xml:space="preserve">nie stanowi ona świadczenia pracowniczego (wyrok NSA z 15 listopada 2019 r. sygn. akt II OSK 3380/19, z 19 grudnia 2017 r. sygn. akt II OSK 773/17, z 7 listopada 2017 r. sygn. akt II </w:t>
      </w:r>
      <w:r w:rsidR="00C2503C">
        <w:rPr>
          <w:rFonts w:eastAsia="MS Mincho" w:cstheme="minorHAnsi"/>
          <w:sz w:val="24"/>
          <w:szCs w:val="24"/>
          <w:lang w:eastAsia="pl-PL"/>
        </w:rPr>
        <w:t xml:space="preserve">               </w:t>
      </w:r>
      <w:r w:rsidRPr="005B2C4B">
        <w:rPr>
          <w:rFonts w:eastAsia="MS Mincho" w:cstheme="minorHAnsi"/>
          <w:sz w:val="24"/>
          <w:szCs w:val="24"/>
          <w:lang w:eastAsia="pl-PL"/>
        </w:rPr>
        <w:t>OSK 27 94/16). U</w:t>
      </w:r>
      <w:r w:rsidRPr="0006412F">
        <w:rPr>
          <w:rFonts w:eastAsia="MS Mincho" w:cstheme="minorHAnsi"/>
          <w:sz w:val="24"/>
          <w:szCs w:val="24"/>
          <w:lang w:eastAsia="pl-PL"/>
        </w:rPr>
        <w:t xml:space="preserve">stalona w stałej kwocie dieta w formie ryczałtu miesięcznego traci charakter rekompensacyjny, a przyjmuje charakter stałego, miesięcznego wynagrodzenia, niezależnego od kosztów związanych z pełnieniem funkcji.”. Nadto, pod pojęciem „dieta” wskazanym </w:t>
      </w:r>
      <w:r w:rsidR="0006412F">
        <w:rPr>
          <w:rFonts w:eastAsia="MS Mincho" w:cstheme="minorHAnsi"/>
          <w:sz w:val="24"/>
          <w:szCs w:val="24"/>
          <w:lang w:eastAsia="pl-PL"/>
        </w:rPr>
        <w:br/>
      </w:r>
      <w:r w:rsidRPr="0006412F">
        <w:rPr>
          <w:rFonts w:eastAsia="MS Mincho" w:cstheme="minorHAnsi"/>
          <w:sz w:val="24"/>
          <w:szCs w:val="24"/>
          <w:lang w:eastAsia="pl-PL"/>
        </w:rPr>
        <w:t xml:space="preserve">w art. 25 ust. 4 </w:t>
      </w:r>
      <w:proofErr w:type="spellStart"/>
      <w:r w:rsidRPr="0006412F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06412F">
        <w:rPr>
          <w:rFonts w:eastAsia="MS Mincho" w:cstheme="minorHAnsi"/>
          <w:sz w:val="24"/>
          <w:szCs w:val="24"/>
          <w:lang w:eastAsia="pl-PL"/>
        </w:rPr>
        <w:t xml:space="preserve">. rozumieć należy jako zwrot kosztów związanych z pełnieniem funkcji, </w:t>
      </w:r>
      <w:r w:rsidR="0006412F">
        <w:rPr>
          <w:rFonts w:eastAsia="MS Mincho" w:cstheme="minorHAnsi"/>
          <w:sz w:val="24"/>
          <w:szCs w:val="24"/>
          <w:lang w:eastAsia="pl-PL"/>
        </w:rPr>
        <w:br/>
      </w:r>
      <w:r w:rsidRPr="0006412F">
        <w:rPr>
          <w:rFonts w:eastAsia="MS Mincho" w:cstheme="minorHAnsi"/>
          <w:sz w:val="24"/>
          <w:szCs w:val="24"/>
          <w:lang w:eastAsia="pl-PL"/>
        </w:rPr>
        <w:t xml:space="preserve">a jego istota sprowadza się do wyrównania wydatków i strat związanych z wykonywaniem funkcji radnego. </w:t>
      </w:r>
    </w:p>
    <w:p w:rsidR="005B2C4B" w:rsidRPr="005B2C4B" w:rsidRDefault="005B2C4B" w:rsidP="0006412F">
      <w:pPr>
        <w:spacing w:after="0" w:line="320" w:lineRule="exact"/>
        <w:ind w:firstLine="709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Skoro dieta sprowadza się do wyrównania wydatków i strat poniesionych przez radnego, to osoba pełniąca tę funkcję zachowuje prawo do zwrotu kosztów i wydatków poniesionych </w:t>
      </w:r>
      <w:r w:rsidR="006A1133">
        <w:rPr>
          <w:rFonts w:eastAsia="MS Mincho" w:cstheme="minorHAnsi"/>
          <w:sz w:val="24"/>
          <w:szCs w:val="24"/>
          <w:lang w:eastAsia="pl-PL"/>
        </w:rPr>
        <w:t xml:space="preserve">w związku 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ze sprawowaniem tejże funkcji, nie zaś z tytułu samego faktu bycia taką osobą. Zakresem regulacji uchwały podjętej na podstawie delegacji ustawowej, o której mowa w art. 25 ust. 4 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 xml:space="preserve">. powinna zostać objęta sytuacja, gdy radny przez dłuższy czas nie wykonuje obowiązków, które wynikają z pełnionej przez niego funkcji. A w przypadku, gdy radny nie wykonuje obowiązków związanych z pełnieniem tejże funkcji, wówczas nie ponosi żadnych kosztów z tym związanych. Dieta ustalona w stałej kwocie ma niewątpliwie charakter ryczałtu miesięcznego i traci wówczas charakter rekompensacyjny, który zgodnie z aktualnym orzecznictwem jest właściwy dla diet ustalonych dla radnych (wyrok Wojewódzkiego Sądu Administracyjnego w Opolu z 21 lipca 2015 r. </w:t>
      </w:r>
      <w:r w:rsidR="006A1133">
        <w:rPr>
          <w:rFonts w:eastAsia="MS Mincho" w:cstheme="minorHAnsi"/>
          <w:sz w:val="24"/>
          <w:szCs w:val="24"/>
          <w:lang w:eastAsia="pl-PL"/>
        </w:rPr>
        <w:t xml:space="preserve">sygn. akt </w:t>
      </w:r>
      <w:r w:rsidRPr="005B2C4B">
        <w:rPr>
          <w:rFonts w:eastAsia="MS Mincho" w:cstheme="minorHAnsi"/>
          <w:sz w:val="24"/>
          <w:szCs w:val="24"/>
          <w:lang w:eastAsia="pl-PL"/>
        </w:rPr>
        <w:t>II SA/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Op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 xml:space="preserve"> 177/15). </w:t>
      </w:r>
    </w:p>
    <w:p w:rsidR="005B2C4B" w:rsidRPr="005B2C4B" w:rsidRDefault="005B2C4B" w:rsidP="0006412F">
      <w:pPr>
        <w:spacing w:after="0" w:line="320" w:lineRule="exact"/>
        <w:ind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Z uwagi na fakt, że dieta ma stanowić rekompensatę za utracone zarobki związane z pełnieniem funkcji radnego, sformułowanie zawarte w § 2 ust. 2</w:t>
      </w:r>
      <w:r w:rsidR="00F66AAE">
        <w:rPr>
          <w:rFonts w:eastAsia="MS Mincho" w:cstheme="minorHAnsi"/>
          <w:sz w:val="24"/>
          <w:szCs w:val="24"/>
          <w:lang w:eastAsia="pl-PL"/>
        </w:rPr>
        <w:t>,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w związku z § 4 uchwały powoduje, że za nieobecności radnego w ciągu miesiąca na sesji Rady lub posiedzeniu Komisji, dieta będzie wypłacona w zryczałtowanej wysokości z potrąceniem odpowiednio 15% albo 5%. Pomimo, iż w treści uchwały wskazano przypadki potrąceń w stosunku do miesięcznej wypłaty diety, to jednak nie zmienia to faktu, iż nadal wypłata dokonywana jest w formie ryczałtu niezależnie od faktycznej obecności Radnych na Sesji</w:t>
      </w:r>
      <w:r w:rsidR="00F66AAE">
        <w:rPr>
          <w:rFonts w:eastAsia="MS Mincho" w:cstheme="minorHAnsi"/>
          <w:sz w:val="24"/>
          <w:szCs w:val="24"/>
          <w:lang w:eastAsia="pl-PL"/>
        </w:rPr>
        <w:t>,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bądź posiedzeniu Komisji. Świadczy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 xml:space="preserve">o tym bowiem ustalenie wysokości diety bez względu na ilość zwołanych Sesji oraz posiedzeń Komisji. Przykładowo w sytuacji, gdy w danym miesiącu odbędą się 2 sesje Rady, a radny będzie obecny na 1 sesji to otrzyma 85% należnej mu diety. Natomiast, gdy w danym miesiącu będą 2 posiedzenia Komisji i nie będzie żadnej sesji </w:t>
      </w:r>
      <w:r w:rsidR="00F66AAE">
        <w:rPr>
          <w:rFonts w:eastAsia="MS Mincho" w:cstheme="minorHAnsi"/>
          <w:sz w:val="24"/>
          <w:szCs w:val="24"/>
          <w:lang w:eastAsia="pl-PL"/>
        </w:rPr>
        <w:t>R</w:t>
      </w:r>
      <w:r w:rsidRPr="005B2C4B">
        <w:rPr>
          <w:rFonts w:eastAsia="MS Mincho" w:cstheme="minorHAnsi"/>
          <w:sz w:val="24"/>
          <w:szCs w:val="24"/>
          <w:lang w:eastAsia="pl-PL"/>
        </w:rPr>
        <w:t>ady, a radny będ</w:t>
      </w:r>
      <w:r w:rsidR="00F66AAE">
        <w:rPr>
          <w:rFonts w:eastAsia="MS Mincho" w:cstheme="minorHAnsi"/>
          <w:sz w:val="24"/>
          <w:szCs w:val="24"/>
          <w:lang w:eastAsia="pl-PL"/>
        </w:rPr>
        <w:t xml:space="preserve">zie nieobecny na </w:t>
      </w:r>
      <w:r w:rsidR="005C545C">
        <w:rPr>
          <w:rFonts w:eastAsia="MS Mincho" w:cstheme="minorHAnsi"/>
          <w:sz w:val="24"/>
          <w:szCs w:val="24"/>
          <w:lang w:eastAsia="pl-PL"/>
        </w:rPr>
        <w:t xml:space="preserve">                   </w:t>
      </w:r>
      <w:r w:rsidR="00F66AAE">
        <w:rPr>
          <w:rFonts w:eastAsia="MS Mincho" w:cstheme="minorHAnsi"/>
          <w:sz w:val="24"/>
          <w:szCs w:val="24"/>
          <w:lang w:eastAsia="pl-PL"/>
        </w:rPr>
        <w:t>1 posiedzeniu K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omisji to otrzyma 95% należnej mu diety. Radny nie otrzymuje diety dopiero wówczas, gdy nie uczestniczył w żadnym posiedzeniu Rady lub Komisji w danym miesiącu. Przepisy wprowadzone przez Radę powodują zatem, że dieta traci charakter rekompensaty,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 xml:space="preserve">a jest zbliżona do formy wynagrodzenia za pracę. </w:t>
      </w:r>
    </w:p>
    <w:p w:rsidR="005B2C4B" w:rsidRPr="005B2C4B" w:rsidRDefault="005B2C4B" w:rsidP="0006412F">
      <w:pPr>
        <w:spacing w:after="0" w:line="320" w:lineRule="exact"/>
        <w:ind w:firstLine="709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>Mając na uwadze treść przedmiotowej uchwały, stwierdzić należy, że Rada, co prawda, wykonała ustawowy obowiązek przyznania diety radnym Rady Gminy Raszyn</w:t>
      </w:r>
      <w:r w:rsidR="00F66AAE">
        <w:rPr>
          <w:rFonts w:eastAsia="MS Mincho" w:cstheme="minorHAnsi"/>
          <w:sz w:val="24"/>
          <w:szCs w:val="24"/>
          <w:lang w:eastAsia="pl-PL"/>
        </w:rPr>
        <w:t>,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wynikający </w:t>
      </w:r>
      <w:r w:rsidRPr="005B2C4B">
        <w:rPr>
          <w:rFonts w:eastAsia="MS Mincho" w:cstheme="minorHAnsi"/>
          <w:sz w:val="24"/>
          <w:szCs w:val="24"/>
          <w:lang w:eastAsia="pl-PL"/>
        </w:rPr>
        <w:br/>
        <w:t xml:space="preserve">z art. 25 ust. 4 </w:t>
      </w:r>
      <w:proofErr w:type="spellStart"/>
      <w:r w:rsidRPr="005B2C4B">
        <w:rPr>
          <w:rFonts w:eastAsia="MS Mincho" w:cstheme="minorHAnsi"/>
          <w:sz w:val="24"/>
          <w:szCs w:val="24"/>
          <w:lang w:eastAsia="pl-PL"/>
        </w:rPr>
        <w:t>u.s.g</w:t>
      </w:r>
      <w:proofErr w:type="spellEnd"/>
      <w:r w:rsidRPr="005B2C4B">
        <w:rPr>
          <w:rFonts w:eastAsia="MS Mincho" w:cstheme="minorHAnsi"/>
          <w:sz w:val="24"/>
          <w:szCs w:val="24"/>
          <w:lang w:eastAsia="pl-PL"/>
        </w:rPr>
        <w:t>., jednakże ustalenie wysokości diety dla radnych w formie ryczałtu miesięcznego stanowi niewątpliwie istotne naruszenie prawa przez Radę.</w:t>
      </w:r>
    </w:p>
    <w:p w:rsidR="005B2C4B" w:rsidRPr="0006412F" w:rsidRDefault="005B2C4B" w:rsidP="0006412F">
      <w:pPr>
        <w:spacing w:after="0" w:line="320" w:lineRule="exact"/>
        <w:ind w:firstLine="709"/>
        <w:jc w:val="both"/>
        <w:rPr>
          <w:rFonts w:eastAsia="MS Mincho" w:cstheme="minorHAnsi"/>
          <w:sz w:val="24"/>
          <w:szCs w:val="24"/>
          <w:lang w:eastAsia="pl-PL"/>
        </w:rPr>
      </w:pPr>
      <w:r w:rsidRPr="005B2C4B">
        <w:rPr>
          <w:rFonts w:eastAsia="MS Mincho" w:cstheme="minorHAnsi"/>
          <w:sz w:val="24"/>
          <w:szCs w:val="24"/>
          <w:lang w:eastAsia="pl-PL"/>
        </w:rPr>
        <w:t xml:space="preserve">W ocenie organu nadzoru dieta winna zostać określona w uchwale poprzez ustalenie konkretnej kwoty za udział w każdym </w:t>
      </w:r>
      <w:r w:rsidR="00F66AAE">
        <w:rPr>
          <w:rFonts w:eastAsia="MS Mincho" w:cstheme="minorHAnsi"/>
          <w:sz w:val="24"/>
          <w:szCs w:val="24"/>
          <w:lang w:eastAsia="pl-PL"/>
        </w:rPr>
        <w:t>odbytym posiedzeniu sesji, czy K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omisji, czy innych czynnościach wykonywanych w imieniu lub na rzecz Rady, ewentualnie w ustalonej kwocie, </w:t>
      </w:r>
      <w:r w:rsidRPr="005B2C4B">
        <w:rPr>
          <w:rFonts w:eastAsia="MS Mincho" w:cstheme="minorHAnsi"/>
          <w:sz w:val="24"/>
          <w:szCs w:val="24"/>
          <w:lang w:eastAsia="pl-PL"/>
        </w:rPr>
        <w:lastRenderedPageBreak/>
        <w:t>która ulega proporcjonalnemu obniżeniu</w:t>
      </w:r>
      <w:r w:rsidR="00F66AAE">
        <w:rPr>
          <w:rFonts w:eastAsia="MS Mincho" w:cstheme="minorHAnsi"/>
          <w:sz w:val="24"/>
          <w:szCs w:val="24"/>
          <w:lang w:eastAsia="pl-PL"/>
        </w:rPr>
        <w:t>,</w:t>
      </w:r>
      <w:r w:rsidRPr="005B2C4B">
        <w:rPr>
          <w:rFonts w:eastAsia="MS Mincho" w:cstheme="minorHAnsi"/>
          <w:sz w:val="24"/>
          <w:szCs w:val="24"/>
          <w:lang w:eastAsia="pl-PL"/>
        </w:rPr>
        <w:t xml:space="preserve"> w związku z niewykonywaniem czynności określonych w uchwale. </w:t>
      </w:r>
    </w:p>
    <w:p w:rsidR="005B2C4B" w:rsidRDefault="0006412F" w:rsidP="0006412F">
      <w:pPr>
        <w:spacing w:after="0" w:line="320" w:lineRule="exact"/>
        <w:ind w:firstLine="709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MS Mincho" w:cstheme="minorHAnsi"/>
          <w:sz w:val="24"/>
          <w:szCs w:val="24"/>
          <w:lang w:eastAsia="pl-PL"/>
        </w:rPr>
        <w:t xml:space="preserve">Ponadto organ nadzoru stwierdza, że w dniu 10 lutego 2020 r. złożył do Wojewódzkiego Sądu Administracyjnego w Warszawie, za pośrednictwem Gminy Raszyn,  skargę </w:t>
      </w:r>
      <w:r w:rsidRPr="00F36D4C">
        <w:rPr>
          <w:sz w:val="24"/>
          <w:szCs w:val="24"/>
        </w:rPr>
        <w:t xml:space="preserve">na uchwały Rady Gminy Raszyn: z dnia 29 grudnia 2014 r. Nr II/13/14 </w:t>
      </w:r>
      <w:r w:rsidRPr="00F36D4C">
        <w:rPr>
          <w:i/>
          <w:sz w:val="24"/>
          <w:szCs w:val="24"/>
        </w:rPr>
        <w:t>w sprawie zasad przyznawania i wysokości diet dla radnych i przewodniczących jednostek pomocniczych Gminy Raszyn</w:t>
      </w:r>
      <w:r w:rsidRPr="00F36D4C">
        <w:rPr>
          <w:sz w:val="24"/>
          <w:szCs w:val="24"/>
        </w:rPr>
        <w:t xml:space="preserve"> oraz z dnia 24 października 2019 r. Nr XVII/149/2019 </w:t>
      </w:r>
      <w:r w:rsidRPr="00F36D4C">
        <w:rPr>
          <w:i/>
          <w:sz w:val="24"/>
          <w:szCs w:val="24"/>
        </w:rPr>
        <w:t>w sprawie zmiany uchwały Nr II/13/14 Rady Gminy Raszyn z dnia 29 grudnia 2014 r.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W złożonej skardze podniesiona została analogiczna argumentacja prawna</w:t>
      </w:r>
      <w:r w:rsidR="00F66AAE">
        <w:rPr>
          <w:sz w:val="24"/>
          <w:szCs w:val="24"/>
        </w:rPr>
        <w:t>,</w:t>
      </w:r>
      <w:r>
        <w:rPr>
          <w:sz w:val="24"/>
          <w:szCs w:val="24"/>
        </w:rPr>
        <w:t xml:space="preserve"> dotycząca kształtowania zasad przyznawania </w:t>
      </w:r>
      <w:r>
        <w:rPr>
          <w:sz w:val="24"/>
          <w:szCs w:val="24"/>
        </w:rPr>
        <w:br/>
        <w:t xml:space="preserve">i wysokości diet dla radnych. Zarówno treść skargi, jak i linia orzecznicza jest znana Radzie, bowiem odwołuje się do niej w uzasadnieniu do uchwały </w:t>
      </w:r>
      <w:r w:rsidRPr="005B2C4B">
        <w:rPr>
          <w:rFonts w:eastAsia="Calibri" w:cstheme="minorHAnsi"/>
          <w:bCs/>
          <w:sz w:val="24"/>
          <w:szCs w:val="24"/>
        </w:rPr>
        <w:t>Nr XXIV/215/2020</w:t>
      </w:r>
      <w:r>
        <w:rPr>
          <w:rFonts w:eastAsia="Calibri" w:cstheme="minorHAnsi"/>
          <w:bCs/>
          <w:sz w:val="24"/>
          <w:szCs w:val="24"/>
        </w:rPr>
        <w:t xml:space="preserve">. </w:t>
      </w:r>
    </w:p>
    <w:p w:rsidR="0006412F" w:rsidRPr="0006412F" w:rsidRDefault="0006412F" w:rsidP="0006412F">
      <w:pPr>
        <w:spacing w:after="0" w:line="320" w:lineRule="exact"/>
        <w:ind w:firstLine="709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Calibri" w:cstheme="minorHAnsi"/>
          <w:bCs/>
          <w:sz w:val="24"/>
          <w:szCs w:val="24"/>
        </w:rPr>
        <w:t xml:space="preserve">Wobec powyższego stwierdzenie nieważności uchwały </w:t>
      </w:r>
      <w:r w:rsidRPr="005B2C4B">
        <w:rPr>
          <w:rFonts w:eastAsia="Calibri" w:cstheme="minorHAnsi"/>
          <w:bCs/>
          <w:sz w:val="24"/>
          <w:szCs w:val="24"/>
        </w:rPr>
        <w:t xml:space="preserve">Rady Gminy Raszyn z dnia </w:t>
      </w:r>
      <w:r w:rsidR="005C545C">
        <w:rPr>
          <w:rFonts w:eastAsia="Calibri" w:cstheme="minorHAnsi"/>
          <w:bCs/>
          <w:sz w:val="24"/>
          <w:szCs w:val="24"/>
        </w:rPr>
        <w:t xml:space="preserve">         </w:t>
      </w:r>
      <w:r w:rsidRPr="005B2C4B">
        <w:rPr>
          <w:rFonts w:eastAsia="Calibri" w:cstheme="minorHAnsi"/>
          <w:bCs/>
          <w:sz w:val="24"/>
          <w:szCs w:val="24"/>
        </w:rPr>
        <w:t xml:space="preserve">10 marca 2020 r. Nr XXIV/215/2020 </w:t>
      </w:r>
      <w:r w:rsidRPr="005B2C4B">
        <w:rPr>
          <w:rFonts w:eastAsia="Calibri" w:cstheme="minorHAnsi"/>
          <w:bCs/>
          <w:i/>
          <w:sz w:val="24"/>
          <w:szCs w:val="24"/>
        </w:rPr>
        <w:t>w sprawie zasad przyznawania i wysokości diet radnych Gminy Raszyn</w:t>
      </w:r>
      <w:r>
        <w:rPr>
          <w:rFonts w:eastAsia="Calibri" w:cstheme="minorHAnsi"/>
          <w:bCs/>
          <w:i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jest konieczne i uzasadnione. </w:t>
      </w:r>
    </w:p>
    <w:p w:rsidR="005B2C4B" w:rsidRPr="0006412F" w:rsidRDefault="00D310BD" w:rsidP="0006412F">
      <w:pPr>
        <w:spacing w:after="0" w:line="320" w:lineRule="exact"/>
        <w:ind w:firstLine="709"/>
        <w:jc w:val="both"/>
        <w:rPr>
          <w:rFonts w:eastAsia="Calibri" w:cstheme="minorHAnsi"/>
          <w:sz w:val="24"/>
          <w:szCs w:val="24"/>
        </w:rPr>
      </w:pPr>
      <w:hyperlink r:id="rId10" w:history="1"/>
      <w:r w:rsidR="005B2C4B" w:rsidRPr="0006412F">
        <w:rPr>
          <w:rFonts w:eastAsia="Calibri" w:cstheme="minorHAnsi"/>
          <w:sz w:val="24"/>
          <w:szCs w:val="24"/>
          <w:lang w:eastAsia="pl-PL"/>
        </w:rPr>
        <w:t>N</w:t>
      </w:r>
      <w:r w:rsidR="005B2C4B" w:rsidRPr="0006412F">
        <w:rPr>
          <w:rFonts w:eastAsia="Calibri" w:cstheme="minorHAnsi"/>
          <w:sz w:val="24"/>
          <w:szCs w:val="24"/>
        </w:rPr>
        <w:t>a niniejsze rozstrzygnięcie nadzorcze Gminie przysługuje skarga do Wojewódzkiego Sądu Administracyjnego w Warszawie w terminie 30 dni od daty doręczenia, wnoszona za pośrednictwem organu, który skarżone orzeczenie wydał.</w:t>
      </w:r>
    </w:p>
    <w:p w:rsidR="005B2C4B" w:rsidRPr="0006412F" w:rsidRDefault="005B2C4B" w:rsidP="0006412F">
      <w:pPr>
        <w:spacing w:after="0" w:line="320" w:lineRule="exact"/>
        <w:ind w:firstLine="567"/>
        <w:jc w:val="both"/>
        <w:rPr>
          <w:rFonts w:eastAsia="Calibri" w:cstheme="minorHAnsi"/>
          <w:sz w:val="24"/>
          <w:szCs w:val="24"/>
        </w:rPr>
      </w:pPr>
      <w:r w:rsidRPr="0006412F">
        <w:rPr>
          <w:rFonts w:eastAsia="Calibri" w:cstheme="minorHAnsi"/>
          <w:sz w:val="24"/>
          <w:szCs w:val="24"/>
        </w:rPr>
        <w:t>Informuję, że rozstrzygnięcie nadzorcze wstrzymuje wykonanie uchwały z mocy prawa, z dniem jego doręczenia.</w:t>
      </w:r>
    </w:p>
    <w:p w:rsidR="005B2C4B" w:rsidRPr="0006412F" w:rsidRDefault="005B2C4B" w:rsidP="0006412F">
      <w:pPr>
        <w:spacing w:after="0" w:line="320" w:lineRule="exact"/>
        <w:jc w:val="both"/>
        <w:rPr>
          <w:rFonts w:eastAsia="Calibri" w:cstheme="minorHAnsi"/>
          <w:sz w:val="24"/>
          <w:szCs w:val="24"/>
        </w:rPr>
      </w:pPr>
    </w:p>
    <w:p w:rsidR="005B2C4B" w:rsidRPr="005B2C4B" w:rsidRDefault="005B2C4B" w:rsidP="0006412F">
      <w:pPr>
        <w:spacing w:after="0" w:line="320" w:lineRule="exact"/>
        <w:jc w:val="both"/>
        <w:rPr>
          <w:rFonts w:eastAsia="MS Mincho" w:cstheme="minorHAnsi"/>
          <w:sz w:val="24"/>
          <w:szCs w:val="24"/>
          <w:u w:val="single"/>
          <w:lang w:eastAsia="pl-PL"/>
        </w:rPr>
      </w:pPr>
    </w:p>
    <w:p w:rsidR="005B2C4B" w:rsidRPr="005B2C4B" w:rsidRDefault="005B2C4B" w:rsidP="0006412F">
      <w:pPr>
        <w:spacing w:after="0" w:line="320" w:lineRule="exact"/>
        <w:jc w:val="both"/>
        <w:rPr>
          <w:rFonts w:eastAsia="MS Mincho" w:cstheme="minorHAnsi"/>
          <w:sz w:val="24"/>
          <w:szCs w:val="24"/>
          <w:u w:val="single"/>
          <w:lang w:eastAsia="pl-PL"/>
        </w:rPr>
      </w:pPr>
    </w:p>
    <w:p w:rsidR="005B2C4B" w:rsidRPr="005B2C4B" w:rsidRDefault="005B2C4B" w:rsidP="0006412F">
      <w:pPr>
        <w:spacing w:after="0" w:line="320" w:lineRule="exact"/>
        <w:jc w:val="both"/>
        <w:rPr>
          <w:rFonts w:eastAsia="MS Mincho" w:cstheme="minorHAnsi"/>
          <w:sz w:val="24"/>
          <w:szCs w:val="24"/>
          <w:u w:val="single"/>
          <w:lang w:eastAsia="pl-PL"/>
        </w:rPr>
      </w:pPr>
    </w:p>
    <w:sectPr w:rsidR="005B2C4B" w:rsidRPr="005B2C4B" w:rsidSect="00B24711">
      <w:footerReference w:type="defaul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BD" w:rsidRDefault="00D310BD" w:rsidP="00ED0CE3">
      <w:pPr>
        <w:spacing w:after="0" w:line="240" w:lineRule="auto"/>
      </w:pPr>
      <w:r>
        <w:separator/>
      </w:r>
    </w:p>
  </w:endnote>
  <w:endnote w:type="continuationSeparator" w:id="0">
    <w:p w:rsidR="00D310BD" w:rsidRDefault="00D310BD" w:rsidP="00ED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471657"/>
      <w:docPartObj>
        <w:docPartGallery w:val="Page Numbers (Bottom of Page)"/>
        <w:docPartUnique/>
      </w:docPartObj>
    </w:sdtPr>
    <w:sdtEndPr/>
    <w:sdtContent>
      <w:p w:rsidR="00ED0CE3" w:rsidRDefault="00ED0C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2D9">
          <w:rPr>
            <w:noProof/>
          </w:rPr>
          <w:t>4</w:t>
        </w:r>
        <w:r>
          <w:fldChar w:fldCharType="end"/>
        </w:r>
      </w:p>
    </w:sdtContent>
  </w:sdt>
  <w:p w:rsidR="00B24711" w:rsidRDefault="00D31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BD" w:rsidRDefault="00D310BD" w:rsidP="00ED0CE3">
      <w:pPr>
        <w:spacing w:after="0" w:line="240" w:lineRule="auto"/>
      </w:pPr>
      <w:r>
        <w:separator/>
      </w:r>
    </w:p>
  </w:footnote>
  <w:footnote w:type="continuationSeparator" w:id="0">
    <w:p w:rsidR="00D310BD" w:rsidRDefault="00D310BD" w:rsidP="00ED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B34"/>
    <w:multiLevelType w:val="hybridMultilevel"/>
    <w:tmpl w:val="B9A4608E"/>
    <w:lvl w:ilvl="0" w:tplc="1B6EC8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928D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23717"/>
    <w:multiLevelType w:val="hybridMultilevel"/>
    <w:tmpl w:val="4AB68F3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4B"/>
    <w:rsid w:val="0006412F"/>
    <w:rsid w:val="000D32D9"/>
    <w:rsid w:val="001D6B9E"/>
    <w:rsid w:val="0021352A"/>
    <w:rsid w:val="003F4043"/>
    <w:rsid w:val="00442AA9"/>
    <w:rsid w:val="0044477D"/>
    <w:rsid w:val="0052348C"/>
    <w:rsid w:val="005B2C4B"/>
    <w:rsid w:val="005C545C"/>
    <w:rsid w:val="006A1133"/>
    <w:rsid w:val="00700DB0"/>
    <w:rsid w:val="00C2503C"/>
    <w:rsid w:val="00D310BD"/>
    <w:rsid w:val="00E86A5B"/>
    <w:rsid w:val="00ED0CE3"/>
    <w:rsid w:val="00F6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F9CA"/>
  <w15:chartTrackingRefBased/>
  <w15:docId w15:val="{AE0EA2DD-6552-4905-88DE-ED5458C4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C4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B2C4B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2C4B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2C4B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B2C4B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2C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5B2C4B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B2C4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B2C4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2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urlSearch.seam?HitlistCaption=Orzeczenia%20dla:%20Dz.U.%20z%202017%20r.%20poz.%202136%20t.j.%20Art.%2032%20%C2%A7%203&amp;orz4papaggr=40600043&amp;sortField=document-date&amp;facetField=decte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3DC5-1D92-40E0-8976-B5A8E583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Paulina Kolaszyńska</cp:lastModifiedBy>
  <cp:revision>3</cp:revision>
  <cp:lastPrinted>2020-04-01T11:02:00Z</cp:lastPrinted>
  <dcterms:created xsi:type="dcterms:W3CDTF">2020-04-06T08:17:00Z</dcterms:created>
  <dcterms:modified xsi:type="dcterms:W3CDTF">2020-04-06T08:17:00Z</dcterms:modified>
</cp:coreProperties>
</file>