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6BC4932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AD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6" o:title=""/>
          </v:shape>
          <o:OLEObject Type="Embed" ProgID="Word.Picture.8" ShapeID="_x0000_i1025" DrawAspect="Content" ObjectID="_1774862213" r:id="rId7"/>
        </w:object>
      </w:r>
    </w:p>
    <w:p w14:paraId="6F4E522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AB370E0" w14:textId="6621EEC4"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w:t>
      </w:r>
      <w:r w:rsidR="006C783A">
        <w:rPr>
          <w:rFonts w:ascii="Calibri" w:eastAsia="Lucida Sans Unicode" w:hAnsi="Calibri" w:cs="Calibri"/>
          <w:bCs/>
          <w:kern w:val="28"/>
          <w:sz w:val="24"/>
          <w:szCs w:val="24"/>
        </w:rPr>
        <w:t>egionalny Dyrektor Ochrony Środowiska w Olsztynie</w:t>
      </w:r>
    </w:p>
    <w:p w14:paraId="40FE03D6" w14:textId="564B149F" w:rsidR="00F432E6" w:rsidRDefault="006C783A"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w:t>
      </w:r>
      <w:r w:rsidR="00ED0646">
        <w:rPr>
          <w:rFonts w:ascii="Calibri" w:eastAsia="Lucida Sans Unicode" w:hAnsi="Calibri" w:cs="Calibri"/>
          <w:bCs/>
          <w:kern w:val="28"/>
          <w:sz w:val="24"/>
          <w:szCs w:val="24"/>
        </w:rPr>
        <w:t>420.1.2024.JM.11</w:t>
      </w:r>
    </w:p>
    <w:p w14:paraId="6BE60700" w14:textId="05C13CC4"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6C783A">
        <w:rPr>
          <w:rFonts w:ascii="Calibri" w:eastAsia="Lucida Sans Unicode" w:hAnsi="Calibri" w:cs="Calibri"/>
          <w:bCs/>
          <w:kern w:val="28"/>
          <w:sz w:val="24"/>
          <w:szCs w:val="24"/>
        </w:rPr>
        <w:t>1</w:t>
      </w:r>
      <w:r w:rsidR="00ED0646">
        <w:rPr>
          <w:rFonts w:ascii="Calibri" w:eastAsia="Lucida Sans Unicode" w:hAnsi="Calibri" w:cs="Calibri"/>
          <w:bCs/>
          <w:kern w:val="28"/>
          <w:sz w:val="24"/>
          <w:szCs w:val="24"/>
        </w:rPr>
        <w:t>7</w:t>
      </w:r>
      <w:r w:rsidR="006C783A">
        <w:rPr>
          <w:rFonts w:ascii="Calibri" w:eastAsia="Lucida Sans Unicode" w:hAnsi="Calibri" w:cs="Calibri"/>
          <w:bCs/>
          <w:kern w:val="28"/>
          <w:sz w:val="24"/>
          <w:szCs w:val="24"/>
        </w:rPr>
        <w:t xml:space="preserve"> kwietnia</w:t>
      </w:r>
      <w:r w:rsidR="0059430B">
        <w:rPr>
          <w:rFonts w:ascii="Calibri" w:eastAsia="Lucida Sans Unicode" w:hAnsi="Calibri" w:cs="Calibri"/>
          <w:bCs/>
          <w:kern w:val="28"/>
          <w:sz w:val="24"/>
          <w:szCs w:val="24"/>
        </w:rPr>
        <w:t xml:space="preserve"> 2024</w:t>
      </w:r>
      <w:r w:rsidR="00D150E7">
        <w:rPr>
          <w:rFonts w:ascii="Calibri" w:eastAsia="Lucida Sans Unicode" w:hAnsi="Calibri" w:cs="Calibri"/>
          <w:bCs/>
          <w:kern w:val="28"/>
          <w:sz w:val="24"/>
          <w:szCs w:val="24"/>
        </w:rPr>
        <w:t xml:space="preserve"> r.</w:t>
      </w:r>
    </w:p>
    <w:p w14:paraId="72A7782B" w14:textId="367BD20B"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59430B">
        <w:rPr>
          <w:rFonts w:asciiTheme="minorHAnsi" w:eastAsia="SimSun" w:hAnsiTheme="minorHAnsi" w:cstheme="minorHAnsi"/>
          <w:color w:val="auto"/>
          <w:sz w:val="28"/>
          <w:szCs w:val="28"/>
          <w:lang w:eastAsia="zh-CN" w:bidi="hi-IN"/>
        </w:rPr>
        <w:t>o środowiskowych uwarunkowaniach</w:t>
      </w:r>
    </w:p>
    <w:p w14:paraId="03180C6C" w14:textId="476B7BCA" w:rsidR="00D150E7" w:rsidRPr="0067347E" w:rsidRDefault="00D150E7" w:rsidP="0067347E">
      <w:pPr>
        <w:spacing w:after="100" w:afterAutospacing="1" w:line="360" w:lineRule="auto"/>
        <w:rPr>
          <w:sz w:val="24"/>
          <w:szCs w:val="24"/>
          <w:lang w:eastAsia="zh-CN" w:bidi="hi-IN"/>
        </w:rPr>
      </w:pPr>
      <w:r w:rsidRPr="00D150E7">
        <w:rPr>
          <w:sz w:val="24"/>
          <w:szCs w:val="24"/>
          <w:lang w:eastAsia="zh-CN" w:bidi="hi-IN"/>
        </w:rPr>
        <w:t xml:space="preserve">Na </w:t>
      </w:r>
      <w:r w:rsidR="00ED0646" w:rsidRPr="00ED0646">
        <w:rPr>
          <w:sz w:val="24"/>
          <w:szCs w:val="24"/>
          <w:lang w:eastAsia="zh-CN" w:bidi="hi-IN"/>
        </w:rPr>
        <w:t>podstawie art. 71 ust. 2 pkt 2, art. 75 ust. 1 pkt 1 lit. d oraz art. 84 ustawy z dnia 3</w:t>
      </w:r>
      <w:r w:rsidR="00ED0646">
        <w:rPr>
          <w:sz w:val="24"/>
          <w:szCs w:val="24"/>
          <w:lang w:eastAsia="zh-CN" w:bidi="hi-IN"/>
        </w:rPr>
        <w:t xml:space="preserve"> </w:t>
      </w:r>
      <w:r w:rsidR="00ED0646" w:rsidRPr="00ED0646">
        <w:rPr>
          <w:sz w:val="24"/>
          <w:szCs w:val="24"/>
          <w:lang w:eastAsia="zh-CN" w:bidi="hi-IN"/>
        </w:rPr>
        <w:t>października 2008 r. o udostępnianiu informacji o środowisku i jego ochronie, udziale społeczeństwa w ochronie środowiska oraz o ocenach oddziaływania na środowisko</w:t>
      </w:r>
      <w:r w:rsidR="00ED0646">
        <w:rPr>
          <w:sz w:val="24"/>
          <w:szCs w:val="24"/>
          <w:lang w:eastAsia="zh-CN" w:bidi="hi-IN"/>
        </w:rPr>
        <w:t xml:space="preserve"> </w:t>
      </w:r>
      <w:r w:rsidR="00ED0646" w:rsidRPr="00ED0646">
        <w:rPr>
          <w:sz w:val="24"/>
          <w:szCs w:val="24"/>
          <w:lang w:eastAsia="zh-CN" w:bidi="hi-IN"/>
        </w:rPr>
        <w:t xml:space="preserve">(Dz.U.2023.1094 ze zm.) – dalej ustawa </w:t>
      </w:r>
      <w:proofErr w:type="spellStart"/>
      <w:r w:rsidR="00ED0646" w:rsidRPr="00ED0646">
        <w:rPr>
          <w:sz w:val="24"/>
          <w:szCs w:val="24"/>
          <w:lang w:eastAsia="zh-CN" w:bidi="hi-IN"/>
        </w:rPr>
        <w:t>ooś</w:t>
      </w:r>
      <w:proofErr w:type="spellEnd"/>
      <w:r w:rsidR="00ED0646" w:rsidRPr="00ED0646">
        <w:rPr>
          <w:sz w:val="24"/>
          <w:szCs w:val="24"/>
          <w:lang w:eastAsia="zh-CN" w:bidi="hi-IN"/>
        </w:rPr>
        <w:t>, a także § 3 ust. 1 pkt 88 lit. b rozporządzenia Rady Ministrów z dnia 10 września 2019 r. w sprawie przedsięwzięć mogących znacząco oddziaływać na środowisko  (Dz.U.2019.1839 ze zm.), w związku z art. 104 ustawy z dnia 14 czerwca 1960 r. Kodeks postępowania administracyjnego (Dz.U.2023.775 ze zm.) – dalej KPA, po rozpatrzeniu wniosku złożonego przez (</w:t>
      </w:r>
      <w:proofErr w:type="spellStart"/>
      <w:r w:rsidR="00ED0646" w:rsidRPr="00ED0646">
        <w:rPr>
          <w:sz w:val="24"/>
          <w:szCs w:val="24"/>
          <w:lang w:eastAsia="zh-CN" w:bidi="hi-IN"/>
        </w:rPr>
        <w:t>anonimizacja</w:t>
      </w:r>
      <w:proofErr w:type="spellEnd"/>
      <w:r w:rsidR="00ED0646" w:rsidRPr="00ED0646">
        <w:rPr>
          <w:sz w:val="24"/>
          <w:szCs w:val="24"/>
          <w:lang w:eastAsia="zh-CN" w:bidi="hi-IN"/>
        </w:rPr>
        <w:t>)</w:t>
      </w:r>
      <w:r w:rsidR="0059430B">
        <w:rPr>
          <w:sz w:val="24"/>
          <w:szCs w:val="24"/>
          <w:lang w:eastAsia="zh-CN" w:bidi="hi-IN"/>
        </w:rPr>
        <w:t xml:space="preserve"> </w:t>
      </w:r>
    </w:p>
    <w:p w14:paraId="26C5A083" w14:textId="77777777" w:rsidR="00ED0646" w:rsidRDefault="00ED0646" w:rsidP="00ED0646">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orzekam</w:t>
      </w:r>
    </w:p>
    <w:p w14:paraId="5E1926DA" w14:textId="77777777" w:rsidR="00ED0646" w:rsidRPr="00ED0646" w:rsidRDefault="00ED0646" w:rsidP="00ED0646">
      <w:pPr>
        <w:pStyle w:val="Akapitzlist"/>
        <w:numPr>
          <w:ilvl w:val="0"/>
          <w:numId w:val="41"/>
        </w:numPr>
        <w:spacing w:after="0" w:line="360" w:lineRule="auto"/>
        <w:ind w:left="714" w:hanging="357"/>
        <w:rPr>
          <w:rFonts w:ascii="Calibri" w:hAnsi="Calibri" w:cs="Calibri"/>
          <w:sz w:val="24"/>
          <w:szCs w:val="24"/>
        </w:rPr>
      </w:pPr>
      <w:r w:rsidRPr="00ED0646">
        <w:rPr>
          <w:rFonts w:ascii="Calibri" w:hAnsi="Calibri" w:cs="Calibri"/>
          <w:sz w:val="24"/>
          <w:szCs w:val="24"/>
        </w:rPr>
        <w:t>brak potrzeby przeprowadzenia oceny oddziaływania na środowisko dla przedsięwzięcia polegającego na zmianie lasu na użytek rolny na działce nr 179/2 obręb Kwietniewo, na terenie gminy Rychliki.</w:t>
      </w:r>
    </w:p>
    <w:p w14:paraId="23C9151E" w14:textId="77777777" w:rsidR="00ED0646" w:rsidRPr="00ED0646" w:rsidRDefault="00ED0646" w:rsidP="00ED0646">
      <w:pPr>
        <w:pStyle w:val="Akapitzlist"/>
        <w:numPr>
          <w:ilvl w:val="0"/>
          <w:numId w:val="41"/>
        </w:numPr>
        <w:spacing w:after="0" w:line="360" w:lineRule="auto"/>
        <w:ind w:left="714" w:hanging="357"/>
        <w:rPr>
          <w:rFonts w:ascii="Calibri" w:hAnsi="Calibri" w:cs="Calibri"/>
          <w:sz w:val="24"/>
          <w:szCs w:val="24"/>
        </w:rPr>
      </w:pPr>
      <w:r w:rsidRPr="00ED0646">
        <w:rPr>
          <w:rFonts w:ascii="Calibri" w:hAnsi="Calibri" w:cs="Calibri"/>
          <w:sz w:val="24"/>
          <w:szCs w:val="24"/>
        </w:rPr>
        <w:t>na etapie realizacji przedsięwzięcia nakładam obowiązek podjęcia następujących działań:</w:t>
      </w:r>
    </w:p>
    <w:p w14:paraId="5FAE8BF9" w14:textId="77777777" w:rsidR="00ED0646" w:rsidRPr="00ED0646" w:rsidRDefault="00ED0646" w:rsidP="00ED0646">
      <w:pPr>
        <w:pStyle w:val="Akapitzlist"/>
        <w:numPr>
          <w:ilvl w:val="0"/>
          <w:numId w:val="42"/>
        </w:numPr>
        <w:spacing w:after="0" w:line="360" w:lineRule="auto"/>
        <w:ind w:left="714" w:hanging="357"/>
        <w:rPr>
          <w:rFonts w:ascii="Calibri" w:hAnsi="Calibri" w:cs="Calibri"/>
          <w:sz w:val="24"/>
          <w:szCs w:val="24"/>
        </w:rPr>
      </w:pPr>
      <w:r w:rsidRPr="00ED0646">
        <w:rPr>
          <w:rFonts w:ascii="Calibri" w:hAnsi="Calibri" w:cs="Calibri"/>
          <w:sz w:val="24"/>
          <w:szCs w:val="24"/>
        </w:rPr>
        <w:t>prace związane z wycinką drzewostanu należy prowadzić w porze dziennej (w godz. 6.00 – 22.00), w okresie od 16 października do końca lutego (poza okresem lęgowym ptaków);</w:t>
      </w:r>
    </w:p>
    <w:p w14:paraId="7E359E04" w14:textId="77777777" w:rsidR="00ED0646" w:rsidRPr="00ED0646" w:rsidRDefault="00ED0646" w:rsidP="00ED0646">
      <w:pPr>
        <w:pStyle w:val="Akapitzlist"/>
        <w:numPr>
          <w:ilvl w:val="0"/>
          <w:numId w:val="42"/>
        </w:numPr>
        <w:spacing w:after="0" w:line="360" w:lineRule="auto"/>
        <w:ind w:left="714" w:hanging="357"/>
        <w:rPr>
          <w:rFonts w:ascii="Calibri" w:hAnsi="Calibri" w:cs="Calibri"/>
          <w:sz w:val="24"/>
          <w:szCs w:val="24"/>
        </w:rPr>
      </w:pPr>
      <w:r w:rsidRPr="00ED0646">
        <w:rPr>
          <w:rFonts w:ascii="Calibri" w:hAnsi="Calibri" w:cs="Calibri"/>
          <w:sz w:val="24"/>
          <w:szCs w:val="24"/>
        </w:rPr>
        <w:t>przed przystąpieniem do usuwania drzew i krzewów należy dokonać oględzin w zakresie występowania w ich obrębie gatunków chronionych;</w:t>
      </w:r>
    </w:p>
    <w:p w14:paraId="45F20489" w14:textId="77777777" w:rsidR="00ED0646" w:rsidRPr="00ED0646" w:rsidRDefault="00ED0646" w:rsidP="00ED0646">
      <w:pPr>
        <w:pStyle w:val="Akapitzlist"/>
        <w:numPr>
          <w:ilvl w:val="0"/>
          <w:numId w:val="42"/>
        </w:numPr>
        <w:spacing w:after="0" w:line="360" w:lineRule="auto"/>
        <w:ind w:left="714" w:hanging="357"/>
        <w:rPr>
          <w:rFonts w:ascii="Calibri" w:hAnsi="Calibri" w:cs="Calibri"/>
          <w:sz w:val="24"/>
          <w:szCs w:val="24"/>
        </w:rPr>
      </w:pPr>
      <w:r w:rsidRPr="00ED0646">
        <w:rPr>
          <w:rFonts w:ascii="Calibri" w:hAnsi="Calibri" w:cs="Calibri"/>
          <w:sz w:val="24"/>
          <w:szCs w:val="24"/>
        </w:rPr>
        <w:t>wykorzystywać nowoczesny, sprawny technicznie sprzęt, w celu minimalizacji ryzyka zaistnienia awarii i potencjalnego przedostania się do środowiska jakichkolwiek zanieczyszczeń;</w:t>
      </w:r>
    </w:p>
    <w:p w14:paraId="613C08D9" w14:textId="77777777" w:rsidR="00ED0646" w:rsidRPr="00ED0646" w:rsidRDefault="00ED0646" w:rsidP="00ED0646">
      <w:pPr>
        <w:pStyle w:val="Akapitzlist"/>
        <w:numPr>
          <w:ilvl w:val="0"/>
          <w:numId w:val="42"/>
        </w:numPr>
        <w:spacing w:after="0" w:line="360" w:lineRule="auto"/>
        <w:ind w:left="714" w:hanging="357"/>
        <w:rPr>
          <w:rFonts w:ascii="Calibri" w:hAnsi="Calibri" w:cs="Calibri"/>
          <w:sz w:val="24"/>
          <w:szCs w:val="24"/>
        </w:rPr>
      </w:pPr>
      <w:r w:rsidRPr="00ED0646">
        <w:rPr>
          <w:rFonts w:ascii="Calibri" w:hAnsi="Calibri" w:cs="Calibri"/>
          <w:sz w:val="24"/>
          <w:szCs w:val="24"/>
        </w:rPr>
        <w:t xml:space="preserve">w celu neutralizacji ewentualnych wycieków substancji ropopochodnych należy na bieżąco usuwać je z wykorzystaniem sorbentów, w przypadku znacznego </w:t>
      </w:r>
      <w:r w:rsidRPr="00ED0646">
        <w:rPr>
          <w:rFonts w:ascii="Calibri" w:hAnsi="Calibri" w:cs="Calibri"/>
          <w:sz w:val="24"/>
          <w:szCs w:val="24"/>
        </w:rPr>
        <w:lastRenderedPageBreak/>
        <w:t>zanieczyszczenia gruntu zapewnić sprawne jego zebranie i usunięcie przez uprawniony podmiot.</w:t>
      </w:r>
    </w:p>
    <w:p w14:paraId="7530CBA9" w14:textId="1B3E0C8E" w:rsidR="00D150E7" w:rsidRPr="00ED0646" w:rsidRDefault="00ED0646" w:rsidP="00ED0646">
      <w:pPr>
        <w:pStyle w:val="Akapitzlist"/>
        <w:numPr>
          <w:ilvl w:val="0"/>
          <w:numId w:val="41"/>
        </w:numPr>
        <w:spacing w:after="100" w:afterAutospacing="1" w:line="360" w:lineRule="auto"/>
        <w:ind w:left="714" w:hanging="357"/>
        <w:rPr>
          <w:rFonts w:ascii="Calibri" w:hAnsi="Calibri" w:cs="Calibri"/>
          <w:sz w:val="24"/>
          <w:szCs w:val="24"/>
        </w:rPr>
      </w:pPr>
      <w:r w:rsidRPr="00ED0646">
        <w:rPr>
          <w:rFonts w:ascii="Calibri" w:hAnsi="Calibri" w:cs="Calibri"/>
          <w:sz w:val="24"/>
          <w:szCs w:val="24"/>
        </w:rPr>
        <w:t>charakterystyka przedsięwzięcia stanowi załącznik do niniejszej decyzji</w:t>
      </w:r>
      <w:r w:rsidR="0067347E" w:rsidRPr="00ED0646">
        <w:rPr>
          <w:bCs/>
          <w:sz w:val="24"/>
          <w:szCs w:val="24"/>
        </w:rPr>
        <w:t>.</w:t>
      </w:r>
    </w:p>
    <w:p w14:paraId="6C0211B2"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2F256B76" w14:textId="77777777" w:rsidR="00ED0646" w:rsidRDefault="00ED0646" w:rsidP="00ED0646">
      <w:pPr>
        <w:spacing w:after="0" w:line="360" w:lineRule="auto"/>
        <w:rPr>
          <w:sz w:val="24"/>
          <w:szCs w:val="24"/>
          <w:lang w:eastAsia="zh-CN"/>
        </w:rPr>
      </w:pPr>
      <w:r w:rsidRPr="00ED0646">
        <w:rPr>
          <w:sz w:val="24"/>
          <w:szCs w:val="24"/>
          <w:lang w:eastAsia="zh-CN"/>
        </w:rPr>
        <w:t>(</w:t>
      </w:r>
      <w:proofErr w:type="spellStart"/>
      <w:r w:rsidRPr="00ED0646">
        <w:rPr>
          <w:sz w:val="24"/>
          <w:szCs w:val="24"/>
          <w:lang w:eastAsia="zh-CN"/>
        </w:rPr>
        <w:t>anonimizacja</w:t>
      </w:r>
      <w:proofErr w:type="spellEnd"/>
      <w:r w:rsidRPr="00ED0646">
        <w:rPr>
          <w:sz w:val="24"/>
          <w:szCs w:val="24"/>
          <w:lang w:eastAsia="zh-CN"/>
        </w:rPr>
        <w:t>) pismem z 19 grudnia 2023 r. wystąpili do Regionalnego Dyrektora Ochrony Środowiska w Olsztynie z wnioskiem o wydanie decyzji o środowiskowych uwarunkowaniach dla planowanego przedsięwzięcia polegającego na zmianie lasu na użytek rolny na działce nr 179/2 obręb Kwietniewo, gmina Rychliki.</w:t>
      </w:r>
    </w:p>
    <w:p w14:paraId="616835D5" w14:textId="77777777" w:rsidR="00ED0646" w:rsidRDefault="00ED0646" w:rsidP="00ED0646">
      <w:pPr>
        <w:spacing w:after="0" w:line="360" w:lineRule="auto"/>
        <w:rPr>
          <w:sz w:val="24"/>
          <w:szCs w:val="24"/>
          <w:lang w:eastAsia="zh-CN"/>
        </w:rPr>
      </w:pPr>
      <w:r w:rsidRPr="00ED0646">
        <w:rPr>
          <w:sz w:val="24"/>
          <w:szCs w:val="24"/>
          <w:lang w:eastAsia="zh-CN"/>
        </w:rPr>
        <w:t xml:space="preserve">Przedłożony wniosek nie spełniał wymagań z art. 74 ustawy </w:t>
      </w:r>
      <w:proofErr w:type="spellStart"/>
      <w:r w:rsidRPr="00ED0646">
        <w:rPr>
          <w:sz w:val="24"/>
          <w:szCs w:val="24"/>
          <w:lang w:eastAsia="zh-CN"/>
        </w:rPr>
        <w:t>ooś</w:t>
      </w:r>
      <w:proofErr w:type="spellEnd"/>
      <w:r w:rsidRPr="00ED0646">
        <w:rPr>
          <w:sz w:val="24"/>
          <w:szCs w:val="24"/>
          <w:lang w:eastAsia="zh-CN"/>
        </w:rPr>
        <w:t>. W związku z powyższym pismami z 19 i 23 stycznia 2024 r. oraz 2 i 12 lutego br. wezwano Wnioskodawców w trybie art. 64 § 2 KPA do uzupełnienia braków formalnych. W dniu 14 lutego br. do tut. urzędu wpłynęło uzupełnienie dokumentacji ostatecznie spełniające wymogi ww. ustawy. Wniosek zawierał m.in. kartę informacyjną przedsięwzięcia (dalej KIP), poświadczoną przez właściwy organ kopię mapy ewidencyjnej obejmującej przewidywany teren, na którym będzie realizowane przedsięwzięcie oraz obejmującej obszar, na który będzie oddziaływać przedsięwzięcie oraz zaświadczenie o braku miejscowego planu zagospodarowania przestrzennego dla wnioskowanego terenu.</w:t>
      </w:r>
    </w:p>
    <w:p w14:paraId="0F04D041" w14:textId="77777777" w:rsidR="00ED0646" w:rsidRDefault="00ED0646" w:rsidP="00ED0646">
      <w:pPr>
        <w:spacing w:after="0" w:line="360" w:lineRule="auto"/>
        <w:rPr>
          <w:sz w:val="24"/>
          <w:szCs w:val="24"/>
          <w:lang w:eastAsia="zh-CN"/>
        </w:rPr>
      </w:pPr>
      <w:r w:rsidRPr="00ED0646">
        <w:rPr>
          <w:sz w:val="24"/>
          <w:szCs w:val="24"/>
          <w:lang w:eastAsia="zh-CN"/>
        </w:rPr>
        <w:t>Informację dot. wniosku o wydanie decyzji o środowiskowych uwarunkowaniach umieszczono w publicznie dostępnym wykazie danych o dokumentach zawierających informacje o środowisku i jego ochronie.</w:t>
      </w:r>
    </w:p>
    <w:p w14:paraId="7D8CF293" w14:textId="77777777" w:rsidR="00ED0646" w:rsidRDefault="00ED0646" w:rsidP="00ED0646">
      <w:pPr>
        <w:spacing w:after="0" w:line="360" w:lineRule="auto"/>
        <w:rPr>
          <w:sz w:val="24"/>
          <w:szCs w:val="24"/>
          <w:lang w:eastAsia="zh-CN"/>
        </w:rPr>
      </w:pPr>
      <w:r w:rsidRPr="00ED0646">
        <w:rPr>
          <w:sz w:val="24"/>
          <w:szCs w:val="24"/>
          <w:lang w:eastAsia="zh-CN"/>
        </w:rPr>
        <w:t xml:space="preserve">Po przeanalizowaniu przedłożonego wniosku, Regionalny Dyrektor Ochrony Środowiska w Olsztynie w dniu 20 lutego 2024 r. poinformował o wszczęciu postępowania w sprawie wydania decyzji o środowiskowych uwarunkowaniach dla przedsięwzięcia polegającego na zmianie lasu na użytek rolny na działce nr 179/2 obręb Kwietniewo oraz o możliwości zapoznania się z aktami sprawy oraz składania uwag i wniosków, zgodnie z art. 61 § 4 KPA. Stosownie do art. 74 ust. 3 ustawy </w:t>
      </w:r>
      <w:proofErr w:type="spellStart"/>
      <w:r w:rsidRPr="00ED0646">
        <w:rPr>
          <w:sz w:val="24"/>
          <w:szCs w:val="24"/>
          <w:lang w:eastAsia="zh-CN"/>
        </w:rPr>
        <w:t>ooś</w:t>
      </w:r>
      <w:proofErr w:type="spellEnd"/>
      <w:r w:rsidRPr="00ED0646">
        <w:rPr>
          <w:sz w:val="24"/>
          <w:szCs w:val="24"/>
          <w:lang w:eastAsia="zh-CN"/>
        </w:rPr>
        <w:t>, w związku z art. 49 KPA, strony przedmiotowego postępowania, z uwagi na liczbę przekraczającą 10, zostały powiadomione o postępowaniu i o możliwości zapoznania się z aktami sprawy oraz składania uwag i wniosków, w drodze obwieszczenia, które umieszczono na stronie Biuletynu Informacji Publicznej oraz na tablicy ogłoszeń Regionalnej Dyrekcji Ochrony Środowiska w Olsztynie, jak również na tablicy ogłoszeń Urzędu Gminy Rychliki.</w:t>
      </w:r>
    </w:p>
    <w:p w14:paraId="7243DA7D" w14:textId="77777777" w:rsidR="00ED0646" w:rsidRDefault="00ED0646" w:rsidP="00ED0646">
      <w:pPr>
        <w:spacing w:after="0" w:line="360" w:lineRule="auto"/>
        <w:rPr>
          <w:sz w:val="24"/>
          <w:szCs w:val="24"/>
          <w:lang w:eastAsia="zh-CN"/>
        </w:rPr>
      </w:pPr>
      <w:r w:rsidRPr="00ED0646">
        <w:rPr>
          <w:sz w:val="24"/>
          <w:szCs w:val="24"/>
          <w:lang w:eastAsia="zh-CN"/>
        </w:rPr>
        <w:t>W trakcie prowadzonego postępowania, żadne formalne uwagi lub wnioski w sprawie nie wpłynęły do tut. organu.</w:t>
      </w:r>
    </w:p>
    <w:p w14:paraId="647E9DDB" w14:textId="7AC9012A" w:rsidR="00ED0646" w:rsidRDefault="00ED0646" w:rsidP="00ED0646">
      <w:pPr>
        <w:spacing w:after="0" w:line="360" w:lineRule="auto"/>
        <w:rPr>
          <w:sz w:val="24"/>
          <w:szCs w:val="24"/>
          <w:lang w:eastAsia="zh-CN"/>
        </w:rPr>
      </w:pPr>
      <w:r w:rsidRPr="00ED0646">
        <w:rPr>
          <w:sz w:val="24"/>
          <w:szCs w:val="24"/>
          <w:lang w:eastAsia="zh-CN"/>
        </w:rPr>
        <w:lastRenderedPageBreak/>
        <w:t>Planowana inwestycja zalicza się do przedsięwzięć mogących potencjalnie znacząco oddziaływać na środowisko, zgodnie z § 3 ust. 1 pkt 88 lit. b rozporządzenia Rady Ministrów z dnia 10 września 2019 r. w sprawie przedsięwzięć mogących znacząco oddziaływać na środowisko – zmiana lasu, innego gruntu o zwartej powierzchni co najmniej 0,10 ha pokrytego roślinnością leśną - drzewami i krzewami oraz runem leśnym - lub nieużytku na użytek rolny lub wylesienie mające na celu zmianę sposobu użytkowania terenu, jeżeli dotyczy enklaw pośród użytków rolnych lub nieużytków</w:t>
      </w:r>
      <w:r>
        <w:rPr>
          <w:sz w:val="24"/>
          <w:szCs w:val="24"/>
          <w:lang w:eastAsia="zh-CN"/>
        </w:rPr>
        <w:t>.</w:t>
      </w:r>
    </w:p>
    <w:p w14:paraId="4427DF11" w14:textId="2112ACDF" w:rsidR="00ED0646" w:rsidRPr="00ED0646" w:rsidRDefault="00ED0646" w:rsidP="00ED0646">
      <w:pPr>
        <w:spacing w:after="0" w:line="360" w:lineRule="auto"/>
        <w:rPr>
          <w:sz w:val="24"/>
          <w:szCs w:val="24"/>
          <w:lang w:eastAsia="zh-CN"/>
        </w:rPr>
      </w:pPr>
      <w:r w:rsidRPr="00ED0646">
        <w:rPr>
          <w:sz w:val="24"/>
          <w:szCs w:val="24"/>
          <w:lang w:eastAsia="zh-CN"/>
        </w:rPr>
        <w:t xml:space="preserve">Zgodnie z art. 71 ust. 2  pkt 2 ustawy </w:t>
      </w:r>
      <w:proofErr w:type="spellStart"/>
      <w:r w:rsidRPr="00ED0646">
        <w:rPr>
          <w:sz w:val="24"/>
          <w:szCs w:val="24"/>
          <w:lang w:eastAsia="zh-CN"/>
        </w:rPr>
        <w:t>ooś</w:t>
      </w:r>
      <w:proofErr w:type="spellEnd"/>
      <w:r w:rsidRPr="00ED0646">
        <w:rPr>
          <w:sz w:val="24"/>
          <w:szCs w:val="24"/>
          <w:lang w:eastAsia="zh-CN"/>
        </w:rPr>
        <w:t>, przedsięwzięcie mogące potencjalnie znacząco oddziaływać na środowisko wymaga uzyskania decyzji o środowiskowych uwarunkowaniach.</w:t>
      </w:r>
    </w:p>
    <w:p w14:paraId="5B4C7567" w14:textId="77777777" w:rsidR="00ED0646" w:rsidRDefault="00ED0646" w:rsidP="00ED0646">
      <w:pPr>
        <w:spacing w:after="0" w:line="360" w:lineRule="auto"/>
        <w:rPr>
          <w:sz w:val="24"/>
          <w:szCs w:val="24"/>
          <w:lang w:eastAsia="zh-CN"/>
        </w:rPr>
      </w:pPr>
      <w:r w:rsidRPr="00ED0646">
        <w:rPr>
          <w:sz w:val="24"/>
          <w:szCs w:val="24"/>
          <w:lang w:eastAsia="zh-CN"/>
        </w:rPr>
        <w:t>W myśl art. 75 ust. 1 pkt 1 lit. d ww. ustawy, organem właściwym do wydania decyzji o środowiskowych uwarunkowaniach dla zmiany lasu, niestanowiącego własności Skarbu Państwa, na użytek rolny jest regionalny dyrektor ochrony środowiska.</w:t>
      </w:r>
    </w:p>
    <w:p w14:paraId="0F6BED1C" w14:textId="77777777" w:rsidR="00ED0646" w:rsidRDefault="00ED0646" w:rsidP="00ED0646">
      <w:pPr>
        <w:spacing w:after="0" w:line="360" w:lineRule="auto"/>
        <w:rPr>
          <w:sz w:val="24"/>
          <w:szCs w:val="24"/>
          <w:lang w:eastAsia="zh-CN"/>
        </w:rPr>
      </w:pPr>
      <w:r w:rsidRPr="00ED0646">
        <w:rPr>
          <w:sz w:val="24"/>
          <w:szCs w:val="24"/>
          <w:lang w:eastAsia="zh-CN"/>
        </w:rPr>
        <w:t xml:space="preserve">Dla planowanego przedsięwzięcia mogącego potencjalnie znacząco oddziaływać na środowisko, organ właściwy do wydania decyzji o środowiskowych uwarunkowaniach, stwierdza w drodze postanowienia o potrzebie przeprowadzenia oceny oddziaływania na środowisko. Zgodnie z zapisem art. 63 ust. 2 ustawy </w:t>
      </w:r>
      <w:proofErr w:type="spellStart"/>
      <w:r w:rsidRPr="00ED0646">
        <w:rPr>
          <w:sz w:val="24"/>
          <w:szCs w:val="24"/>
          <w:lang w:eastAsia="zh-CN"/>
        </w:rPr>
        <w:t>ooś</w:t>
      </w:r>
      <w:proofErr w:type="spellEnd"/>
      <w:r w:rsidRPr="00ED0646">
        <w:rPr>
          <w:sz w:val="24"/>
          <w:szCs w:val="24"/>
          <w:lang w:eastAsia="zh-CN"/>
        </w:rPr>
        <w:t>, postanowienie wydaje się również, jeżeli organ nie stwierdzi potrzeby przeprowadzenia oceny oddziaływania przedsięwzięcia na środowisko.</w:t>
      </w:r>
    </w:p>
    <w:p w14:paraId="16136031" w14:textId="77777777" w:rsidR="00ED0646" w:rsidRDefault="00ED0646" w:rsidP="00ED0646">
      <w:pPr>
        <w:spacing w:after="0" w:line="360" w:lineRule="auto"/>
        <w:rPr>
          <w:sz w:val="24"/>
          <w:szCs w:val="24"/>
          <w:lang w:eastAsia="zh-CN"/>
        </w:rPr>
      </w:pPr>
      <w:r w:rsidRPr="00ED0646">
        <w:rPr>
          <w:sz w:val="24"/>
          <w:szCs w:val="24"/>
          <w:lang w:eastAsia="zh-CN"/>
        </w:rPr>
        <w:t xml:space="preserve">W myśl art. 63, art. 64 ust. 1 pkt. 1 i 4 ustawy </w:t>
      </w:r>
      <w:proofErr w:type="spellStart"/>
      <w:r w:rsidRPr="00ED0646">
        <w:rPr>
          <w:sz w:val="24"/>
          <w:szCs w:val="24"/>
          <w:lang w:eastAsia="zh-CN"/>
        </w:rPr>
        <w:t>ooś</w:t>
      </w:r>
      <w:proofErr w:type="spellEnd"/>
      <w:r w:rsidRPr="00ED0646">
        <w:rPr>
          <w:sz w:val="24"/>
          <w:szCs w:val="24"/>
          <w:lang w:eastAsia="zh-CN"/>
        </w:rPr>
        <w:t>, a także zgodnie z § 3 ust. 1 pkt 88 lit. b rozporządzenia Rady Ministrów z dnia 10 września 2019 r. w sprawie przedsięwzięć mogących znacząco oddziaływać na środowisko, realizacja przedmiotowego przedsięwzięcia wymaga przeprowadzenia oceny oddziaływania na środowisko, jeżeli obowiązek przeprowadzenia takiej oceny zostanie stwierdzony po analizie wniosku oraz zasięgnięciu opinii stosownych organów.</w:t>
      </w:r>
    </w:p>
    <w:p w14:paraId="5630FFAE" w14:textId="77777777" w:rsidR="00ED0646" w:rsidRDefault="00ED0646" w:rsidP="00ED0646">
      <w:pPr>
        <w:spacing w:after="0" w:line="360" w:lineRule="auto"/>
        <w:rPr>
          <w:sz w:val="24"/>
          <w:szCs w:val="24"/>
          <w:lang w:eastAsia="zh-CN"/>
        </w:rPr>
      </w:pPr>
      <w:r w:rsidRPr="00ED0646">
        <w:rPr>
          <w:sz w:val="24"/>
          <w:szCs w:val="24"/>
          <w:lang w:eastAsia="zh-CN"/>
        </w:rPr>
        <w:t>W związku z tym, tutejszy organ pismem z 20 lutego br. wystąpił do PGW Wody Polskie, RZGW w Gdańsku, Zarząd Zlewni w Elblągu, o wydanie opinii co do potrzeby przeprowadzenia oceny oddziaływania niniejszego przedsięwzięcia na środowisko, a w przypadku stwierdzenia takiej potrzeby – co do zakresu raportu o oddziaływaniu inwestycji na środowisko.</w:t>
      </w:r>
    </w:p>
    <w:p w14:paraId="4431F588" w14:textId="77777777" w:rsidR="00ED0646" w:rsidRDefault="00ED0646" w:rsidP="00ED0646">
      <w:pPr>
        <w:spacing w:after="0" w:line="360" w:lineRule="auto"/>
        <w:rPr>
          <w:sz w:val="24"/>
          <w:szCs w:val="24"/>
          <w:lang w:eastAsia="zh-CN"/>
        </w:rPr>
      </w:pPr>
      <w:r w:rsidRPr="00ED0646">
        <w:rPr>
          <w:sz w:val="24"/>
          <w:szCs w:val="24"/>
          <w:lang w:eastAsia="zh-CN"/>
        </w:rPr>
        <w:t>Państwowe Gospodarstwo Wodne Wody Polskie w opinii znak: GE.ZZŚ.4901.19.2024 z 4 marca 2024 r. stwierdziło, że dla planowanego przedsięwzięcia nie ma potrzeby przeprowadzania oceny oddziaływania na środowisko.</w:t>
      </w:r>
    </w:p>
    <w:p w14:paraId="1584737A" w14:textId="77777777" w:rsidR="00ED0646" w:rsidRDefault="00ED0646" w:rsidP="00ED0646">
      <w:pPr>
        <w:spacing w:after="0" w:line="360" w:lineRule="auto"/>
        <w:rPr>
          <w:sz w:val="24"/>
          <w:szCs w:val="24"/>
          <w:lang w:eastAsia="zh-CN"/>
        </w:rPr>
      </w:pPr>
      <w:r w:rsidRPr="00ED0646">
        <w:rPr>
          <w:sz w:val="24"/>
          <w:szCs w:val="24"/>
          <w:lang w:eastAsia="zh-CN"/>
        </w:rPr>
        <w:t>Zmiana lasu na użytek rolny planowana jest na działce nr 179/2 obręb Kwietniewo, na terenie gminy Rychliki.</w:t>
      </w:r>
    </w:p>
    <w:p w14:paraId="4B0DFCB7" w14:textId="77777777" w:rsidR="00ED0646" w:rsidRDefault="00ED0646" w:rsidP="00ED0646">
      <w:pPr>
        <w:spacing w:after="0" w:line="360" w:lineRule="auto"/>
        <w:rPr>
          <w:sz w:val="24"/>
          <w:szCs w:val="24"/>
          <w:lang w:eastAsia="zh-CN"/>
        </w:rPr>
      </w:pPr>
      <w:r w:rsidRPr="00ED0646">
        <w:rPr>
          <w:sz w:val="24"/>
          <w:szCs w:val="24"/>
          <w:lang w:eastAsia="zh-CN"/>
        </w:rPr>
        <w:t>Teren, na którym realizowane będzie planowane przedsięwzięcie nie jest objęty miejscowym planem zagospodarowania przestrzennego.</w:t>
      </w:r>
    </w:p>
    <w:p w14:paraId="6E6A2C8F" w14:textId="77777777" w:rsidR="00ED0646" w:rsidRDefault="00ED0646" w:rsidP="00ED0646">
      <w:pPr>
        <w:spacing w:after="0" w:line="360" w:lineRule="auto"/>
        <w:rPr>
          <w:sz w:val="24"/>
          <w:szCs w:val="24"/>
          <w:lang w:eastAsia="zh-CN"/>
        </w:rPr>
      </w:pPr>
      <w:r w:rsidRPr="00ED0646">
        <w:rPr>
          <w:sz w:val="24"/>
          <w:szCs w:val="24"/>
          <w:lang w:eastAsia="zh-CN"/>
        </w:rPr>
        <w:lastRenderedPageBreak/>
        <w:t>Na podstawie informacji zamieszczonych w KIP ustalono, że wnioskowany las (</w:t>
      </w:r>
      <w:proofErr w:type="spellStart"/>
      <w:r w:rsidRPr="00ED0646">
        <w:rPr>
          <w:sz w:val="24"/>
          <w:szCs w:val="24"/>
          <w:lang w:eastAsia="zh-CN"/>
        </w:rPr>
        <w:t>LsIV</w:t>
      </w:r>
      <w:proofErr w:type="spellEnd"/>
      <w:r w:rsidRPr="00ED0646">
        <w:rPr>
          <w:sz w:val="24"/>
          <w:szCs w:val="24"/>
          <w:lang w:eastAsia="zh-CN"/>
        </w:rPr>
        <w:t xml:space="preserve">) o powierzchni 0.79 ha, został obsadzony około 19 lat temu jednym gatunkiem – sosną zwyczajną. Położony jest w centralnej części działki rolnej i stanowi znaczną przeszkodę w uprawie ziemi. </w:t>
      </w:r>
    </w:p>
    <w:p w14:paraId="1B199385" w14:textId="77777777" w:rsidR="00ED0646" w:rsidRDefault="00ED0646" w:rsidP="00ED0646">
      <w:pPr>
        <w:spacing w:after="0" w:line="360" w:lineRule="auto"/>
        <w:rPr>
          <w:sz w:val="24"/>
          <w:szCs w:val="24"/>
          <w:lang w:eastAsia="zh-CN"/>
        </w:rPr>
      </w:pPr>
      <w:r w:rsidRPr="00ED0646">
        <w:rPr>
          <w:sz w:val="24"/>
          <w:szCs w:val="24"/>
          <w:lang w:eastAsia="zh-CN"/>
        </w:rPr>
        <w:t>Z przedłożonej przy wniosku o wydanie decyzji o środowiskowych uwarunkowaniach dokumentacji, w tym wypisu z rejestru gruntów wynika, że na przedmiotowej działce, której powierzchnia wynosi 7,86 ha, grunty sklasyfikowane jako lasy (</w:t>
      </w:r>
      <w:proofErr w:type="spellStart"/>
      <w:r w:rsidRPr="00ED0646">
        <w:rPr>
          <w:sz w:val="24"/>
          <w:szCs w:val="24"/>
          <w:lang w:eastAsia="zh-CN"/>
        </w:rPr>
        <w:t>LsIV</w:t>
      </w:r>
      <w:proofErr w:type="spellEnd"/>
      <w:r w:rsidRPr="00ED0646">
        <w:rPr>
          <w:sz w:val="24"/>
          <w:szCs w:val="24"/>
          <w:lang w:eastAsia="zh-CN"/>
        </w:rPr>
        <w:t xml:space="preserve">) występują w jednym kompleksie o powierzchni 0,79 ha. Pozostałe obszary stanowią użytki rolne (grunty orne </w:t>
      </w:r>
      <w:proofErr w:type="spellStart"/>
      <w:r w:rsidRPr="00ED0646">
        <w:rPr>
          <w:sz w:val="24"/>
          <w:szCs w:val="24"/>
          <w:lang w:eastAsia="zh-CN"/>
        </w:rPr>
        <w:t>RIIIb</w:t>
      </w:r>
      <w:proofErr w:type="spellEnd"/>
      <w:r w:rsidRPr="00ED0646">
        <w:rPr>
          <w:sz w:val="24"/>
          <w:szCs w:val="24"/>
          <w:lang w:eastAsia="zh-CN"/>
        </w:rPr>
        <w:t xml:space="preserve">, </w:t>
      </w:r>
      <w:proofErr w:type="spellStart"/>
      <w:r w:rsidRPr="00ED0646">
        <w:rPr>
          <w:sz w:val="24"/>
          <w:szCs w:val="24"/>
          <w:lang w:eastAsia="zh-CN"/>
        </w:rPr>
        <w:t>RIVa</w:t>
      </w:r>
      <w:proofErr w:type="spellEnd"/>
      <w:r w:rsidRPr="00ED0646">
        <w:rPr>
          <w:sz w:val="24"/>
          <w:szCs w:val="24"/>
          <w:lang w:eastAsia="zh-CN"/>
        </w:rPr>
        <w:t xml:space="preserve">, pastwiska </w:t>
      </w:r>
      <w:proofErr w:type="spellStart"/>
      <w:r w:rsidRPr="00ED0646">
        <w:rPr>
          <w:sz w:val="24"/>
          <w:szCs w:val="24"/>
          <w:lang w:eastAsia="zh-CN"/>
        </w:rPr>
        <w:t>PsIII</w:t>
      </w:r>
      <w:proofErr w:type="spellEnd"/>
      <w:r w:rsidRPr="00ED0646">
        <w:rPr>
          <w:sz w:val="24"/>
          <w:szCs w:val="24"/>
          <w:lang w:eastAsia="zh-CN"/>
        </w:rPr>
        <w:t xml:space="preserve">, </w:t>
      </w:r>
      <w:proofErr w:type="spellStart"/>
      <w:r w:rsidRPr="00ED0646">
        <w:rPr>
          <w:sz w:val="24"/>
          <w:szCs w:val="24"/>
          <w:lang w:eastAsia="zh-CN"/>
        </w:rPr>
        <w:t>PsIV</w:t>
      </w:r>
      <w:proofErr w:type="spellEnd"/>
      <w:r w:rsidRPr="00ED0646">
        <w:rPr>
          <w:sz w:val="24"/>
          <w:szCs w:val="24"/>
          <w:lang w:eastAsia="zh-CN"/>
        </w:rPr>
        <w:t xml:space="preserve"> i nieużytki N).</w:t>
      </w:r>
    </w:p>
    <w:p w14:paraId="7098E5AF" w14:textId="77777777" w:rsidR="00ED0646" w:rsidRDefault="00ED0646" w:rsidP="00ED0646">
      <w:pPr>
        <w:spacing w:after="0" w:line="360" w:lineRule="auto"/>
        <w:rPr>
          <w:sz w:val="24"/>
          <w:szCs w:val="24"/>
          <w:lang w:eastAsia="zh-CN"/>
        </w:rPr>
      </w:pPr>
      <w:r w:rsidRPr="00ED0646">
        <w:rPr>
          <w:sz w:val="24"/>
          <w:szCs w:val="24"/>
          <w:lang w:eastAsia="zh-CN"/>
        </w:rPr>
        <w:t>W myśl zapisu art. 2 pkt 5 ustawy z dnia 11 kwietnia 2003 r. o kształtowaniu ustroju rolnego (Dz.U.2022.2569), ilekroć w ustawie jest mowa o "użytkach rolnych" należy przez to rozumieć grunty orne, sady, łąki trwałe, pastwiska trwałe, grunty rolne zabudowane, grunty pod stawami i grunty pod rowami.</w:t>
      </w:r>
    </w:p>
    <w:p w14:paraId="28A4D0FB" w14:textId="77777777" w:rsidR="00ED0646" w:rsidRDefault="00ED0646" w:rsidP="00ED0646">
      <w:pPr>
        <w:spacing w:after="0" w:line="360" w:lineRule="auto"/>
        <w:rPr>
          <w:sz w:val="24"/>
          <w:szCs w:val="24"/>
          <w:lang w:eastAsia="zh-CN"/>
        </w:rPr>
      </w:pPr>
      <w:r w:rsidRPr="00ED0646">
        <w:rPr>
          <w:sz w:val="24"/>
          <w:szCs w:val="24"/>
          <w:lang w:eastAsia="zh-CN"/>
        </w:rPr>
        <w:t>Również zgodnie z § 9 ust. 1 pkt 1 rozporządzenia Ministra Rozwoju, Pracy i Technologii z dnia 27 lipca 2021 r. w sprawie ewidencji gruntów i budynków (Dz.U.2024.219) do użytków rolnych zalicza się: grunty orne (R), łąki trwałe (Ł), pastwiska trwałe (</w:t>
      </w:r>
      <w:proofErr w:type="spellStart"/>
      <w:r w:rsidRPr="00ED0646">
        <w:rPr>
          <w:sz w:val="24"/>
          <w:szCs w:val="24"/>
          <w:lang w:eastAsia="zh-CN"/>
        </w:rPr>
        <w:t>Ps</w:t>
      </w:r>
      <w:proofErr w:type="spellEnd"/>
      <w:r w:rsidRPr="00ED0646">
        <w:rPr>
          <w:sz w:val="24"/>
          <w:szCs w:val="24"/>
          <w:lang w:eastAsia="zh-CN"/>
        </w:rPr>
        <w:t>), sady (S), grunty rolne zabudowane (Br), grunty zadrzewione i zakrzewione na użytkach rolnych (</w:t>
      </w:r>
      <w:proofErr w:type="spellStart"/>
      <w:r w:rsidRPr="00ED0646">
        <w:rPr>
          <w:sz w:val="24"/>
          <w:szCs w:val="24"/>
          <w:lang w:eastAsia="zh-CN"/>
        </w:rPr>
        <w:t>Lzr</w:t>
      </w:r>
      <w:proofErr w:type="spellEnd"/>
      <w:r w:rsidRPr="00ED0646">
        <w:rPr>
          <w:sz w:val="24"/>
          <w:szCs w:val="24"/>
          <w:lang w:eastAsia="zh-CN"/>
        </w:rPr>
        <w:t>), grunty pod stawami (</w:t>
      </w:r>
      <w:proofErr w:type="spellStart"/>
      <w:r w:rsidRPr="00ED0646">
        <w:rPr>
          <w:sz w:val="24"/>
          <w:szCs w:val="24"/>
          <w:lang w:eastAsia="zh-CN"/>
        </w:rPr>
        <w:t>Wsr</w:t>
      </w:r>
      <w:proofErr w:type="spellEnd"/>
      <w:r w:rsidRPr="00ED0646">
        <w:rPr>
          <w:sz w:val="24"/>
          <w:szCs w:val="24"/>
          <w:lang w:eastAsia="zh-CN"/>
        </w:rPr>
        <w:t>), grunty pod rowami (W), nieużytki (N).</w:t>
      </w:r>
    </w:p>
    <w:p w14:paraId="30B4FC53" w14:textId="77777777" w:rsidR="00ED0646" w:rsidRDefault="00ED0646" w:rsidP="00ED0646">
      <w:pPr>
        <w:spacing w:after="0" w:line="360" w:lineRule="auto"/>
        <w:rPr>
          <w:sz w:val="24"/>
          <w:szCs w:val="24"/>
          <w:lang w:eastAsia="zh-CN"/>
        </w:rPr>
      </w:pPr>
      <w:r w:rsidRPr="00ED0646">
        <w:rPr>
          <w:sz w:val="24"/>
          <w:szCs w:val="24"/>
          <w:lang w:eastAsia="zh-CN"/>
        </w:rPr>
        <w:t>Tereny bezpośrednio sąsiadujące to głównie użytki rolne.</w:t>
      </w:r>
    </w:p>
    <w:p w14:paraId="0B01C703" w14:textId="77777777" w:rsidR="00ED0646" w:rsidRDefault="00ED0646" w:rsidP="00ED0646">
      <w:pPr>
        <w:spacing w:after="0" w:line="360" w:lineRule="auto"/>
        <w:rPr>
          <w:sz w:val="24"/>
          <w:szCs w:val="24"/>
          <w:lang w:eastAsia="zh-CN"/>
        </w:rPr>
      </w:pPr>
      <w:r w:rsidRPr="00ED0646">
        <w:rPr>
          <w:sz w:val="24"/>
          <w:szCs w:val="24"/>
          <w:lang w:eastAsia="zh-CN"/>
        </w:rPr>
        <w:t>Do zmiany na użytek rolny wnioskuje się 0,79 ha wymienionej powierzchni leśnej, co stanowi 10,05% powierzchni wnioskowanej działki. Obecnie teren porastają kilkunastoletnie drzewa gatunku sosna zwyczajna.</w:t>
      </w:r>
    </w:p>
    <w:p w14:paraId="27B0114C" w14:textId="77777777" w:rsidR="00ED0646" w:rsidRDefault="00ED0646" w:rsidP="00ED0646">
      <w:pPr>
        <w:spacing w:after="0" w:line="360" w:lineRule="auto"/>
        <w:rPr>
          <w:sz w:val="24"/>
          <w:szCs w:val="24"/>
          <w:lang w:eastAsia="zh-CN"/>
        </w:rPr>
      </w:pPr>
      <w:r w:rsidRPr="00ED0646">
        <w:rPr>
          <w:sz w:val="24"/>
          <w:szCs w:val="24"/>
          <w:lang w:eastAsia="zh-CN"/>
        </w:rPr>
        <w:t>Przedsięwzięcie będzie wymagało przeprowadzenia wycinki istniejącego drzewostanu, usunięcia karpin i przygotowania gruntu pod nowe zagospodarowanie. W tym celu wykorzystany zostanie sprzęt mechaniczny w postaci pił, rębarek i ciągników zrywkowych. Do realizacji inwestycji będzie istniało jedynie zapotrzebowanie na paliwo. Nie będzie natomiast istniała potrzeba wykorzystywania wody i innych surowców.</w:t>
      </w:r>
    </w:p>
    <w:p w14:paraId="5AD43B76" w14:textId="77777777" w:rsidR="00ED0646" w:rsidRDefault="00ED0646" w:rsidP="00ED0646">
      <w:pPr>
        <w:spacing w:after="0" w:line="360" w:lineRule="auto"/>
        <w:rPr>
          <w:sz w:val="24"/>
          <w:szCs w:val="24"/>
          <w:lang w:eastAsia="zh-CN"/>
        </w:rPr>
      </w:pPr>
      <w:r w:rsidRPr="00ED0646">
        <w:rPr>
          <w:sz w:val="24"/>
          <w:szCs w:val="24"/>
          <w:lang w:eastAsia="zh-CN"/>
        </w:rPr>
        <w:t>Prace prowadzone będą poza sezonem lęgowym ptaków. Przed przystąpieniem do usuwania drzew i krzewów zostaną przeprowadzone oględziny w zakresie występowania w ich obrębie gatunków chronionych.</w:t>
      </w:r>
    </w:p>
    <w:p w14:paraId="4674A050" w14:textId="77777777" w:rsidR="00ED0646" w:rsidRDefault="00ED0646" w:rsidP="00ED0646">
      <w:pPr>
        <w:spacing w:after="0" w:line="360" w:lineRule="auto"/>
        <w:rPr>
          <w:sz w:val="24"/>
          <w:szCs w:val="24"/>
          <w:lang w:eastAsia="zh-CN"/>
        </w:rPr>
      </w:pPr>
      <w:r w:rsidRPr="00ED0646">
        <w:rPr>
          <w:sz w:val="24"/>
          <w:szCs w:val="24"/>
          <w:lang w:eastAsia="zh-CN"/>
        </w:rPr>
        <w:t xml:space="preserve">Etap realizacji planowanego przedsięwzięcia będzie wiązał się z niewielką emisją hałasu i zanieczyszczeń do środowiska. Jednakże wskazuje się, że prace należy prowadzić wyłącznie w porze dziennej (w godz. 6.00 – 22.00), a w miarę możliwości urządzenia emitujące hałas nie powinny pracować równocześnie. Przewiduje się, że zasięg uciążliwości powodowanych w fazie </w:t>
      </w:r>
      <w:r w:rsidRPr="00ED0646">
        <w:rPr>
          <w:sz w:val="24"/>
          <w:szCs w:val="24"/>
          <w:lang w:eastAsia="zh-CN"/>
        </w:rPr>
        <w:lastRenderedPageBreak/>
        <w:t>realizacji przedmiotowego przedsięwzięcia ograniczy się do najbliższego otoczenia, a emisja substancji zanieczyszczających oraz hałasu będzie miała charakter krótkoterminowy i ustanie wraz z zakończeniem prac. Odpady powstałe podczas realizacji przedsięwzięcia należy zbierać selektywnie, a następnie przekazywać odpowiednim podmiotom, posiadającym stosowne zezwolenia i uprawnienia celem utylizacji, zagospodarowania.</w:t>
      </w:r>
    </w:p>
    <w:p w14:paraId="1841B476" w14:textId="77777777" w:rsidR="00ED0646" w:rsidRDefault="00ED0646" w:rsidP="00ED0646">
      <w:pPr>
        <w:spacing w:after="0" w:line="360" w:lineRule="auto"/>
        <w:rPr>
          <w:sz w:val="24"/>
          <w:szCs w:val="24"/>
          <w:lang w:eastAsia="zh-CN"/>
        </w:rPr>
      </w:pPr>
      <w:r w:rsidRPr="00ED0646">
        <w:rPr>
          <w:sz w:val="24"/>
          <w:szCs w:val="24"/>
          <w:lang w:eastAsia="zh-CN"/>
        </w:rPr>
        <w:t>W celu neutralizacji możliwych wycieków substancji niebezpiecznych, w tym ropopochodnych, należy zabezpieczyć odpowiednie ilości sorbentów.</w:t>
      </w:r>
    </w:p>
    <w:p w14:paraId="2D9A6517" w14:textId="77777777" w:rsidR="00ED0646" w:rsidRDefault="00ED0646" w:rsidP="00ED0646">
      <w:pPr>
        <w:spacing w:after="0" w:line="360" w:lineRule="auto"/>
        <w:rPr>
          <w:sz w:val="24"/>
          <w:szCs w:val="24"/>
          <w:lang w:eastAsia="zh-CN"/>
        </w:rPr>
      </w:pPr>
      <w:r w:rsidRPr="00ED0646">
        <w:rPr>
          <w:sz w:val="24"/>
          <w:szCs w:val="24"/>
          <w:lang w:eastAsia="zh-CN"/>
        </w:rPr>
        <w:t>Realizacja planowanego przedsięwzięcia nie będzie oddziaływać na tereny sąsiadujące i nie wystąpi możliwość kumulowania się oddziaływań, a wystąpienie poważnej awarii przemysłowej będzie zerowe. Ze względu na oddalenie przedmiotowej inwestycji od granic państw sąsiednich inwestycja nie będzie wymagała przeprowadzenia postępowania w sprawie transgranicznego oddziaływania na środowisko.</w:t>
      </w:r>
    </w:p>
    <w:p w14:paraId="080C86A9" w14:textId="77777777" w:rsidR="00ED0646" w:rsidRDefault="00ED0646" w:rsidP="00ED0646">
      <w:pPr>
        <w:spacing w:after="0" w:line="360" w:lineRule="auto"/>
        <w:rPr>
          <w:sz w:val="24"/>
          <w:szCs w:val="24"/>
          <w:lang w:eastAsia="zh-CN"/>
        </w:rPr>
      </w:pPr>
      <w:r w:rsidRPr="00ED0646">
        <w:rPr>
          <w:sz w:val="24"/>
          <w:szCs w:val="24"/>
          <w:lang w:eastAsia="zh-CN"/>
        </w:rPr>
        <w:t xml:space="preserve">Po przeanalizowaniu przedłożonej dokumentacji, w tym karty informacyjnej przedsięwzięcia oraz uwzględnieniu łącznych uwarunkowań określonych w art. 63 ust. 1 ustawy </w:t>
      </w:r>
      <w:proofErr w:type="spellStart"/>
      <w:r w:rsidRPr="00ED0646">
        <w:rPr>
          <w:sz w:val="24"/>
          <w:szCs w:val="24"/>
          <w:lang w:eastAsia="zh-CN"/>
        </w:rPr>
        <w:t>ooś</w:t>
      </w:r>
      <w:proofErr w:type="spellEnd"/>
      <w:r w:rsidRPr="00ED0646">
        <w:rPr>
          <w:sz w:val="24"/>
          <w:szCs w:val="24"/>
          <w:lang w:eastAsia="zh-CN"/>
        </w:rPr>
        <w:t>, a w szczególności rodzaju, charakteru, usytuowania oraz skali możliwego oddziaływania przedsięwzięcia stwierdzono, że planowane przedsięwzięcie nie wymaga przeprowadzenia oceny oddziaływania na środowisko.</w:t>
      </w:r>
    </w:p>
    <w:p w14:paraId="1CEC1C67" w14:textId="77777777" w:rsidR="00ED0646" w:rsidRDefault="00ED0646" w:rsidP="00ED0646">
      <w:pPr>
        <w:spacing w:after="0" w:line="360" w:lineRule="auto"/>
        <w:rPr>
          <w:sz w:val="24"/>
          <w:szCs w:val="24"/>
          <w:lang w:eastAsia="zh-CN"/>
        </w:rPr>
      </w:pPr>
      <w:r w:rsidRPr="00ED0646">
        <w:rPr>
          <w:sz w:val="24"/>
          <w:szCs w:val="24"/>
          <w:lang w:eastAsia="zh-CN"/>
        </w:rPr>
        <w:t>Przedsięwzięcie planowane jest poza obszarami podlegającymi ochronie na podstawie ustawy z dnia 16 kwietnia 2004 r. o ochronie przyrody (Dz.U.2023.1336 ze zm.). Od północy działka będąca przedmiotem niniejszego postępowania graniczy z Obszarem Chronionego Krajobrazu Rzeki Dzierzgoń.</w:t>
      </w:r>
    </w:p>
    <w:p w14:paraId="1769E866" w14:textId="77777777" w:rsidR="00ED0646" w:rsidRDefault="00ED0646" w:rsidP="00ED0646">
      <w:pPr>
        <w:spacing w:after="0" w:line="360" w:lineRule="auto"/>
        <w:rPr>
          <w:sz w:val="24"/>
          <w:szCs w:val="24"/>
          <w:lang w:eastAsia="zh-CN"/>
        </w:rPr>
      </w:pPr>
      <w:r w:rsidRPr="00ED0646">
        <w:rPr>
          <w:sz w:val="24"/>
          <w:szCs w:val="24"/>
          <w:lang w:eastAsia="zh-CN"/>
        </w:rPr>
        <w:t>Najbliżej położony obszar Natura 2000 Jezioro Drużno PLB280013 znajduje się w odległości około 7 km w kierunku północnym. Planowana zmiana lasu na użytek rolny nie będzie negatywnie oddziaływać na gatunki i siedliska przyrodnicze, dla ochrony których wyznaczony został obszar Natura 2000 oraz nie naruszy spójności sieci Natura 2000.</w:t>
      </w:r>
    </w:p>
    <w:p w14:paraId="4FEA6758" w14:textId="77777777" w:rsidR="00ED0646" w:rsidRDefault="00ED0646" w:rsidP="00ED0646">
      <w:pPr>
        <w:spacing w:after="0" w:line="360" w:lineRule="auto"/>
        <w:rPr>
          <w:sz w:val="24"/>
          <w:szCs w:val="24"/>
          <w:lang w:eastAsia="zh-CN"/>
        </w:rPr>
      </w:pPr>
      <w:r w:rsidRPr="00ED0646">
        <w:rPr>
          <w:sz w:val="24"/>
          <w:szCs w:val="24"/>
          <w:lang w:eastAsia="zh-CN"/>
        </w:rPr>
        <w:t xml:space="preserve">Przedsięwzięcie zlokalizowane jest na terenie obszaru dorzecza Wisły – region wodny Dolnej Wisły, w zlewni jednolitej części wód powierzchniowych rzecznych o kodzie: PLRW20001054355 o nazwie Elbląg z Młynówką. JCWP posiada status naturalnej części wód i jest monitorowana. Stan tych wód został oceniony jako zły, zaś ocena ryzyka nieosiągnięcia celów środowiskowych określona jest jako zagrożona. Dla analizowanej JCWP wprowadzono derogacje, w tym m.in. ustalono mniej rygorystyczne cele oraz czasową, na podstawie której osiągnięcie celów środowiskowych – dobry stan ekologiczny; zapewnienie drożności ceku dla migracji ichtiofauny o ile jest monitorowany wskaźnik </w:t>
      </w:r>
      <w:proofErr w:type="spellStart"/>
      <w:r w:rsidRPr="00ED0646">
        <w:rPr>
          <w:sz w:val="24"/>
          <w:szCs w:val="24"/>
          <w:lang w:eastAsia="zh-CN"/>
        </w:rPr>
        <w:t>diadromiczny</w:t>
      </w:r>
      <w:proofErr w:type="spellEnd"/>
      <w:r w:rsidRPr="00ED0646">
        <w:rPr>
          <w:sz w:val="24"/>
          <w:szCs w:val="24"/>
          <w:lang w:eastAsia="zh-CN"/>
        </w:rPr>
        <w:t xml:space="preserve"> D, stan chemiczny: dla złagodzonych </w:t>
      </w:r>
      <w:r w:rsidRPr="00ED0646">
        <w:rPr>
          <w:sz w:val="24"/>
          <w:szCs w:val="24"/>
          <w:lang w:eastAsia="zh-CN"/>
        </w:rPr>
        <w:lastRenderedPageBreak/>
        <w:t>wskaźników [</w:t>
      </w:r>
      <w:proofErr w:type="spellStart"/>
      <w:r w:rsidRPr="00ED0646">
        <w:rPr>
          <w:sz w:val="24"/>
          <w:szCs w:val="24"/>
          <w:lang w:eastAsia="zh-CN"/>
        </w:rPr>
        <w:t>benzo</w:t>
      </w:r>
      <w:proofErr w:type="spellEnd"/>
      <w:r w:rsidRPr="00ED0646">
        <w:rPr>
          <w:sz w:val="24"/>
          <w:szCs w:val="24"/>
          <w:lang w:eastAsia="zh-CN"/>
        </w:rPr>
        <w:t>(a)</w:t>
      </w:r>
      <w:proofErr w:type="spellStart"/>
      <w:r w:rsidRPr="00ED0646">
        <w:rPr>
          <w:sz w:val="24"/>
          <w:szCs w:val="24"/>
          <w:lang w:eastAsia="zh-CN"/>
        </w:rPr>
        <w:t>piren</w:t>
      </w:r>
      <w:proofErr w:type="spellEnd"/>
      <w:r w:rsidRPr="00ED0646">
        <w:rPr>
          <w:sz w:val="24"/>
          <w:szCs w:val="24"/>
          <w:lang w:eastAsia="zh-CN"/>
        </w:rPr>
        <w:t>(w)] poniżej stanu dobrego, dla pozostałych wskaźników – stan dobry – może nastąpić do 2027 r. przedłużono termin osiągnięcia celu środowiskowego ze względu na warunki naturalne.</w:t>
      </w:r>
    </w:p>
    <w:p w14:paraId="7DE8C461" w14:textId="77777777" w:rsidR="00ED0646" w:rsidRDefault="00ED0646" w:rsidP="00ED0646">
      <w:pPr>
        <w:spacing w:after="0" w:line="360" w:lineRule="auto"/>
        <w:rPr>
          <w:sz w:val="24"/>
          <w:szCs w:val="24"/>
          <w:lang w:eastAsia="zh-CN"/>
        </w:rPr>
      </w:pPr>
      <w:r w:rsidRPr="00ED0646">
        <w:rPr>
          <w:sz w:val="24"/>
          <w:szCs w:val="24"/>
          <w:lang w:eastAsia="zh-CN"/>
        </w:rPr>
        <w:t xml:space="preserve">Planowane przedsięwzięcie znajduje się w obszarze jednolitej części wód podziemnych – kod: PLGW200019, która charakteryzuje się dobrym stanem ilościowym oraz dobrym stanem chemicznym. Jest ona monitorowana, a ocena ryzyka nieosiągnięcia celów środowiskowych określona jest jako niezagrożona. Celem środowiskowym </w:t>
      </w:r>
      <w:proofErr w:type="spellStart"/>
      <w:r w:rsidRPr="00ED0646">
        <w:rPr>
          <w:sz w:val="24"/>
          <w:szCs w:val="24"/>
          <w:lang w:eastAsia="zh-CN"/>
        </w:rPr>
        <w:t>JCWPd</w:t>
      </w:r>
      <w:proofErr w:type="spellEnd"/>
      <w:r w:rsidRPr="00ED0646">
        <w:rPr>
          <w:sz w:val="24"/>
          <w:szCs w:val="24"/>
          <w:lang w:eastAsia="zh-CN"/>
        </w:rPr>
        <w:t xml:space="preserve"> jest osiągnięcie i utrzymanie dobrego stanu ilościowego i dobrego stanu chemicznego tych wód.</w:t>
      </w:r>
    </w:p>
    <w:p w14:paraId="220965F1" w14:textId="77777777" w:rsidR="00ED0646" w:rsidRDefault="00ED0646" w:rsidP="00ED0646">
      <w:pPr>
        <w:spacing w:after="0" w:line="360" w:lineRule="auto"/>
        <w:rPr>
          <w:sz w:val="24"/>
          <w:szCs w:val="24"/>
          <w:lang w:eastAsia="zh-CN"/>
        </w:rPr>
      </w:pPr>
      <w:r w:rsidRPr="00ED0646">
        <w:rPr>
          <w:sz w:val="24"/>
          <w:szCs w:val="24"/>
          <w:lang w:eastAsia="zh-CN"/>
        </w:rPr>
        <w:t>W związku z realizacją przedsięwzięcia nie dojdzie do naruszenia istniejących poziomów wodonośnych. Inwestor został zobowiązany do poprowadzenia na ww. terenie prac agrotechnicznych w taki sposób, żeby nie oddziaływały na jednolitą część wód powierzchniowych i jednolitą część wód podziemnych.</w:t>
      </w:r>
    </w:p>
    <w:p w14:paraId="37A09BBF" w14:textId="77777777" w:rsidR="00ED0646" w:rsidRDefault="00ED0646" w:rsidP="00ED0646">
      <w:pPr>
        <w:spacing w:after="0" w:line="360" w:lineRule="auto"/>
        <w:rPr>
          <w:sz w:val="24"/>
          <w:szCs w:val="24"/>
          <w:lang w:eastAsia="zh-CN"/>
        </w:rPr>
      </w:pPr>
      <w:r w:rsidRPr="00ED0646">
        <w:rPr>
          <w:sz w:val="24"/>
          <w:szCs w:val="24"/>
          <w:lang w:eastAsia="zh-CN"/>
        </w:rPr>
        <w:t>Przedsięwzięcie, z uwagi na swój charakter i lokalizację, nie spowoduje znaczących negatywnych oddziaływań na środowisko gruntowo – wodne, nie będzie również stanowiło zagrożenia dla osiągnięcia celów środowiskowych wskazanych dla jednolitych części wód.</w:t>
      </w:r>
    </w:p>
    <w:p w14:paraId="1F22F99A" w14:textId="77777777" w:rsidR="00ED0646" w:rsidRDefault="00ED0646" w:rsidP="00ED0646">
      <w:pPr>
        <w:spacing w:after="0" w:line="360" w:lineRule="auto"/>
        <w:rPr>
          <w:sz w:val="24"/>
          <w:szCs w:val="24"/>
          <w:lang w:eastAsia="zh-CN"/>
        </w:rPr>
      </w:pPr>
      <w:r w:rsidRPr="00ED0646">
        <w:rPr>
          <w:sz w:val="24"/>
          <w:szCs w:val="24"/>
          <w:lang w:eastAsia="zh-CN"/>
        </w:rPr>
        <w:t>Z uwagi na rodzaj i skalę przedsięwzięcia, oddziaływania będą miały zasięg lokalny (bez ryzyka transgranicznych oddziaływań) i nie powodują istotnych zmian w środowisku. Ponadto, z uwagi na zakres oddziaływań planowanej inwestycji oraz istniejący sposób zagospodarowania terenów sąsiednich nie przewiduje się możliwości kumulowania negatywnych oddziaływań, a ryzyko wystąpienia poważnej awarii przemysłowej będzie zerowe.</w:t>
      </w:r>
    </w:p>
    <w:p w14:paraId="7172B2C0" w14:textId="77777777" w:rsidR="00ED0646" w:rsidRDefault="00ED0646" w:rsidP="00ED0646">
      <w:pPr>
        <w:spacing w:after="0" w:line="360" w:lineRule="auto"/>
        <w:rPr>
          <w:sz w:val="24"/>
          <w:szCs w:val="24"/>
          <w:lang w:eastAsia="zh-CN"/>
        </w:rPr>
      </w:pPr>
      <w:r w:rsidRPr="00ED0646">
        <w:rPr>
          <w:sz w:val="24"/>
          <w:szCs w:val="24"/>
          <w:lang w:eastAsia="zh-CN"/>
        </w:rPr>
        <w:t>Przedmiotowa inwestycja nie jest zlokalizowana na obszarach wybrzeży, obszarach górskich, obszarach ochrony ujęć wód i obszarach ochrony zbiorników wód śródlądowych, obszarach ochrony uzdrowiskowej oraz na obszarach o krajobrazie mającym znaczenie historyczne, kulturowe lub archeologiczne.</w:t>
      </w:r>
    </w:p>
    <w:p w14:paraId="44B11B98" w14:textId="68380493" w:rsidR="006C783A" w:rsidRPr="006C783A" w:rsidRDefault="00ED0646" w:rsidP="00ED0646">
      <w:pPr>
        <w:spacing w:after="0" w:line="360" w:lineRule="auto"/>
        <w:rPr>
          <w:sz w:val="24"/>
          <w:szCs w:val="24"/>
          <w:lang w:eastAsia="zh-CN"/>
        </w:rPr>
      </w:pPr>
      <w:r w:rsidRPr="00ED0646">
        <w:rPr>
          <w:sz w:val="24"/>
          <w:szCs w:val="24"/>
          <w:lang w:eastAsia="zh-CN"/>
        </w:rPr>
        <w:t>W ocenie tut. organu, z uwagi na zakres i charakter założeń projektowych w zakresie lokalizacji inwestycji, przedsięwzięcie nie będzie powodowało kumulowania się oddziaływań, a wykorzystanie zasobów naturalnych, ryzyko emisji lub występowanie innych uciążliwości będzie minimalne. Nie wywrze również znaczącego wpływu na obszary podlegające ochronie na podstawie ustawy o ochronie przyrody, w tym obszary Natura 2000, ani zagrożenia dla gatunków roślin, zwierząt i siedlisk, dla których obszary te powołano. Zarówno prace dotyczące realizacji przedsięwzięcia, jak też normalna eksploatacja nie spowodują takich zjawisk w środowisku gruntowo-wodnym, które mogłyby wywrzeć znaczące oddziaływanie na obszary Natura 2000</w:t>
      </w:r>
      <w:r w:rsidR="006C783A" w:rsidRPr="006C783A">
        <w:rPr>
          <w:sz w:val="24"/>
          <w:szCs w:val="24"/>
          <w:lang w:eastAsia="zh-CN"/>
        </w:rPr>
        <w:t>.</w:t>
      </w:r>
    </w:p>
    <w:p w14:paraId="68A72E35"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14:paraId="0075B512" w14:textId="77777777" w:rsidR="00ED0646" w:rsidRDefault="00D150E7" w:rsidP="00ED0646">
      <w:pPr>
        <w:spacing w:after="100" w:afterAutospacing="1" w:line="360" w:lineRule="auto"/>
        <w:rPr>
          <w:bCs/>
          <w:sz w:val="24"/>
          <w:szCs w:val="24"/>
          <w:lang w:eastAsia="zh-CN"/>
        </w:rPr>
      </w:pPr>
      <w:r w:rsidRPr="007C3957">
        <w:rPr>
          <w:bCs/>
          <w:sz w:val="24"/>
          <w:szCs w:val="24"/>
          <w:lang w:eastAsia="zh-CN"/>
        </w:rPr>
        <w:t>Od</w:t>
      </w:r>
      <w:r w:rsidR="000810F4" w:rsidRPr="007C3957">
        <w:rPr>
          <w:bCs/>
          <w:sz w:val="24"/>
          <w:szCs w:val="24"/>
          <w:lang w:eastAsia="zh-CN"/>
        </w:rPr>
        <w:t xml:space="preserve"> </w:t>
      </w:r>
      <w:r w:rsidR="00ED0646" w:rsidRPr="00ED0646">
        <w:rPr>
          <w:bCs/>
          <w:sz w:val="24"/>
          <w:szCs w:val="24"/>
          <w:lang w:eastAsia="zh-CN"/>
        </w:rPr>
        <w:t>niniejszej decyzji służy stronom odwołanie do Generalnego Dyrektora Ochrony Środowiska za pośrednictwem Regionalnego Dyrektora Ochrony Środowiska w Olsztynie w terminie 14 dni od dnia doręczenia niniejszej decyzji.</w:t>
      </w:r>
    </w:p>
    <w:p w14:paraId="154FBC3F" w14:textId="7E4CA468" w:rsidR="00ED0646" w:rsidRPr="00ED0646" w:rsidRDefault="00ED0646" w:rsidP="00ED0646">
      <w:pPr>
        <w:spacing w:after="0" w:line="360" w:lineRule="auto"/>
        <w:rPr>
          <w:bCs/>
          <w:sz w:val="24"/>
          <w:szCs w:val="24"/>
          <w:lang w:eastAsia="zh-CN"/>
        </w:rPr>
      </w:pPr>
      <w:r w:rsidRPr="00ED0646">
        <w:rPr>
          <w:bCs/>
          <w:sz w:val="24"/>
          <w:szCs w:val="24"/>
          <w:lang w:eastAsia="zh-CN"/>
        </w:rPr>
        <w:t>Na podstawie art. 5 ust. 1 ustawy z dnia 16 listopada 2006 r. o opłacie skarbowej</w:t>
      </w:r>
      <w:r>
        <w:rPr>
          <w:bCs/>
          <w:sz w:val="24"/>
          <w:szCs w:val="24"/>
          <w:lang w:eastAsia="zh-CN"/>
        </w:rPr>
        <w:t xml:space="preserve"> </w:t>
      </w:r>
      <w:r w:rsidRPr="00ED0646">
        <w:rPr>
          <w:bCs/>
          <w:sz w:val="24"/>
          <w:szCs w:val="24"/>
          <w:lang w:eastAsia="zh-CN"/>
        </w:rPr>
        <w:t>(Dz.U.2023.2111) – pobrano opłatę skarbową za wydanie decyzji o środowiskowych uwarunkowaniach w wysokości 205 zł. (zał. nr 1, cz. I, p. 45).</w:t>
      </w:r>
    </w:p>
    <w:p w14:paraId="4D4DCCFE" w14:textId="5D4C1CDF" w:rsidR="00ED0646" w:rsidRDefault="00ED0646" w:rsidP="00ED0646">
      <w:pPr>
        <w:spacing w:after="100" w:afterAutospacing="1" w:line="360" w:lineRule="auto"/>
        <w:rPr>
          <w:bCs/>
          <w:sz w:val="24"/>
          <w:szCs w:val="24"/>
          <w:lang w:eastAsia="zh-CN"/>
        </w:rPr>
      </w:pPr>
      <w:r w:rsidRPr="00ED0646">
        <w:rPr>
          <w:bCs/>
          <w:sz w:val="24"/>
          <w:szCs w:val="24"/>
          <w:lang w:eastAsia="zh-CN"/>
        </w:rPr>
        <w:t>Załącznik nr 1 – Charakterystyka przedsięwzięcia</w:t>
      </w:r>
    </w:p>
    <w:p w14:paraId="3CDE4B52" w14:textId="77777777" w:rsidR="002A142B" w:rsidRPr="002A142B" w:rsidRDefault="002A142B" w:rsidP="002A142B">
      <w:pPr>
        <w:spacing w:after="0" w:line="360" w:lineRule="auto"/>
        <w:rPr>
          <w:bCs/>
          <w:sz w:val="24"/>
          <w:szCs w:val="24"/>
          <w:lang w:eastAsia="zh-CN"/>
        </w:rPr>
      </w:pPr>
      <w:r w:rsidRPr="002A142B">
        <w:rPr>
          <w:bCs/>
          <w:sz w:val="24"/>
          <w:szCs w:val="24"/>
        </w:rPr>
        <w:t>Z up. Regionalnego Dyrektora</w:t>
      </w:r>
    </w:p>
    <w:p w14:paraId="0F5F4AD3" w14:textId="77777777" w:rsidR="002A142B" w:rsidRPr="002A142B" w:rsidRDefault="002A142B" w:rsidP="002A142B">
      <w:pPr>
        <w:spacing w:after="0" w:line="360" w:lineRule="auto"/>
        <w:rPr>
          <w:bCs/>
          <w:sz w:val="24"/>
          <w:szCs w:val="24"/>
          <w:lang w:eastAsia="zh-CN"/>
        </w:rPr>
      </w:pPr>
      <w:r w:rsidRPr="002A142B">
        <w:rPr>
          <w:bCs/>
          <w:sz w:val="24"/>
          <w:szCs w:val="24"/>
        </w:rPr>
        <w:t xml:space="preserve">Ochrony Środowiska </w:t>
      </w:r>
    </w:p>
    <w:p w14:paraId="5AF9B39C" w14:textId="77777777" w:rsidR="002A142B" w:rsidRPr="002A142B" w:rsidRDefault="002A142B" w:rsidP="002A142B">
      <w:pPr>
        <w:spacing w:after="0" w:line="360" w:lineRule="auto"/>
        <w:rPr>
          <w:bCs/>
          <w:sz w:val="24"/>
          <w:szCs w:val="24"/>
          <w:lang w:eastAsia="zh-CN"/>
        </w:rPr>
      </w:pPr>
      <w:r w:rsidRPr="002A142B">
        <w:rPr>
          <w:bCs/>
          <w:sz w:val="24"/>
          <w:szCs w:val="24"/>
        </w:rPr>
        <w:t>w Olsztynie</w:t>
      </w:r>
    </w:p>
    <w:p w14:paraId="2034C051" w14:textId="77777777" w:rsidR="002A142B" w:rsidRPr="002A142B" w:rsidRDefault="002A142B" w:rsidP="002A142B">
      <w:pPr>
        <w:spacing w:after="0" w:line="360" w:lineRule="auto"/>
        <w:rPr>
          <w:bCs/>
          <w:sz w:val="24"/>
          <w:szCs w:val="24"/>
          <w:lang w:eastAsia="zh-CN"/>
        </w:rPr>
      </w:pPr>
      <w:r w:rsidRPr="002A142B">
        <w:rPr>
          <w:bCs/>
          <w:sz w:val="24"/>
          <w:szCs w:val="24"/>
        </w:rPr>
        <w:t>Gabriela Kwapiszewska</w:t>
      </w:r>
    </w:p>
    <w:p w14:paraId="3BE45D32" w14:textId="77777777" w:rsidR="002A142B" w:rsidRPr="002A142B" w:rsidRDefault="002A142B" w:rsidP="002A142B">
      <w:pPr>
        <w:spacing w:after="0" w:line="360" w:lineRule="auto"/>
        <w:rPr>
          <w:bCs/>
          <w:sz w:val="24"/>
          <w:szCs w:val="24"/>
          <w:lang w:eastAsia="zh-CN"/>
        </w:rPr>
      </w:pPr>
      <w:r w:rsidRPr="002A142B">
        <w:rPr>
          <w:bCs/>
          <w:sz w:val="24"/>
          <w:szCs w:val="24"/>
        </w:rPr>
        <w:t>Naczelnik Wydziału</w:t>
      </w:r>
    </w:p>
    <w:p w14:paraId="62671136" w14:textId="567E0721" w:rsidR="002A142B" w:rsidRPr="002A142B" w:rsidRDefault="002A142B" w:rsidP="00ED0646">
      <w:pPr>
        <w:spacing w:after="100" w:afterAutospacing="1" w:line="360" w:lineRule="auto"/>
        <w:rPr>
          <w:bCs/>
          <w:sz w:val="24"/>
          <w:szCs w:val="24"/>
        </w:rPr>
      </w:pPr>
      <w:r w:rsidRPr="002A142B">
        <w:rPr>
          <w:bCs/>
          <w:sz w:val="24"/>
          <w:szCs w:val="24"/>
        </w:rPr>
        <w:t>Spraw Terenowych I</w:t>
      </w:r>
    </w:p>
    <w:p w14:paraId="29D452E0" w14:textId="77777777" w:rsidR="007C3957" w:rsidRDefault="00D150E7" w:rsidP="007C3957">
      <w:pPr>
        <w:spacing w:after="0" w:line="360" w:lineRule="auto"/>
        <w:rPr>
          <w:bCs/>
          <w:sz w:val="24"/>
          <w:szCs w:val="24"/>
          <w:lang w:val="es-ES_tradnl" w:eastAsia="zh-CN"/>
        </w:rPr>
      </w:pPr>
      <w:r w:rsidRPr="007C3957">
        <w:rPr>
          <w:bCs/>
          <w:sz w:val="24"/>
          <w:szCs w:val="24"/>
          <w:lang w:eastAsia="zh-CN"/>
        </w:rPr>
        <w:t>Otrzymują</w:t>
      </w:r>
      <w:r w:rsidRPr="007C3957">
        <w:rPr>
          <w:bCs/>
          <w:sz w:val="24"/>
          <w:szCs w:val="24"/>
          <w:lang w:val="es-ES_tradnl" w:eastAsia="zh-CN"/>
        </w:rPr>
        <w:t>:</w:t>
      </w:r>
    </w:p>
    <w:p w14:paraId="580BB719" w14:textId="61A9EB60" w:rsidR="00ED0646" w:rsidRDefault="00ED0646" w:rsidP="002A142B">
      <w:pPr>
        <w:pStyle w:val="Akapitzlist"/>
        <w:numPr>
          <w:ilvl w:val="0"/>
          <w:numId w:val="17"/>
        </w:numPr>
        <w:spacing w:after="0" w:line="360" w:lineRule="auto"/>
        <w:ind w:left="714" w:hanging="357"/>
        <w:rPr>
          <w:bCs/>
          <w:sz w:val="24"/>
          <w:szCs w:val="24"/>
          <w:lang w:eastAsia="zh-CN"/>
        </w:rPr>
      </w:pPr>
      <w:proofErr w:type="spellStart"/>
      <w:r>
        <w:rPr>
          <w:bCs/>
          <w:sz w:val="24"/>
          <w:szCs w:val="24"/>
          <w:lang w:eastAsia="zh-CN"/>
        </w:rPr>
        <w:t>A</w:t>
      </w:r>
      <w:r w:rsidR="007C3957" w:rsidRPr="002A142B">
        <w:rPr>
          <w:bCs/>
          <w:sz w:val="24"/>
          <w:szCs w:val="24"/>
          <w:lang w:eastAsia="zh-CN"/>
        </w:rPr>
        <w:t>nonimizacja</w:t>
      </w:r>
      <w:proofErr w:type="spellEnd"/>
    </w:p>
    <w:p w14:paraId="5A3A0842" w14:textId="2E6B8C31" w:rsidR="00ED0646" w:rsidRDefault="00ED0646" w:rsidP="002A142B">
      <w:pPr>
        <w:pStyle w:val="Akapitzlist"/>
        <w:numPr>
          <w:ilvl w:val="0"/>
          <w:numId w:val="17"/>
        </w:numPr>
        <w:spacing w:after="0" w:line="360" w:lineRule="auto"/>
        <w:ind w:left="714" w:hanging="357"/>
        <w:rPr>
          <w:bCs/>
          <w:sz w:val="24"/>
          <w:szCs w:val="24"/>
          <w:lang w:eastAsia="zh-CN"/>
        </w:rPr>
      </w:pPr>
      <w:proofErr w:type="spellStart"/>
      <w:r>
        <w:rPr>
          <w:bCs/>
          <w:sz w:val="24"/>
          <w:szCs w:val="24"/>
          <w:lang w:eastAsia="zh-CN"/>
        </w:rPr>
        <w:t>Anonimizacja</w:t>
      </w:r>
      <w:proofErr w:type="spellEnd"/>
    </w:p>
    <w:p w14:paraId="7A3B2C56" w14:textId="0E989EFE" w:rsidR="002A142B" w:rsidRPr="002A142B" w:rsidRDefault="002A142B" w:rsidP="002A142B">
      <w:pPr>
        <w:pStyle w:val="Akapitzlist"/>
        <w:numPr>
          <w:ilvl w:val="0"/>
          <w:numId w:val="17"/>
        </w:numPr>
        <w:spacing w:after="0" w:line="360" w:lineRule="auto"/>
        <w:ind w:left="714" w:hanging="357"/>
        <w:rPr>
          <w:bCs/>
          <w:sz w:val="24"/>
          <w:szCs w:val="24"/>
          <w:lang w:eastAsia="zh-CN"/>
        </w:rPr>
      </w:pPr>
      <w:r w:rsidRPr="002A142B">
        <w:rPr>
          <w:bCs/>
          <w:sz w:val="24"/>
          <w:szCs w:val="24"/>
          <w:lang w:eastAsia="zh-CN"/>
        </w:rPr>
        <w:t xml:space="preserve">pozostałe strony </w:t>
      </w:r>
      <w:r w:rsidR="00ED0646">
        <w:rPr>
          <w:bCs/>
          <w:sz w:val="24"/>
          <w:szCs w:val="24"/>
          <w:lang w:eastAsia="zh-CN"/>
        </w:rPr>
        <w:t xml:space="preserve">– powiadomione zgodnie z art. 49 kpa </w:t>
      </w:r>
    </w:p>
    <w:p w14:paraId="6154E815" w14:textId="17303DB1" w:rsidR="007C3957" w:rsidRPr="007C3957" w:rsidRDefault="002A142B" w:rsidP="002A142B">
      <w:pPr>
        <w:numPr>
          <w:ilvl w:val="0"/>
          <w:numId w:val="17"/>
        </w:numPr>
        <w:spacing w:after="0" w:line="360" w:lineRule="auto"/>
        <w:ind w:left="714" w:hanging="357"/>
        <w:rPr>
          <w:bCs/>
          <w:sz w:val="24"/>
          <w:szCs w:val="24"/>
          <w:lang w:eastAsia="zh-CN"/>
        </w:rPr>
      </w:pPr>
      <w:r>
        <w:rPr>
          <w:bCs/>
          <w:sz w:val="24"/>
          <w:szCs w:val="24"/>
          <w:lang w:eastAsia="zh-CN"/>
        </w:rPr>
        <w:t>aa</w:t>
      </w:r>
    </w:p>
    <w:p w14:paraId="5E2AF5F2" w14:textId="77777777" w:rsidR="00D150E7" w:rsidRPr="00D150E7" w:rsidRDefault="00D150E7" w:rsidP="00D150E7">
      <w:pPr>
        <w:spacing w:after="0" w:line="360" w:lineRule="auto"/>
        <w:rPr>
          <w:bCs/>
          <w:sz w:val="24"/>
          <w:szCs w:val="24"/>
          <w:lang w:eastAsia="zh-CN"/>
        </w:rPr>
      </w:pPr>
      <w:r w:rsidRPr="00D150E7">
        <w:rPr>
          <w:bCs/>
          <w:sz w:val="24"/>
          <w:szCs w:val="24"/>
          <w:lang w:eastAsia="zh-CN"/>
        </w:rPr>
        <w:t>Do wiadomości:</w:t>
      </w:r>
    </w:p>
    <w:p w14:paraId="2B7253D6" w14:textId="77777777" w:rsidR="00ED0646" w:rsidRDefault="00ED0646" w:rsidP="00ED0646">
      <w:pPr>
        <w:pStyle w:val="Akapitzlist"/>
        <w:numPr>
          <w:ilvl w:val="0"/>
          <w:numId w:val="44"/>
        </w:numPr>
        <w:spacing w:after="100" w:afterAutospacing="1" w:line="360" w:lineRule="auto"/>
        <w:rPr>
          <w:bCs/>
          <w:sz w:val="24"/>
          <w:szCs w:val="24"/>
          <w:lang w:eastAsia="zh-CN"/>
        </w:rPr>
      </w:pPr>
      <w:r w:rsidRPr="00ED0646">
        <w:rPr>
          <w:bCs/>
          <w:sz w:val="24"/>
          <w:szCs w:val="24"/>
          <w:lang w:eastAsia="zh-CN"/>
        </w:rPr>
        <w:t>Wójt Gminy Rychliki</w:t>
      </w:r>
    </w:p>
    <w:p w14:paraId="3C6A14D0" w14:textId="2E19B22C" w:rsidR="002E129B" w:rsidRPr="00ED0646" w:rsidRDefault="00ED0646" w:rsidP="002A142B">
      <w:pPr>
        <w:pStyle w:val="Akapitzlist"/>
        <w:numPr>
          <w:ilvl w:val="0"/>
          <w:numId w:val="44"/>
        </w:numPr>
        <w:spacing w:after="100" w:afterAutospacing="1" w:line="360" w:lineRule="auto"/>
        <w:rPr>
          <w:bCs/>
          <w:sz w:val="24"/>
          <w:szCs w:val="24"/>
          <w:lang w:eastAsia="zh-CN"/>
        </w:rPr>
      </w:pPr>
      <w:r w:rsidRPr="00ED0646">
        <w:rPr>
          <w:bCs/>
          <w:sz w:val="24"/>
          <w:szCs w:val="24"/>
          <w:lang w:eastAsia="zh-CN"/>
        </w:rPr>
        <w:t>Państwowe Gospodarstwo Wody Polskie</w:t>
      </w:r>
      <w:r>
        <w:rPr>
          <w:bCs/>
          <w:sz w:val="24"/>
          <w:szCs w:val="24"/>
          <w:lang w:eastAsia="zh-CN"/>
        </w:rPr>
        <w:t xml:space="preserve"> </w:t>
      </w:r>
      <w:r w:rsidRPr="00ED0646">
        <w:rPr>
          <w:bCs/>
          <w:sz w:val="24"/>
          <w:szCs w:val="24"/>
          <w:lang w:eastAsia="zh-CN"/>
        </w:rPr>
        <w:t>Regionalny Zarząd Gospodarki Wodnej w Gdańsku</w:t>
      </w:r>
      <w:r>
        <w:rPr>
          <w:bCs/>
          <w:sz w:val="24"/>
          <w:szCs w:val="24"/>
          <w:lang w:eastAsia="zh-CN"/>
        </w:rPr>
        <w:t xml:space="preserve"> </w:t>
      </w:r>
      <w:r w:rsidRPr="00ED0646">
        <w:rPr>
          <w:bCs/>
          <w:sz w:val="24"/>
          <w:szCs w:val="24"/>
          <w:lang w:eastAsia="zh-CN"/>
        </w:rPr>
        <w:t>Zarząd Zlewni w Elblągu</w:t>
      </w:r>
      <w:r>
        <w:rPr>
          <w:bCs/>
          <w:sz w:val="24"/>
          <w:szCs w:val="24"/>
          <w:lang w:eastAsia="zh-CN"/>
        </w:rPr>
        <w:t xml:space="preserve">, </w:t>
      </w:r>
      <w:r w:rsidRPr="00ED0646">
        <w:rPr>
          <w:bCs/>
          <w:sz w:val="24"/>
          <w:szCs w:val="24"/>
          <w:lang w:eastAsia="zh-CN"/>
        </w:rPr>
        <w:t>82-300 Elbląg, aleja Tysiąclecia 1</w:t>
      </w:r>
      <w:r>
        <w:rPr>
          <w:bCs/>
          <w:sz w:val="24"/>
          <w:szCs w:val="24"/>
          <w:lang w:eastAsia="zh-CN"/>
        </w:rPr>
        <w:t>1</w:t>
      </w:r>
    </w:p>
    <w:sectPr w:rsidR="002E129B" w:rsidRPr="00ED0646" w:rsidSect="008779D4">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A2DBA"/>
    <w:multiLevelType w:val="hybridMultilevel"/>
    <w:tmpl w:val="CEB22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43636"/>
    <w:multiLevelType w:val="hybridMultilevel"/>
    <w:tmpl w:val="4E80EE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E4B0D"/>
    <w:multiLevelType w:val="hybridMultilevel"/>
    <w:tmpl w:val="FC7C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65404"/>
    <w:multiLevelType w:val="hybridMultilevel"/>
    <w:tmpl w:val="ED1262E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15:restartNumberingAfterBreak="0">
    <w:nsid w:val="1D02015A"/>
    <w:multiLevelType w:val="hybridMultilevel"/>
    <w:tmpl w:val="A6E07E82"/>
    <w:lvl w:ilvl="0" w:tplc="04150013">
      <w:start w:val="1"/>
      <w:numFmt w:val="upperRoman"/>
      <w:lvlText w:val="%1."/>
      <w:lvlJc w:val="right"/>
      <w:pPr>
        <w:ind w:left="1004" w:hanging="360"/>
      </w:pPr>
      <w:rPr>
        <w:rFonts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03577"/>
    <w:multiLevelType w:val="hybridMultilevel"/>
    <w:tmpl w:val="CD3E43D6"/>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064DBE"/>
    <w:multiLevelType w:val="hybridMultilevel"/>
    <w:tmpl w:val="5EB6FC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B71E69"/>
    <w:multiLevelType w:val="hybridMultilevel"/>
    <w:tmpl w:val="C51E9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D650F6"/>
    <w:multiLevelType w:val="hybridMultilevel"/>
    <w:tmpl w:val="5DBA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136B7A"/>
    <w:multiLevelType w:val="hybridMultilevel"/>
    <w:tmpl w:val="D5BAC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CB636B"/>
    <w:multiLevelType w:val="hybridMultilevel"/>
    <w:tmpl w:val="A8AE8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F107E9"/>
    <w:multiLevelType w:val="hybridMultilevel"/>
    <w:tmpl w:val="3D9CE5E0"/>
    <w:lvl w:ilvl="0" w:tplc="0415000F">
      <w:start w:val="1"/>
      <w:numFmt w:val="decimal"/>
      <w:lvlText w:val="%1."/>
      <w:lvlJc w:val="left"/>
      <w:pPr>
        <w:ind w:left="1366" w:hanging="360"/>
      </w:p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18" w15:restartNumberingAfterBreak="0">
    <w:nsid w:val="32F21999"/>
    <w:multiLevelType w:val="hybridMultilevel"/>
    <w:tmpl w:val="54E42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E9243B"/>
    <w:multiLevelType w:val="hybridMultilevel"/>
    <w:tmpl w:val="5754B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C15D4E"/>
    <w:multiLevelType w:val="hybridMultilevel"/>
    <w:tmpl w:val="A71ED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021E16"/>
    <w:multiLevelType w:val="hybridMultilevel"/>
    <w:tmpl w:val="DD70C2D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5A42D2"/>
    <w:multiLevelType w:val="hybridMultilevel"/>
    <w:tmpl w:val="67AEEF9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44344368"/>
    <w:multiLevelType w:val="hybridMultilevel"/>
    <w:tmpl w:val="3F66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123DEF"/>
    <w:multiLevelType w:val="hybridMultilevel"/>
    <w:tmpl w:val="775A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F61CE8"/>
    <w:multiLevelType w:val="hybridMultilevel"/>
    <w:tmpl w:val="845C3822"/>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F0517FA"/>
    <w:multiLevelType w:val="hybridMultilevel"/>
    <w:tmpl w:val="F47A80C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3702B2"/>
    <w:multiLevelType w:val="hybridMultilevel"/>
    <w:tmpl w:val="2398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541147"/>
    <w:multiLevelType w:val="hybridMultilevel"/>
    <w:tmpl w:val="24C64B7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89C70A2"/>
    <w:multiLevelType w:val="hybridMultilevel"/>
    <w:tmpl w:val="A00A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DC5D8A"/>
    <w:multiLevelType w:val="hybridMultilevel"/>
    <w:tmpl w:val="57C22E4A"/>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0B5CAA"/>
    <w:multiLevelType w:val="hybridMultilevel"/>
    <w:tmpl w:val="59580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817089"/>
    <w:multiLevelType w:val="hybridMultilevel"/>
    <w:tmpl w:val="0F48A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767650"/>
    <w:multiLevelType w:val="hybridMultilevel"/>
    <w:tmpl w:val="5860D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287269"/>
    <w:multiLevelType w:val="hybridMultilevel"/>
    <w:tmpl w:val="E78EB5C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12"/>
  </w:num>
  <w:num w:numId="2" w16cid:durableId="1606380786">
    <w:abstractNumId w:val="1"/>
  </w:num>
  <w:num w:numId="3" w16cid:durableId="720127976">
    <w:abstractNumId w:val="34"/>
  </w:num>
  <w:num w:numId="4" w16cid:durableId="392432716">
    <w:abstractNumId w:val="28"/>
  </w:num>
  <w:num w:numId="5" w16cid:durableId="1728796631">
    <w:abstractNumId w:val="6"/>
  </w:num>
  <w:num w:numId="6" w16cid:durableId="2054692442">
    <w:abstractNumId w:val="22"/>
  </w:num>
  <w:num w:numId="7" w16cid:durableId="2057122643">
    <w:abstractNumId w:val="4"/>
  </w:num>
  <w:num w:numId="8" w16cid:durableId="646398185">
    <w:abstractNumId w:val="3"/>
  </w:num>
  <w:num w:numId="9" w16cid:durableId="1431580102">
    <w:abstractNumId w:val="25"/>
  </w:num>
  <w:num w:numId="10" w16cid:durableId="2069106985">
    <w:abstractNumId w:val="30"/>
  </w:num>
  <w:num w:numId="11" w16cid:durableId="528882098">
    <w:abstractNumId w:val="29"/>
  </w:num>
  <w:num w:numId="12" w16cid:durableId="599069451">
    <w:abstractNumId w:val="40"/>
  </w:num>
  <w:num w:numId="13" w16cid:durableId="1712412904">
    <w:abstractNumId w:val="9"/>
  </w:num>
  <w:num w:numId="14" w16cid:durableId="145128225">
    <w:abstractNumId w:val="8"/>
  </w:num>
  <w:num w:numId="15" w16cid:durableId="44569857">
    <w:abstractNumId w:val="39"/>
  </w:num>
  <w:num w:numId="16" w16cid:durableId="791367456">
    <w:abstractNumId w:val="0"/>
  </w:num>
  <w:num w:numId="17" w16cid:durableId="1880313646">
    <w:abstractNumId w:val="3"/>
  </w:num>
  <w:num w:numId="18" w16cid:durableId="1318414157">
    <w:abstractNumId w:val="23"/>
  </w:num>
  <w:num w:numId="19" w16cid:durableId="249430880">
    <w:abstractNumId w:val="20"/>
  </w:num>
  <w:num w:numId="20" w16cid:durableId="121074475">
    <w:abstractNumId w:val="5"/>
  </w:num>
  <w:num w:numId="21" w16cid:durableId="815342034">
    <w:abstractNumId w:val="7"/>
  </w:num>
  <w:num w:numId="22" w16cid:durableId="2053723911">
    <w:abstractNumId w:val="42"/>
  </w:num>
  <w:num w:numId="23" w16cid:durableId="937906772">
    <w:abstractNumId w:val="10"/>
  </w:num>
  <w:num w:numId="24" w16cid:durableId="1681618657">
    <w:abstractNumId w:val="32"/>
  </w:num>
  <w:num w:numId="25" w16cid:durableId="672759580">
    <w:abstractNumId w:val="13"/>
  </w:num>
  <w:num w:numId="26" w16cid:durableId="1080373632">
    <w:abstractNumId w:val="14"/>
  </w:num>
  <w:num w:numId="27" w16cid:durableId="114912237">
    <w:abstractNumId w:val="24"/>
  </w:num>
  <w:num w:numId="28" w16cid:durableId="986126965">
    <w:abstractNumId w:val="19"/>
  </w:num>
  <w:num w:numId="29" w16cid:durableId="1370569189">
    <w:abstractNumId w:val="21"/>
  </w:num>
  <w:num w:numId="30" w16cid:durableId="222571065">
    <w:abstractNumId w:val="41"/>
  </w:num>
  <w:num w:numId="31" w16cid:durableId="1068040197">
    <w:abstractNumId w:val="33"/>
  </w:num>
  <w:num w:numId="32" w16cid:durableId="393890192">
    <w:abstractNumId w:val="36"/>
  </w:num>
  <w:num w:numId="33" w16cid:durableId="1810634678">
    <w:abstractNumId w:val="26"/>
  </w:num>
  <w:num w:numId="34" w16cid:durableId="233661346">
    <w:abstractNumId w:val="2"/>
  </w:num>
  <w:num w:numId="35" w16cid:durableId="2006322108">
    <w:abstractNumId w:val="37"/>
  </w:num>
  <w:num w:numId="36" w16cid:durableId="681933739">
    <w:abstractNumId w:val="17"/>
  </w:num>
  <w:num w:numId="37" w16cid:durableId="1806581699">
    <w:abstractNumId w:val="31"/>
  </w:num>
  <w:num w:numId="38" w16cid:durableId="652610465">
    <w:abstractNumId w:val="27"/>
  </w:num>
  <w:num w:numId="39" w16cid:durableId="674580141">
    <w:abstractNumId w:val="15"/>
  </w:num>
  <w:num w:numId="40" w16cid:durableId="1537961349">
    <w:abstractNumId w:val="35"/>
  </w:num>
  <w:num w:numId="41" w16cid:durableId="562984478">
    <w:abstractNumId w:val="16"/>
  </w:num>
  <w:num w:numId="42" w16cid:durableId="736325740">
    <w:abstractNumId w:val="11"/>
  </w:num>
  <w:num w:numId="43" w16cid:durableId="510292071">
    <w:abstractNumId w:val="38"/>
  </w:num>
  <w:num w:numId="44" w16cid:durableId="17157333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810F4"/>
    <w:rsid w:val="000B373D"/>
    <w:rsid w:val="000E12CC"/>
    <w:rsid w:val="001947A7"/>
    <w:rsid w:val="001B44C4"/>
    <w:rsid w:val="001B5B56"/>
    <w:rsid w:val="0026188F"/>
    <w:rsid w:val="00267220"/>
    <w:rsid w:val="002A142B"/>
    <w:rsid w:val="002E129B"/>
    <w:rsid w:val="00342738"/>
    <w:rsid w:val="00384379"/>
    <w:rsid w:val="003A51F9"/>
    <w:rsid w:val="003D0F6B"/>
    <w:rsid w:val="00403DE4"/>
    <w:rsid w:val="00414A88"/>
    <w:rsid w:val="00463EB7"/>
    <w:rsid w:val="004D7E42"/>
    <w:rsid w:val="00565A42"/>
    <w:rsid w:val="005726A9"/>
    <w:rsid w:val="00586F86"/>
    <w:rsid w:val="0059430B"/>
    <w:rsid w:val="006021BE"/>
    <w:rsid w:val="00613DA4"/>
    <w:rsid w:val="00665B79"/>
    <w:rsid w:val="0067347E"/>
    <w:rsid w:val="006C783A"/>
    <w:rsid w:val="006E0E17"/>
    <w:rsid w:val="007352DF"/>
    <w:rsid w:val="00753934"/>
    <w:rsid w:val="0077526D"/>
    <w:rsid w:val="007A5294"/>
    <w:rsid w:val="007C3957"/>
    <w:rsid w:val="007D755D"/>
    <w:rsid w:val="0081118A"/>
    <w:rsid w:val="00824D9D"/>
    <w:rsid w:val="00825D9D"/>
    <w:rsid w:val="008779D4"/>
    <w:rsid w:val="008C033D"/>
    <w:rsid w:val="008E1960"/>
    <w:rsid w:val="008E3B98"/>
    <w:rsid w:val="008F64EA"/>
    <w:rsid w:val="00921D97"/>
    <w:rsid w:val="009F0EDF"/>
    <w:rsid w:val="00A55D8E"/>
    <w:rsid w:val="00A77D11"/>
    <w:rsid w:val="00A94971"/>
    <w:rsid w:val="00AA7C36"/>
    <w:rsid w:val="00AD624D"/>
    <w:rsid w:val="00AF7616"/>
    <w:rsid w:val="00B675D6"/>
    <w:rsid w:val="00B77F25"/>
    <w:rsid w:val="00BA742A"/>
    <w:rsid w:val="00BB7E65"/>
    <w:rsid w:val="00C503ED"/>
    <w:rsid w:val="00C576CD"/>
    <w:rsid w:val="00C806FA"/>
    <w:rsid w:val="00C83D6B"/>
    <w:rsid w:val="00C87AFC"/>
    <w:rsid w:val="00CA5A82"/>
    <w:rsid w:val="00D0663F"/>
    <w:rsid w:val="00D150E7"/>
    <w:rsid w:val="00D233B4"/>
    <w:rsid w:val="00D84FB0"/>
    <w:rsid w:val="00DD1A15"/>
    <w:rsid w:val="00E00B34"/>
    <w:rsid w:val="00E1292A"/>
    <w:rsid w:val="00E74C48"/>
    <w:rsid w:val="00ED0646"/>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D11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table" w:styleId="Tabela-Siatka">
    <w:name w:val="Table Grid"/>
    <w:basedOn w:val="Standardowy"/>
    <w:uiPriority w:val="39"/>
    <w:rsid w:val="00C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3CA2-BE40-4E30-9F1E-83C8D4B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13348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2024-04-17T10:31:00Z</dcterms:created>
  <dcterms:modified xsi:type="dcterms:W3CDTF">2024-04-17T10:31:00Z</dcterms:modified>
</cp:coreProperties>
</file>