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17E70" w14:textId="77777777" w:rsidR="002A2574" w:rsidRPr="002A2574" w:rsidRDefault="002A2574" w:rsidP="00E55367">
      <w:pPr>
        <w:pStyle w:val="Bezodstpw"/>
      </w:pPr>
    </w:p>
    <w:p w14:paraId="04432B81" w14:textId="77777777" w:rsidR="00B13EDC" w:rsidRPr="002A2574" w:rsidRDefault="00797BF0">
      <w:pPr>
        <w:pStyle w:val="TreA"/>
        <w:jc w:val="right"/>
        <w:rPr>
          <w:rFonts w:ascii="Verdana" w:hAnsi="Verdana"/>
          <w:sz w:val="18"/>
          <w:szCs w:val="18"/>
        </w:rPr>
      </w:pPr>
      <w:r w:rsidRPr="002A2574">
        <w:rPr>
          <w:rFonts w:ascii="Verdana" w:hAnsi="Verdana"/>
          <w:sz w:val="18"/>
          <w:szCs w:val="18"/>
        </w:rPr>
        <w:t>Zestawienie – Ochrona dziennikarskich źródeł informacji</w:t>
      </w:r>
    </w:p>
    <w:p w14:paraId="1FE8AAF0" w14:textId="77777777" w:rsidR="00B13EDC" w:rsidRPr="002A2574" w:rsidRDefault="00B13EDC">
      <w:pPr>
        <w:pStyle w:val="TreA"/>
        <w:jc w:val="right"/>
        <w:rPr>
          <w:rFonts w:ascii="Verdana" w:hAnsi="Verdana"/>
          <w:color w:val="FF9300"/>
          <w:u w:color="FF9300"/>
        </w:rPr>
      </w:pPr>
    </w:p>
    <w:p w14:paraId="3BF28012" w14:textId="77777777" w:rsidR="00B13EDC" w:rsidRPr="002A2574" w:rsidRDefault="00797BF0">
      <w:pPr>
        <w:pStyle w:val="TreA"/>
        <w:jc w:val="right"/>
        <w:rPr>
          <w:rFonts w:ascii="Verdana" w:hAnsi="Verdana"/>
          <w:color w:val="FF9300"/>
          <w:sz w:val="20"/>
          <w:szCs w:val="20"/>
          <w:u w:color="FF9300"/>
        </w:rPr>
      </w:pPr>
      <w:r w:rsidRPr="002A2574">
        <w:rPr>
          <w:rFonts w:ascii="Verdana" w:hAnsi="Verdana"/>
          <w:color w:val="FF9300"/>
          <w:sz w:val="20"/>
          <w:szCs w:val="20"/>
          <w:u w:color="FF9300"/>
        </w:rPr>
        <w:t>luty 2019 r.</w:t>
      </w:r>
    </w:p>
    <w:p w14:paraId="612805EF" w14:textId="77777777" w:rsidR="00B13EDC" w:rsidRPr="002A2574" w:rsidRDefault="00797BF0">
      <w:pPr>
        <w:pStyle w:val="TreA"/>
        <w:jc w:val="right"/>
        <w:rPr>
          <w:rFonts w:ascii="Verdana" w:hAnsi="Verdana"/>
          <w:color w:val="FF9300"/>
          <w:sz w:val="20"/>
          <w:szCs w:val="20"/>
          <w:u w:color="FF9300"/>
        </w:rPr>
      </w:pPr>
      <w:r w:rsidRPr="002A2574">
        <w:rPr>
          <w:rFonts w:ascii="Verdana" w:hAnsi="Verdana"/>
          <w:color w:val="FF9300"/>
          <w:sz w:val="20"/>
          <w:szCs w:val="20"/>
          <w:u w:color="FF9300"/>
        </w:rPr>
        <w:t>Niniejsze zestawienie nie jest wiążące dla Trybunału i nie ma charakteru wyczerpującego</w:t>
      </w:r>
    </w:p>
    <w:p w14:paraId="57788208" w14:textId="77777777" w:rsidR="00B13EDC" w:rsidRPr="002A2574" w:rsidRDefault="00B13EDC">
      <w:pPr>
        <w:pStyle w:val="TreA"/>
        <w:jc w:val="right"/>
        <w:rPr>
          <w:rFonts w:ascii="Verdana" w:hAnsi="Verdana"/>
        </w:rPr>
      </w:pPr>
    </w:p>
    <w:p w14:paraId="29F1500F" w14:textId="77777777" w:rsidR="00B13EDC" w:rsidRPr="002A2574" w:rsidRDefault="00B13EDC">
      <w:pPr>
        <w:pStyle w:val="TreA"/>
        <w:jc w:val="right"/>
        <w:rPr>
          <w:rFonts w:ascii="Verdana" w:hAnsi="Verdana"/>
          <w:b/>
          <w:bCs/>
        </w:rPr>
      </w:pPr>
    </w:p>
    <w:p w14:paraId="29991728" w14:textId="77777777" w:rsidR="00B13EDC" w:rsidRPr="002A2574" w:rsidRDefault="00797BF0" w:rsidP="002A25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17"/>
        <w:rPr>
          <w:rFonts w:ascii="Verdana" w:eastAsia="Verdana" w:hAnsi="Verdana" w:cs="Verdana"/>
          <w:color w:val="0071BB"/>
          <w:sz w:val="44"/>
          <w:szCs w:val="44"/>
          <w:bdr w:val="none" w:sz="0" w:space="0" w:color="auto"/>
          <w:lang w:val="pl-PL"/>
        </w:rPr>
      </w:pPr>
      <w:r w:rsidRPr="002A2574">
        <w:rPr>
          <w:rFonts w:ascii="Verdana" w:eastAsia="Verdana" w:hAnsi="Verdana" w:cs="Verdana"/>
          <w:color w:val="0071BB"/>
          <w:sz w:val="44"/>
          <w:szCs w:val="44"/>
          <w:bdr w:val="none" w:sz="0" w:space="0" w:color="auto"/>
          <w:lang w:val="pl-PL"/>
        </w:rPr>
        <w:t>Ochrona dziennikarskich źródeł informacji</w:t>
      </w:r>
    </w:p>
    <w:p w14:paraId="711A2CD9" w14:textId="77777777" w:rsidR="00B13EDC" w:rsidRPr="002A2574" w:rsidRDefault="00B13EDC">
      <w:pPr>
        <w:pStyle w:val="TreA"/>
        <w:jc w:val="both"/>
        <w:rPr>
          <w:rFonts w:ascii="Verdana" w:hAnsi="Verdana"/>
          <w:b/>
          <w:bCs/>
          <w:color w:val="5E5E5E"/>
          <w:sz w:val="26"/>
          <w:szCs w:val="26"/>
          <w:u w:color="5E5E5E"/>
        </w:rPr>
      </w:pPr>
    </w:p>
    <w:p w14:paraId="14378070" w14:textId="3923BA50" w:rsidR="00B13EDC" w:rsidRPr="00E55367" w:rsidRDefault="00797BF0" w:rsidP="002A257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b/>
          <w:bCs/>
          <w:color w:val="5E5E5E"/>
          <w:sz w:val="20"/>
          <w:szCs w:val="20"/>
          <w:u w:color="5E5E5E"/>
        </w:rPr>
      </w:pPr>
      <w:r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>Artykuł 10 (</w:t>
      </w:r>
      <w:r w:rsidR="00E40005"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>w</w:t>
      </w:r>
      <w:r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 xml:space="preserve">olność wyrażania opinii) Europejskiej </w:t>
      </w:r>
      <w:r w:rsidR="00E40005"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>K</w:t>
      </w:r>
      <w:r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 xml:space="preserve">onwencji </w:t>
      </w:r>
      <w:r w:rsidR="00E40005"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>P</w:t>
      </w:r>
      <w:r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 xml:space="preserve">raw </w:t>
      </w:r>
      <w:r w:rsidR="00E40005"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>C</w:t>
      </w:r>
      <w:r w:rsidRPr="00E55367">
        <w:rPr>
          <w:rFonts w:ascii="Verdana" w:hAnsi="Verdana"/>
          <w:b/>
          <w:bCs/>
          <w:color w:val="5E5E5E"/>
          <w:sz w:val="20"/>
          <w:szCs w:val="20"/>
          <w:u w:color="5E5E5E"/>
        </w:rPr>
        <w:t xml:space="preserve">złowieka </w:t>
      </w:r>
    </w:p>
    <w:p w14:paraId="3047090D" w14:textId="153BE1A4" w:rsidR="00B13EDC" w:rsidRPr="00E55367" w:rsidRDefault="00797BF0" w:rsidP="002A257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spacing w:before="120" w:after="120"/>
        <w:jc w:val="both"/>
        <w:rPr>
          <w:rFonts w:ascii="Verdana" w:hAnsi="Verdana"/>
          <w:color w:val="5E5E5E"/>
          <w:sz w:val="20"/>
          <w:szCs w:val="20"/>
          <w:u w:color="5E5E5E"/>
        </w:rPr>
      </w:pP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Europejski Trybunał Praw Człowieka wielokrotnie podkreślał, że art. 10 Konwencji chroni nie tylko istotę oraz treść informacji i poglądów, ale także </w:t>
      </w:r>
      <w:r w:rsidR="0032256F" w:rsidRPr="00E55367">
        <w:rPr>
          <w:rFonts w:ascii="Verdana" w:hAnsi="Verdana"/>
          <w:color w:val="5E5E5E"/>
          <w:sz w:val="20"/>
          <w:szCs w:val="20"/>
          <w:u w:color="5E5E5E"/>
        </w:rPr>
        <w:t xml:space="preserve">sposoby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ich przekazywania. Prasie </w:t>
      </w:r>
      <w:r w:rsidR="0032256F" w:rsidRPr="00E55367">
        <w:rPr>
          <w:rFonts w:ascii="Verdana" w:hAnsi="Verdana"/>
          <w:color w:val="5E5E5E"/>
          <w:sz w:val="20"/>
          <w:szCs w:val="20"/>
          <w:u w:color="5E5E5E"/>
        </w:rPr>
        <w:t xml:space="preserve">w orzecznictwie Trybunału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przyznany został najszerszy zakres ochrony, także </w:t>
      </w:r>
      <w:r w:rsidR="002E7DBA" w:rsidRPr="00E55367">
        <w:rPr>
          <w:rFonts w:ascii="Verdana" w:hAnsi="Verdana"/>
          <w:color w:val="5E5E5E"/>
          <w:sz w:val="20"/>
          <w:szCs w:val="20"/>
          <w:u w:color="5E5E5E"/>
        </w:rPr>
        <w:t xml:space="preserve">w odniesieniu do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>poufności dziennikarskich źródeł informacji.</w:t>
      </w:r>
    </w:p>
    <w:p w14:paraId="3260B10C" w14:textId="2A01E4D8" w:rsidR="00B13EDC" w:rsidRPr="00E55367" w:rsidRDefault="00797BF0" w:rsidP="002A257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spacing w:before="120" w:after="120"/>
        <w:jc w:val="both"/>
        <w:rPr>
          <w:rFonts w:ascii="Verdana" w:hAnsi="Verdana"/>
          <w:color w:val="5E5E5E"/>
          <w:sz w:val="20"/>
          <w:szCs w:val="20"/>
          <w:u w:color="5E5E5E"/>
        </w:rPr>
      </w:pP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„Ochrona dziennikarskich źródeł informacji jest jednym z podstawowych warunków wolności prasy. </w:t>
      </w:r>
      <w:r w:rsidR="002E7DBA" w:rsidRPr="00E55367">
        <w:rPr>
          <w:rFonts w:ascii="Verdana" w:hAnsi="Verdana"/>
          <w:color w:val="5E5E5E"/>
          <w:sz w:val="20"/>
          <w:szCs w:val="20"/>
          <w:u w:color="5E5E5E"/>
        </w:rPr>
        <w:t xml:space="preserve">…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Bez takiej ochrony źródła informacji mogą powstrzymywać się od udzielania </w:t>
      </w:r>
      <w:r w:rsidR="002E7DBA" w:rsidRPr="00E55367">
        <w:rPr>
          <w:rFonts w:ascii="Verdana" w:hAnsi="Verdana"/>
          <w:color w:val="5E5E5E"/>
          <w:sz w:val="20"/>
          <w:szCs w:val="20"/>
          <w:u w:color="5E5E5E"/>
        </w:rPr>
        <w:t xml:space="preserve">prasie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pomocy w informowaniu opinii publicznej </w:t>
      </w:r>
      <w:r w:rsidR="00D268D0" w:rsidRPr="00E55367">
        <w:rPr>
          <w:rFonts w:ascii="Verdana" w:hAnsi="Verdana"/>
          <w:color w:val="5E5E5E"/>
          <w:sz w:val="20"/>
          <w:szCs w:val="20"/>
          <w:u w:color="5E5E5E"/>
        </w:rPr>
        <w:t>w kwestiach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pozostających w zainteresowaniu publicznym. W konsekwencji istotna rola prasy jako stróża publicznego może zostać podważona, a ponadto ucierpieć może zdolność prasy do przekazywania rzetelnych i wiarygodnych informacji. </w:t>
      </w:r>
      <w:r w:rsidR="00B11322" w:rsidRPr="00E55367">
        <w:rPr>
          <w:rFonts w:ascii="Verdana" w:hAnsi="Verdana"/>
          <w:color w:val="5E5E5E"/>
          <w:sz w:val="20"/>
          <w:szCs w:val="20"/>
          <w:u w:color="5E5E5E"/>
        </w:rPr>
        <w:t xml:space="preserve">Nakaz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>ujawnienia źródła informacji nie może zostać uznan</w:t>
      </w:r>
      <w:r w:rsidR="00B11322" w:rsidRPr="00E55367">
        <w:rPr>
          <w:rFonts w:ascii="Verdana" w:hAnsi="Verdana"/>
          <w:color w:val="5E5E5E"/>
          <w:sz w:val="20"/>
          <w:szCs w:val="20"/>
          <w:u w:color="5E5E5E"/>
        </w:rPr>
        <w:t>y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za zgodn</w:t>
      </w:r>
      <w:r w:rsidR="009725EF" w:rsidRPr="00E55367">
        <w:rPr>
          <w:rFonts w:ascii="Verdana" w:hAnsi="Verdana"/>
          <w:color w:val="5E5E5E"/>
          <w:sz w:val="20"/>
          <w:szCs w:val="20"/>
          <w:u w:color="5E5E5E"/>
        </w:rPr>
        <w:t>y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z art. 10 Konwencji, chyba że został usprawiedliwion</w:t>
      </w:r>
      <w:r w:rsidR="00D268D0" w:rsidRPr="00E55367">
        <w:rPr>
          <w:rFonts w:ascii="Verdana" w:hAnsi="Verdana"/>
          <w:color w:val="5E5E5E"/>
          <w:sz w:val="20"/>
          <w:szCs w:val="20"/>
          <w:u w:color="5E5E5E"/>
        </w:rPr>
        <w:t>y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istnieniem nadrzędnej potrzeby w interesie publicznym.”</w:t>
      </w:r>
      <w:r w:rsidR="00D268D0" w:rsidRPr="00E55367">
        <w:rPr>
          <w:rFonts w:ascii="Verdana" w:hAnsi="Verdana"/>
          <w:color w:val="5E5E5E"/>
          <w:sz w:val="20"/>
          <w:szCs w:val="20"/>
          <w:u w:color="5E5E5E"/>
        </w:rPr>
        <w:t xml:space="preserve">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>(</w:t>
      </w:r>
      <w:r w:rsidRPr="00E55367">
        <w:rPr>
          <w:rFonts w:ascii="Verdana" w:hAnsi="Verdana"/>
          <w:i/>
          <w:iCs/>
          <w:color w:val="5E5E5E"/>
          <w:sz w:val="20"/>
          <w:szCs w:val="20"/>
          <w:u w:color="5E5E5E"/>
        </w:rPr>
        <w:t>Goodwin przeciwko Zjednoczonemu Królestwu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>, wyrok z dnia 27 marca 1996 roku, § 39)</w:t>
      </w:r>
      <w:r w:rsidR="00B11322" w:rsidRPr="00E55367">
        <w:rPr>
          <w:rFonts w:ascii="Verdana" w:hAnsi="Verdana"/>
          <w:color w:val="5E5E5E"/>
          <w:sz w:val="20"/>
          <w:szCs w:val="20"/>
          <w:u w:color="5E5E5E"/>
        </w:rPr>
        <w:t>.</w:t>
      </w:r>
    </w:p>
    <w:p w14:paraId="4274DB4C" w14:textId="77777777" w:rsidR="00B13EDC" w:rsidRPr="002A2574" w:rsidRDefault="00B13EDC">
      <w:pPr>
        <w:pStyle w:val="TreA"/>
        <w:jc w:val="both"/>
        <w:rPr>
          <w:rFonts w:ascii="Verdana" w:hAnsi="Verdana"/>
        </w:rPr>
      </w:pPr>
    </w:p>
    <w:p w14:paraId="180DC675" w14:textId="0F11A479" w:rsidR="00B13EDC" w:rsidRPr="002A2574" w:rsidRDefault="009725EF">
      <w:pPr>
        <w:pStyle w:val="TreA"/>
        <w:jc w:val="both"/>
        <w:rPr>
          <w:rFonts w:ascii="Verdana" w:hAnsi="Verdana"/>
          <w:color w:val="0076BA"/>
          <w:sz w:val="28"/>
          <w:szCs w:val="28"/>
          <w:u w:color="0076BA"/>
        </w:rPr>
      </w:pPr>
      <w:r w:rsidRPr="002A2574">
        <w:rPr>
          <w:rFonts w:ascii="Verdana" w:hAnsi="Verdana"/>
          <w:color w:val="0076BA"/>
          <w:sz w:val="28"/>
          <w:szCs w:val="28"/>
          <w:u w:color="0076BA"/>
        </w:rPr>
        <w:t>Zobowiązanie dziennikarzy do ujawnienia źródeł informacji</w:t>
      </w:r>
      <w:r w:rsidR="00DC725F" w:rsidRPr="002A2574">
        <w:rPr>
          <w:rFonts w:ascii="Verdana" w:hAnsi="Verdana"/>
          <w:color w:val="0076BA"/>
          <w:sz w:val="28"/>
          <w:szCs w:val="28"/>
          <w:u w:color="0076BA"/>
        </w:rPr>
        <w:t xml:space="preserve"> </w:t>
      </w:r>
      <w:r w:rsidRPr="002A2574">
        <w:rPr>
          <w:rFonts w:ascii="Verdana" w:hAnsi="Verdana"/>
          <w:color w:val="0076BA"/>
          <w:sz w:val="28"/>
          <w:szCs w:val="28"/>
          <w:u w:color="0076BA"/>
        </w:rPr>
        <w:t>/</w:t>
      </w:r>
      <w:r w:rsidR="00DC725F" w:rsidRPr="002A2574">
        <w:rPr>
          <w:rFonts w:ascii="Verdana" w:hAnsi="Verdana"/>
          <w:color w:val="0076BA"/>
          <w:sz w:val="28"/>
          <w:szCs w:val="28"/>
          <w:u w:color="0076BA"/>
        </w:rPr>
        <w:t xml:space="preserve"> </w:t>
      </w:r>
      <w:r w:rsidRPr="002A2574">
        <w:rPr>
          <w:rFonts w:ascii="Verdana" w:hAnsi="Verdana"/>
          <w:color w:val="0076BA"/>
          <w:sz w:val="28"/>
          <w:szCs w:val="28"/>
          <w:u w:color="0076BA"/>
        </w:rPr>
        <w:t>Zarzucany brak ochrony dziennikarskich źródeł informacji</w:t>
      </w:r>
    </w:p>
    <w:p w14:paraId="3B66E2EA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Goodwin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przeciwko Zjednoczonemu Królestwu</w:t>
      </w:r>
    </w:p>
    <w:p w14:paraId="751C019F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27 marca 1996 r.</w:t>
      </w:r>
    </w:p>
    <w:p w14:paraId="4E773010" w14:textId="77777777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Sprawa dotyczyła nałożonego przez sąd na dziennikarza (pracującego dla czasopisma „Inżynier”) zobowiązania do ujawnienia tożsamości jego źródła informacji o poufnym planie korporacyjnym przedsiębiorstwa.</w:t>
      </w:r>
    </w:p>
    <w:p w14:paraId="4D7BC707" w14:textId="01943EBD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opinii Europejskiego Trybunału Praw Człowieka nie istniał rozsądny związek proporcjonalności między </w:t>
      </w:r>
      <w:r w:rsidR="004863F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prawnie uzasadnionym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celem</w:t>
      </w:r>
      <w:r w:rsidR="004863FC" w:rsidRPr="00E55367">
        <w:rPr>
          <w:rFonts w:ascii="Verdana" w:hAnsi="Verdana"/>
          <w:color w:val="0076BA"/>
          <w:sz w:val="20"/>
          <w:szCs w:val="20"/>
          <w:u w:color="0076BA"/>
        </w:rPr>
        <w:t>, którego realizacji służył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4863FC" w:rsidRPr="00E55367">
        <w:rPr>
          <w:rFonts w:ascii="Verdana" w:hAnsi="Verdana"/>
          <w:color w:val="0076BA"/>
          <w:sz w:val="20"/>
          <w:szCs w:val="20"/>
          <w:u w:color="0076BA"/>
        </w:rPr>
        <w:t>wydany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nakaz ujawnienia informacji</w:t>
      </w:r>
      <w:r w:rsidR="004863FC" w:rsidRPr="00E55367">
        <w:rPr>
          <w:rFonts w:ascii="Verdana" w:hAnsi="Verdana"/>
          <w:color w:val="0076BA"/>
          <w:sz w:val="20"/>
          <w:szCs w:val="20"/>
          <w:u w:color="0076BA"/>
        </w:rPr>
        <w:t>,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środkami </w:t>
      </w:r>
      <w:r w:rsidR="004863F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zastosowanymi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 osiągnięcia tego celu. Zarówno zobowiązanie skarżącego do ujawnienia źródła informacji, jak i nałożona na niego kara grzywny za odmowę </w:t>
      </w:r>
      <w:r w:rsidR="00F15122" w:rsidRPr="00E55367">
        <w:rPr>
          <w:rFonts w:ascii="Verdana" w:hAnsi="Verdana"/>
          <w:color w:val="0076BA"/>
          <w:sz w:val="20"/>
          <w:szCs w:val="20"/>
          <w:u w:color="0076BA"/>
        </w:rPr>
        <w:t>wykonania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zobowiązania, skutkowały naruszeniem jego prawa do wolności wyrażania opinii wynikającego z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Europejskiej </w:t>
      </w:r>
      <w:r w:rsidR="00F15122" w:rsidRPr="00E55367">
        <w:rPr>
          <w:rFonts w:ascii="Verdana" w:hAnsi="Verdana"/>
          <w:color w:val="0076BA"/>
          <w:sz w:val="20"/>
          <w:szCs w:val="20"/>
          <w:u w:color="0076BA"/>
        </w:rPr>
        <w:t>K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onwencji </w:t>
      </w:r>
      <w:r w:rsidR="00F15122" w:rsidRPr="00E55367">
        <w:rPr>
          <w:rFonts w:ascii="Verdana" w:hAnsi="Verdana"/>
          <w:color w:val="0076BA"/>
          <w:sz w:val="20"/>
          <w:szCs w:val="20"/>
          <w:u w:color="0076BA"/>
        </w:rPr>
        <w:t>P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raw </w:t>
      </w:r>
      <w:r w:rsidR="00F15122" w:rsidRPr="00E55367">
        <w:rPr>
          <w:rFonts w:ascii="Verdana" w:hAnsi="Verdana"/>
          <w:color w:val="0076BA"/>
          <w:sz w:val="20"/>
          <w:szCs w:val="20"/>
          <w:u w:color="0076BA"/>
        </w:rPr>
        <w:t>C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złowieka.</w:t>
      </w:r>
    </w:p>
    <w:p w14:paraId="3309CFE2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Nordisk Film &amp; TV A/S przeciwko Danii</w:t>
      </w:r>
    </w:p>
    <w:p w14:paraId="1A78E121" w14:textId="2F3789AA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8 grudnia 2005 r. (decyzja </w:t>
      </w:r>
      <w:r w:rsidR="009F5FC6" w:rsidRPr="00E55367">
        <w:rPr>
          <w:rFonts w:ascii="Verdana" w:hAnsi="Verdana"/>
          <w:color w:val="929292"/>
          <w:sz w:val="20"/>
          <w:szCs w:val="20"/>
          <w:u w:color="929292"/>
        </w:rPr>
        <w:t>w przedmiocie</w:t>
      </w: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 dopuszczalności)</w:t>
      </w:r>
    </w:p>
    <w:p w14:paraId="2A61622A" w14:textId="4C20F782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Sprawa dotyczyła nakazu ujawnienia materiału badawczego pozyskanego przez dziennikarza, który</w:t>
      </w:r>
      <w:r w:rsidR="00DC725F" w:rsidRPr="00E55367">
        <w:rPr>
          <w:rFonts w:ascii="Verdana" w:hAnsi="Verdana"/>
          <w:sz w:val="20"/>
          <w:szCs w:val="20"/>
        </w:rPr>
        <w:t xml:space="preserve"> -</w:t>
      </w:r>
      <w:r w:rsidRPr="00E55367">
        <w:rPr>
          <w:rFonts w:ascii="Verdana" w:hAnsi="Verdana"/>
          <w:sz w:val="20"/>
          <w:szCs w:val="20"/>
        </w:rPr>
        <w:t xml:space="preserve"> </w:t>
      </w:r>
      <w:r w:rsidR="00DC725F" w:rsidRPr="00E55367">
        <w:rPr>
          <w:rFonts w:ascii="Verdana" w:hAnsi="Verdana"/>
          <w:sz w:val="20"/>
          <w:szCs w:val="20"/>
        </w:rPr>
        <w:t>przygotowując</w:t>
      </w:r>
      <w:r w:rsidRPr="00E55367">
        <w:rPr>
          <w:rFonts w:ascii="Verdana" w:hAnsi="Verdana"/>
          <w:sz w:val="20"/>
          <w:szCs w:val="20"/>
        </w:rPr>
        <w:t xml:space="preserve"> dokument o zjawisku pedofilii w Danii</w:t>
      </w:r>
      <w:r w:rsidR="00DC725F" w:rsidRPr="00E55367">
        <w:rPr>
          <w:rFonts w:ascii="Verdana" w:hAnsi="Verdana"/>
          <w:sz w:val="20"/>
          <w:szCs w:val="20"/>
        </w:rPr>
        <w:t xml:space="preserve"> -</w:t>
      </w:r>
      <w:r w:rsidRPr="00E55367">
        <w:rPr>
          <w:rFonts w:ascii="Verdana" w:hAnsi="Verdana"/>
          <w:sz w:val="20"/>
          <w:szCs w:val="20"/>
        </w:rPr>
        <w:t xml:space="preserve"> działał </w:t>
      </w:r>
      <w:r w:rsidR="009F5FC6" w:rsidRPr="00E55367">
        <w:rPr>
          <w:rFonts w:ascii="Verdana" w:hAnsi="Verdana"/>
          <w:sz w:val="20"/>
          <w:szCs w:val="20"/>
        </w:rPr>
        <w:t>„</w:t>
      </w:r>
      <w:r w:rsidRPr="00E55367">
        <w:rPr>
          <w:rFonts w:ascii="Verdana" w:hAnsi="Verdana"/>
          <w:sz w:val="20"/>
          <w:szCs w:val="20"/>
        </w:rPr>
        <w:t>pod przykryciem</w:t>
      </w:r>
      <w:r w:rsidR="009F5FC6" w:rsidRPr="00E55367">
        <w:rPr>
          <w:rFonts w:ascii="Verdana" w:hAnsi="Verdana"/>
          <w:sz w:val="20"/>
          <w:szCs w:val="20"/>
        </w:rPr>
        <w:t>”</w:t>
      </w:r>
      <w:r w:rsidRPr="00E55367">
        <w:rPr>
          <w:rFonts w:ascii="Verdana" w:hAnsi="Verdana"/>
          <w:sz w:val="20"/>
          <w:szCs w:val="20"/>
        </w:rPr>
        <w:t xml:space="preserve"> i </w:t>
      </w:r>
      <w:r w:rsidR="00283B94" w:rsidRPr="00E55367">
        <w:rPr>
          <w:rFonts w:ascii="Verdana" w:hAnsi="Verdana"/>
          <w:sz w:val="20"/>
          <w:szCs w:val="20"/>
        </w:rPr>
        <w:t xml:space="preserve">przeniknął do </w:t>
      </w:r>
      <w:r w:rsidRPr="00E55367">
        <w:rPr>
          <w:rFonts w:ascii="Verdana" w:hAnsi="Verdana"/>
          <w:sz w:val="20"/>
          <w:szCs w:val="20"/>
        </w:rPr>
        <w:t>środowisk</w:t>
      </w:r>
      <w:r w:rsidR="00283B94" w:rsidRPr="00E55367">
        <w:rPr>
          <w:rFonts w:ascii="Verdana" w:hAnsi="Verdana"/>
          <w:sz w:val="20"/>
          <w:szCs w:val="20"/>
        </w:rPr>
        <w:t>a</w:t>
      </w:r>
      <w:r w:rsidRPr="00E55367">
        <w:rPr>
          <w:rFonts w:ascii="Verdana" w:hAnsi="Verdana"/>
          <w:sz w:val="20"/>
          <w:szCs w:val="20"/>
        </w:rPr>
        <w:t xml:space="preserve"> pedofilów.</w:t>
      </w:r>
    </w:p>
    <w:p w14:paraId="74FFC16B" w14:textId="66D748C2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 skargę za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niedopuszczalną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jako </w:t>
      </w:r>
      <w:r w:rsidR="009F5FC6" w:rsidRPr="00E55367">
        <w:rPr>
          <w:rFonts w:ascii="Verdana" w:hAnsi="Verdana"/>
          <w:color w:val="0076BA"/>
          <w:sz w:val="20"/>
          <w:szCs w:val="20"/>
          <w:u w:color="0076BA"/>
        </w:rPr>
        <w:t>oczywiście niezasadną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</w:t>
      </w:r>
      <w:r w:rsidR="009F5FC6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szczególności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stwierdził, że </w:t>
      </w:r>
      <w:r w:rsidR="009F5FC6" w:rsidRPr="00E55367">
        <w:rPr>
          <w:rFonts w:ascii="Verdana" w:hAnsi="Verdana"/>
          <w:color w:val="0076BA"/>
          <w:sz w:val="20"/>
          <w:szCs w:val="20"/>
          <w:u w:color="0076BA"/>
        </w:rPr>
        <w:t>nakaz wydany przez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sąd </w:t>
      </w:r>
      <w:r w:rsidR="009F5FC6" w:rsidRPr="00E55367">
        <w:rPr>
          <w:rFonts w:ascii="Verdana" w:hAnsi="Verdana"/>
          <w:color w:val="0076BA"/>
          <w:sz w:val="20"/>
          <w:szCs w:val="20"/>
          <w:u w:color="0076BA"/>
        </w:rPr>
        <w:t xml:space="preserve">krajowy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stanowił proporcjonalną ingerencję w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dziennikarską swobodę wyrażania opinii</w:t>
      </w:r>
      <w:r w:rsidR="00C8000D" w:rsidRPr="00E55367">
        <w:rPr>
          <w:rFonts w:ascii="Verdana" w:hAnsi="Verdana"/>
          <w:color w:val="0076BA"/>
          <w:sz w:val="20"/>
          <w:szCs w:val="20"/>
          <w:u w:color="0076BA"/>
        </w:rPr>
        <w:t>, która była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C8000D" w:rsidRPr="00E55367">
        <w:rPr>
          <w:rFonts w:ascii="Verdana" w:hAnsi="Verdana"/>
          <w:color w:val="0076BA"/>
          <w:sz w:val="20"/>
          <w:szCs w:val="20"/>
          <w:u w:color="0076BA"/>
        </w:rPr>
        <w:t xml:space="preserve">uzasadniona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celem </w:t>
      </w:r>
      <w:r w:rsidR="00C8000D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postaci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zapobiegania przestępczości, </w:t>
      </w:r>
      <w:r w:rsidR="00C8000D" w:rsidRPr="00E55367">
        <w:rPr>
          <w:rFonts w:ascii="Verdana" w:hAnsi="Verdana"/>
          <w:color w:val="0076BA"/>
          <w:sz w:val="20"/>
          <w:szCs w:val="20"/>
          <w:u w:color="0076BA"/>
        </w:rPr>
        <w:t>zwłaszcza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 odniesieniu do sprawy dotyczącej poważnego wykorzystywania dzieci.</w:t>
      </w:r>
    </w:p>
    <w:p w14:paraId="6DE4DF30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lastRenderedPageBreak/>
        <w:t>Voskuil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przeciwko Holandii</w:t>
      </w:r>
    </w:p>
    <w:p w14:paraId="00531540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22 listopada 2007 r.</w:t>
      </w:r>
    </w:p>
    <w:p w14:paraId="0E62DF71" w14:textId="1FAB7246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Skarżącemu, dziennikarzowi, odmówiono prawa do nieujawnienia swojego źródła informacji</w:t>
      </w:r>
      <w:r w:rsidR="00EE3504" w:rsidRPr="00E55367">
        <w:rPr>
          <w:rFonts w:ascii="Verdana" w:hAnsi="Verdana"/>
          <w:sz w:val="20"/>
          <w:szCs w:val="20"/>
        </w:rPr>
        <w:t xml:space="preserve"> do dwóch artykułów </w:t>
      </w:r>
      <w:r w:rsidRPr="00E55367">
        <w:rPr>
          <w:rFonts w:ascii="Verdana" w:hAnsi="Verdana"/>
          <w:sz w:val="20"/>
          <w:szCs w:val="20"/>
        </w:rPr>
        <w:t>prasowych</w:t>
      </w:r>
      <w:r w:rsidR="00EE3504" w:rsidRPr="00E55367">
        <w:rPr>
          <w:rFonts w:ascii="Verdana" w:hAnsi="Verdana"/>
          <w:sz w:val="20"/>
          <w:szCs w:val="20"/>
        </w:rPr>
        <w:t>,</w:t>
      </w:r>
      <w:r w:rsidRPr="00E55367">
        <w:rPr>
          <w:rFonts w:ascii="Verdana" w:hAnsi="Verdana"/>
          <w:sz w:val="20"/>
          <w:szCs w:val="20"/>
        </w:rPr>
        <w:t xml:space="preserve"> dotyczących </w:t>
      </w:r>
      <w:r w:rsidR="00EE3504" w:rsidRPr="00E55367">
        <w:rPr>
          <w:rFonts w:ascii="Verdana" w:hAnsi="Verdana"/>
          <w:sz w:val="20"/>
          <w:szCs w:val="20"/>
        </w:rPr>
        <w:t>śledztwa</w:t>
      </w:r>
      <w:r w:rsidRPr="00E55367">
        <w:rPr>
          <w:rFonts w:ascii="Verdana" w:hAnsi="Verdana"/>
          <w:sz w:val="20"/>
          <w:szCs w:val="20"/>
        </w:rPr>
        <w:t xml:space="preserve"> w sprawie przemytu broni oraz </w:t>
      </w:r>
      <w:r w:rsidR="00EE3504" w:rsidRPr="00E55367">
        <w:rPr>
          <w:rFonts w:ascii="Verdana" w:hAnsi="Verdana"/>
          <w:sz w:val="20"/>
          <w:szCs w:val="20"/>
        </w:rPr>
        <w:t xml:space="preserve">pozbawiono </w:t>
      </w:r>
      <w:r w:rsidRPr="00E55367">
        <w:rPr>
          <w:rFonts w:ascii="Verdana" w:hAnsi="Verdana"/>
          <w:sz w:val="20"/>
          <w:szCs w:val="20"/>
        </w:rPr>
        <w:t xml:space="preserve">go wolności przez okres dłuższy niż dwa tygodnie </w:t>
      </w:r>
      <w:r w:rsidR="00EC217C" w:rsidRPr="00E55367">
        <w:rPr>
          <w:rFonts w:ascii="Verdana" w:hAnsi="Verdana"/>
          <w:sz w:val="20"/>
          <w:szCs w:val="20"/>
        </w:rPr>
        <w:t>próbując zmusić</w:t>
      </w:r>
      <w:r w:rsidRPr="00E55367">
        <w:rPr>
          <w:rFonts w:ascii="Verdana" w:hAnsi="Verdana"/>
          <w:sz w:val="20"/>
          <w:szCs w:val="20"/>
        </w:rPr>
        <w:t xml:space="preserve"> go do ujawnienia </w:t>
      </w:r>
      <w:r w:rsidR="00EC217C" w:rsidRPr="00E55367">
        <w:rPr>
          <w:rFonts w:ascii="Verdana" w:hAnsi="Verdana"/>
          <w:sz w:val="20"/>
          <w:szCs w:val="20"/>
        </w:rPr>
        <w:t>tego źródła</w:t>
      </w:r>
      <w:r w:rsidRPr="00E55367">
        <w:rPr>
          <w:rFonts w:ascii="Verdana" w:hAnsi="Verdana"/>
          <w:sz w:val="20"/>
          <w:szCs w:val="20"/>
        </w:rPr>
        <w:t>.</w:t>
      </w:r>
    </w:p>
    <w:p w14:paraId="0222A575" w14:textId="53D51F62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</w:t>
      </w:r>
      <w:r w:rsidR="00EC217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ustalając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szczególności, że interes rządu holenderskiego w </w:t>
      </w:r>
      <w:r w:rsidR="00EC217C" w:rsidRPr="00E55367">
        <w:rPr>
          <w:rFonts w:ascii="Verdana" w:hAnsi="Verdana"/>
          <w:color w:val="0076BA"/>
          <w:sz w:val="20"/>
          <w:szCs w:val="20"/>
          <w:u w:color="0076BA"/>
        </w:rPr>
        <w:t>poznaniu tożsamości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źródła informacji skarżącego nie był wystarczający, by przewyższyć interes skarżącego w jego nieujawnianiu</w:t>
      </w:r>
      <w:r w:rsidR="00222D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stwierdził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naruszenia art. 10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Konwencji. Trybunał uznał ponadto, że w sprawie skarżącego doszło </w:t>
      </w:r>
      <w:r w:rsidR="00222D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także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5 ust. 1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(prawo do wolności i bezpieczeństwa osobistego) Konwencji.</w:t>
      </w:r>
    </w:p>
    <w:p w14:paraId="4DD6F42F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Financial Times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Ltd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i Inni przeciwko Zjednoczonemu Królestwu</w:t>
      </w:r>
    </w:p>
    <w:p w14:paraId="4A628690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15 grudnia 2009 r.</w:t>
      </w:r>
    </w:p>
    <w:p w14:paraId="40D11ABA" w14:textId="17461F0E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skargi czterech brytyjskich gazet i agencji prasowych, które podnosiły, </w:t>
      </w:r>
      <w:r w:rsidR="00222D37" w:rsidRPr="00E55367">
        <w:rPr>
          <w:rFonts w:ascii="Verdana" w:hAnsi="Verdana"/>
          <w:sz w:val="20"/>
          <w:szCs w:val="20"/>
        </w:rPr>
        <w:t>że nakazano im</w:t>
      </w:r>
      <w:r w:rsidRPr="00E55367">
        <w:rPr>
          <w:rFonts w:ascii="Verdana" w:hAnsi="Verdana"/>
          <w:sz w:val="20"/>
          <w:szCs w:val="20"/>
        </w:rPr>
        <w:t xml:space="preserve"> ujawnieni</w:t>
      </w:r>
      <w:r w:rsidR="00222D37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 dokumentów </w:t>
      </w:r>
      <w:r w:rsidR="006A2B5D" w:rsidRPr="00E55367">
        <w:rPr>
          <w:rFonts w:ascii="Verdana" w:hAnsi="Verdana"/>
          <w:sz w:val="20"/>
          <w:szCs w:val="20"/>
        </w:rPr>
        <w:t xml:space="preserve">belgijskiej spółce browarniczej </w:t>
      </w:r>
      <w:r w:rsidR="00C4024F" w:rsidRPr="00E55367">
        <w:rPr>
          <w:rFonts w:ascii="Verdana" w:hAnsi="Verdana"/>
          <w:i/>
          <w:iCs/>
          <w:sz w:val="20"/>
          <w:szCs w:val="20"/>
        </w:rPr>
        <w:t>Interbrew,</w:t>
      </w:r>
      <w:r w:rsidR="00C4024F"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sz w:val="20"/>
          <w:szCs w:val="20"/>
        </w:rPr>
        <w:t xml:space="preserve">co mogło prowadzić do </w:t>
      </w:r>
      <w:r w:rsidR="00222D37" w:rsidRPr="00E55367">
        <w:rPr>
          <w:rFonts w:ascii="Verdana" w:hAnsi="Verdana"/>
          <w:sz w:val="20"/>
          <w:szCs w:val="20"/>
        </w:rPr>
        <w:t xml:space="preserve">zidentyfikowania dziennikarskich </w:t>
      </w:r>
      <w:r w:rsidRPr="00E55367">
        <w:rPr>
          <w:rFonts w:ascii="Verdana" w:hAnsi="Verdana"/>
          <w:sz w:val="20"/>
          <w:szCs w:val="20"/>
        </w:rPr>
        <w:t xml:space="preserve">źródeł </w:t>
      </w:r>
      <w:r w:rsidR="00222D37" w:rsidRPr="00E55367">
        <w:rPr>
          <w:rFonts w:ascii="Verdana" w:hAnsi="Verdana"/>
          <w:sz w:val="20"/>
          <w:szCs w:val="20"/>
        </w:rPr>
        <w:t xml:space="preserve">informacji </w:t>
      </w:r>
      <w:r w:rsidRPr="00E55367">
        <w:rPr>
          <w:rFonts w:ascii="Verdana" w:hAnsi="Verdana"/>
          <w:sz w:val="20"/>
          <w:szCs w:val="20"/>
        </w:rPr>
        <w:t xml:space="preserve">w zakresie pochodzenia </w:t>
      </w:r>
      <w:r w:rsidR="00C4024F" w:rsidRPr="00E55367">
        <w:rPr>
          <w:rFonts w:ascii="Verdana" w:hAnsi="Verdana"/>
          <w:sz w:val="20"/>
          <w:szCs w:val="20"/>
        </w:rPr>
        <w:t xml:space="preserve">przecieku </w:t>
      </w:r>
      <w:r w:rsidRPr="00E55367">
        <w:rPr>
          <w:rFonts w:ascii="Verdana" w:hAnsi="Verdana"/>
          <w:sz w:val="20"/>
          <w:szCs w:val="20"/>
        </w:rPr>
        <w:t>do prasy informacji o ofercie przejęcia spółki.</w:t>
      </w:r>
    </w:p>
    <w:p w14:paraId="30FB384C" w14:textId="4E73D0B5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art. 10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Konwencji. Podkreślając w szczególności </w:t>
      </w:r>
      <w:r w:rsidR="006029D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wystąpienie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tzw. </w:t>
      </w:r>
      <w:r w:rsidR="006029D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efektu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mrożącego, ilekroć dziennikarze </w:t>
      </w:r>
      <w:r w:rsidR="006029D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byli postrzegani jako uczestniczący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identyfikacji anonimowych źródeł informacji, Trybunał uznał, że </w:t>
      </w:r>
      <w:r w:rsidR="00CF2DFC" w:rsidRPr="00E55367">
        <w:rPr>
          <w:rFonts w:ascii="Verdana" w:hAnsi="Verdana"/>
          <w:color w:val="0076BA"/>
          <w:sz w:val="20"/>
          <w:szCs w:val="20"/>
          <w:u w:color="0076BA"/>
        </w:rPr>
        <w:t>interes w</w:t>
      </w:r>
      <w:r w:rsidR="007E094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wyeliminowani</w:t>
      </w:r>
      <w:r w:rsidR="00CF2DFC" w:rsidRPr="00E55367">
        <w:rPr>
          <w:rFonts w:ascii="Verdana" w:hAnsi="Verdana"/>
          <w:color w:val="0076BA"/>
          <w:sz w:val="20"/>
          <w:szCs w:val="20"/>
          <w:u w:color="0076BA"/>
        </w:rPr>
        <w:t>u</w:t>
      </w:r>
      <w:r w:rsidR="007E094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szk</w:t>
      </w:r>
      <w:r w:rsidR="00CF2DFC" w:rsidRPr="00E55367">
        <w:rPr>
          <w:rFonts w:ascii="Verdana" w:hAnsi="Verdana"/>
          <w:color w:val="0076BA"/>
          <w:sz w:val="20"/>
          <w:szCs w:val="20"/>
          <w:u w:color="0076BA"/>
        </w:rPr>
        <w:t>ód</w:t>
      </w:r>
      <w:r w:rsidR="007E094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poprzez przyszłe upowszechnianie poufnych informacji</w:t>
      </w:r>
      <w:r w:rsidR="00CF2DF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oraz uzyskiwaniu odszkodowań za przeszłe naruszenia poufności </w:t>
      </w:r>
      <w:r w:rsidR="006029D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nie był wystarczający do przeważenia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interesu publicznego</w:t>
      </w:r>
      <w:r w:rsidR="006029D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 </w:t>
      </w:r>
      <w:r w:rsidR="00CF2DFC" w:rsidRPr="00E55367">
        <w:rPr>
          <w:rFonts w:ascii="Verdana" w:hAnsi="Verdana"/>
          <w:color w:val="0076BA"/>
          <w:sz w:val="20"/>
          <w:szCs w:val="20"/>
          <w:u w:color="0076BA"/>
        </w:rPr>
        <w:t>ochronie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dziennikarskich źródeł informacji.</w:t>
      </w:r>
    </w:p>
    <w:p w14:paraId="41BC4C82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Sanoma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Uitgevers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B.V. przeciwko Holandii</w:t>
      </w:r>
    </w:p>
    <w:p w14:paraId="6FCFFF86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14 września 2010 r. (Wielka Izba)</w:t>
      </w:r>
    </w:p>
    <w:p w14:paraId="198AB1E4" w14:textId="0C000326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zobowiązania holenderskiego wydawnictwa do wydania policji fotografii, które wykorzystano w artykule na temat nielegalnych wyścigów samochodowych, na potrzeby </w:t>
      </w:r>
      <w:r w:rsidR="00CF2DFC" w:rsidRPr="00E55367">
        <w:rPr>
          <w:rFonts w:ascii="Verdana" w:hAnsi="Verdana"/>
          <w:sz w:val="20"/>
          <w:szCs w:val="20"/>
        </w:rPr>
        <w:t>śledztwa policyjnego</w:t>
      </w:r>
      <w:r w:rsidRPr="00E55367">
        <w:rPr>
          <w:rFonts w:ascii="Verdana" w:hAnsi="Verdana"/>
          <w:sz w:val="20"/>
          <w:szCs w:val="20"/>
        </w:rPr>
        <w:t xml:space="preserve"> w innej sprawie</w:t>
      </w:r>
      <w:r w:rsidR="00CF2DFC" w:rsidRPr="00E55367">
        <w:rPr>
          <w:rFonts w:ascii="Verdana" w:hAnsi="Verdana"/>
          <w:sz w:val="20"/>
          <w:szCs w:val="20"/>
        </w:rPr>
        <w:t>,</w:t>
      </w:r>
      <w:r w:rsidRPr="00E55367">
        <w:rPr>
          <w:rFonts w:ascii="Verdana" w:hAnsi="Verdana"/>
          <w:sz w:val="20"/>
          <w:szCs w:val="20"/>
        </w:rPr>
        <w:t xml:space="preserve"> pomimo wyraźnego sprzeciwu dziennikarzy wobec zobowiązania do ujawnienia materiałów umożliwiających identyfikację </w:t>
      </w:r>
      <w:r w:rsidR="001F1A13" w:rsidRPr="00E55367">
        <w:rPr>
          <w:rFonts w:ascii="Verdana" w:hAnsi="Verdana"/>
          <w:sz w:val="20"/>
          <w:szCs w:val="20"/>
        </w:rPr>
        <w:t xml:space="preserve">poufnych </w:t>
      </w:r>
      <w:r w:rsidRPr="00E55367">
        <w:rPr>
          <w:rFonts w:ascii="Verdana" w:hAnsi="Verdana"/>
          <w:sz w:val="20"/>
          <w:szCs w:val="20"/>
        </w:rPr>
        <w:t>źródeł informacji.</w:t>
      </w:r>
    </w:p>
    <w:p w14:paraId="78D73531" w14:textId="0CA8DAA4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 w szczególności, że ingerencja w prawo </w:t>
      </w:r>
      <w:r w:rsidR="001F1A1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wydawnictwa skarżącego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 swobody wyrażania opinii nie była „przewidziana przez prawo”, ponieważ nie istniała procedura zapewniająca odpowiednią ochronę prawną </w:t>
      </w:r>
      <w:r w:rsidR="001F1A1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firmy skarżącego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poprzez umożliwienie </w:t>
      </w:r>
      <w:r w:rsidR="001F1A13" w:rsidRPr="00E55367">
        <w:rPr>
          <w:rFonts w:ascii="Verdana" w:hAnsi="Verdana"/>
          <w:color w:val="0076BA"/>
          <w:sz w:val="20"/>
          <w:szCs w:val="20"/>
          <w:u w:color="0076BA"/>
        </w:rPr>
        <w:t>niezależnej oceny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czy interes postępowania przygotowawczego przeważał nad interesem publicznym w zakresie ochrony dziennikarskich źródeł informacji. W związku z tym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</w:t>
      </w:r>
    </w:p>
    <w:p w14:paraId="433EBCD5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Telegraaf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Media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Nederland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Landelijke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Media B.V. i Inni przeciwko Holandii</w:t>
      </w:r>
    </w:p>
    <w:p w14:paraId="58DF1EB4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22 listopada 2012 r. </w:t>
      </w:r>
    </w:p>
    <w:p w14:paraId="02A9CBBE" w14:textId="3EFF4763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Skarżący – spółka z ograniczoną odpowiedzialnością prawa holenderskiego, wydawca ogólnokrajowego dziennika „De Telegraaf” oraz </w:t>
      </w:r>
      <w:r w:rsidR="006B79DD" w:rsidRPr="00E55367">
        <w:rPr>
          <w:rFonts w:ascii="Verdana" w:hAnsi="Verdana"/>
          <w:sz w:val="20"/>
          <w:szCs w:val="20"/>
        </w:rPr>
        <w:t>dwaj dziennikarze</w:t>
      </w:r>
      <w:r w:rsidRPr="00E55367">
        <w:rPr>
          <w:rFonts w:ascii="Verdana" w:hAnsi="Verdana"/>
          <w:sz w:val="20"/>
          <w:szCs w:val="20"/>
        </w:rPr>
        <w:t xml:space="preserve"> – skarżyli się na zobowiązanie do wydania dokumentów, które mogłyby ujawnić dziennikarskie źródła informacji oraz na skorzystanie przez państwo z uprawnień szczególnych.</w:t>
      </w:r>
    </w:p>
    <w:p w14:paraId="46F9DE29" w14:textId="4F83D215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8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(prawo do poszanowania życia prywatnego) oraz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 w odniesieniu do dwóch dziennikarzy, stwierdzając w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szczególności, że właściwe prawo w Holandii nie zapewniało odpowiednich gwarancji w odniesieniu do zastosowanego wobec skarżących uprawnienia do inwigilacji w celu odkrycia ich dziennikarskich źródeł informacji. Trybunał uznał ponadto,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naruszenia art. 10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odniesieniu do nakazu wydania dokumentów </w:t>
      </w:r>
      <w:r w:rsidR="006B79DD" w:rsidRPr="00E55367">
        <w:rPr>
          <w:rFonts w:ascii="Verdana" w:hAnsi="Verdana"/>
          <w:color w:val="0076BA"/>
          <w:sz w:val="20"/>
          <w:szCs w:val="20"/>
          <w:u w:color="0076BA"/>
        </w:rPr>
        <w:t xml:space="preserve">adresowanych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 wydawnictwa. Potwierdził </w:t>
      </w:r>
      <w:r w:rsidR="006B79DD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szczególności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znaczenie ochrony dziennikarskich źródeł </w:t>
      </w:r>
      <w:r w:rsidR="006B79DD" w:rsidRPr="00E55367">
        <w:rPr>
          <w:rFonts w:ascii="Verdana" w:hAnsi="Verdana"/>
          <w:color w:val="0076BA"/>
          <w:sz w:val="20"/>
          <w:szCs w:val="20"/>
          <w:u w:color="0076BA"/>
        </w:rPr>
        <w:t xml:space="preserve">informacji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dla wolności prasy w społeczeństwie demokratycznym oraz 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potencjalny efekt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mrożąc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>y,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jaki nakaz ujawnienia źródła może mieć 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>dla korzystania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 tej wolności. Trybunał uznał, że potrzeba zidentyfikowania funkcjonariusza(-y) tajnych służb, który(-rzy) przekazał(-li) tajne dokumenty skarżącym, nie uzasadnia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>ł</w:t>
      </w:r>
      <w:r w:rsidR="003E14D1" w:rsidRPr="00E55367">
        <w:rPr>
          <w:rFonts w:ascii="Verdana" w:hAnsi="Verdana"/>
          <w:color w:val="0076BA"/>
          <w:sz w:val="20"/>
          <w:szCs w:val="20"/>
          <w:u w:color="0076BA"/>
        </w:rPr>
        <w:t>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nakazu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wydania</w:t>
      </w:r>
      <w:r w:rsidR="00FA7D9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tych dokumentów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.</w:t>
      </w:r>
    </w:p>
    <w:p w14:paraId="386953B9" w14:textId="77777777" w:rsidR="00E55367" w:rsidRDefault="00E55367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</w:p>
    <w:p w14:paraId="3BBDBB8C" w14:textId="77777777" w:rsidR="00E55367" w:rsidRDefault="00E55367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</w:p>
    <w:p w14:paraId="1A766AD7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lastRenderedPageBreak/>
        <w:t>Becker przeciwko Norwegii</w:t>
      </w:r>
    </w:p>
    <w:p w14:paraId="4BED8974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5 października 2017 r.</w:t>
      </w:r>
    </w:p>
    <w:p w14:paraId="72BF0EB0" w14:textId="1C1A694A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dziennikarki, którą zobowiązano do złożenia zeznań w sprawie karnej </w:t>
      </w:r>
      <w:r w:rsidR="00383AE3" w:rsidRPr="00E55367">
        <w:rPr>
          <w:rFonts w:ascii="Verdana" w:hAnsi="Verdana"/>
          <w:sz w:val="20"/>
          <w:szCs w:val="20"/>
        </w:rPr>
        <w:t>przeciwko jednemu</w:t>
      </w:r>
      <w:r w:rsidRPr="00E55367">
        <w:rPr>
          <w:rFonts w:ascii="Verdana" w:hAnsi="Verdana"/>
          <w:sz w:val="20"/>
          <w:szCs w:val="20"/>
        </w:rPr>
        <w:t xml:space="preserve"> z jej źródeł, p. X, </w:t>
      </w:r>
      <w:r w:rsidR="003E14D1" w:rsidRPr="00E55367">
        <w:rPr>
          <w:rFonts w:ascii="Verdana" w:hAnsi="Verdana"/>
          <w:sz w:val="20"/>
          <w:szCs w:val="20"/>
        </w:rPr>
        <w:t xml:space="preserve">o </w:t>
      </w:r>
      <w:r w:rsidRPr="00E55367">
        <w:rPr>
          <w:rFonts w:ascii="Verdana" w:hAnsi="Verdana"/>
          <w:sz w:val="20"/>
          <w:szCs w:val="20"/>
        </w:rPr>
        <w:t>manipulacj</w:t>
      </w:r>
      <w:r w:rsidR="003E14D1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 </w:t>
      </w:r>
      <w:r w:rsidR="00383AE3" w:rsidRPr="00E55367">
        <w:rPr>
          <w:rFonts w:ascii="Verdana" w:hAnsi="Verdana"/>
          <w:sz w:val="20"/>
          <w:szCs w:val="20"/>
        </w:rPr>
        <w:t>rynkow</w:t>
      </w:r>
      <w:r w:rsidR="003E14D1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. Pan X potwierdził </w:t>
      </w:r>
      <w:r w:rsidR="003E14D1" w:rsidRPr="00E55367">
        <w:rPr>
          <w:rFonts w:ascii="Verdana" w:hAnsi="Verdana"/>
          <w:sz w:val="20"/>
          <w:szCs w:val="20"/>
        </w:rPr>
        <w:t xml:space="preserve">na </w:t>
      </w:r>
      <w:r w:rsidRPr="00E55367">
        <w:rPr>
          <w:rFonts w:ascii="Verdana" w:hAnsi="Verdana"/>
          <w:sz w:val="20"/>
          <w:szCs w:val="20"/>
        </w:rPr>
        <w:t xml:space="preserve">policji, że stanowił źródło informacji skarżącej </w:t>
      </w:r>
      <w:r w:rsidR="00383AE3" w:rsidRPr="00E55367">
        <w:rPr>
          <w:rFonts w:ascii="Verdana" w:hAnsi="Verdana"/>
          <w:sz w:val="20"/>
          <w:szCs w:val="20"/>
        </w:rPr>
        <w:t>do</w:t>
      </w:r>
      <w:r w:rsidRPr="00E55367">
        <w:rPr>
          <w:rFonts w:ascii="Verdana" w:hAnsi="Verdana"/>
          <w:sz w:val="20"/>
          <w:szCs w:val="20"/>
        </w:rPr>
        <w:t xml:space="preserve"> </w:t>
      </w:r>
      <w:r w:rsidR="00383AE3" w:rsidRPr="00E55367">
        <w:rPr>
          <w:rFonts w:ascii="Verdana" w:hAnsi="Verdana"/>
          <w:sz w:val="20"/>
          <w:szCs w:val="20"/>
        </w:rPr>
        <w:t>napisanego przez nią w</w:t>
      </w:r>
      <w:r w:rsidRPr="00E55367">
        <w:rPr>
          <w:rFonts w:ascii="Verdana" w:hAnsi="Verdana"/>
          <w:sz w:val="20"/>
          <w:szCs w:val="20"/>
        </w:rPr>
        <w:t xml:space="preserve"> 2007 r.</w:t>
      </w:r>
      <w:r w:rsidR="00383AE3" w:rsidRPr="00E55367">
        <w:rPr>
          <w:rFonts w:ascii="Verdana" w:hAnsi="Verdana"/>
          <w:sz w:val="20"/>
          <w:szCs w:val="20"/>
        </w:rPr>
        <w:t xml:space="preserve"> artykułu o rzekomej trudnej sytuacji finansowej</w:t>
      </w:r>
      <w:r w:rsidRPr="00E55367">
        <w:rPr>
          <w:rFonts w:ascii="Verdana" w:hAnsi="Verdana"/>
          <w:sz w:val="20"/>
          <w:szCs w:val="20"/>
        </w:rPr>
        <w:t xml:space="preserve"> norwesk</w:t>
      </w:r>
      <w:r w:rsidR="00383AE3" w:rsidRPr="00E55367">
        <w:rPr>
          <w:rFonts w:ascii="Verdana" w:hAnsi="Verdana"/>
          <w:sz w:val="20"/>
          <w:szCs w:val="20"/>
        </w:rPr>
        <w:t>iej firmy</w:t>
      </w:r>
      <w:r w:rsidRPr="00E55367">
        <w:rPr>
          <w:rFonts w:ascii="Verdana" w:hAnsi="Verdana"/>
          <w:sz w:val="20"/>
          <w:szCs w:val="20"/>
        </w:rPr>
        <w:t xml:space="preserve"> </w:t>
      </w:r>
      <w:r w:rsidR="00383AE3" w:rsidRPr="00E55367">
        <w:rPr>
          <w:rFonts w:ascii="Verdana" w:hAnsi="Verdana"/>
          <w:sz w:val="20"/>
          <w:szCs w:val="20"/>
        </w:rPr>
        <w:t>paliwowej</w:t>
      </w:r>
      <w:r w:rsidR="003E14D1" w:rsidRPr="00E55367">
        <w:rPr>
          <w:rFonts w:ascii="Verdana" w:hAnsi="Verdana"/>
          <w:sz w:val="20"/>
          <w:szCs w:val="20"/>
        </w:rPr>
        <w:t xml:space="preserve"> (</w:t>
      </w:r>
      <w:r w:rsidR="003E14D1" w:rsidRPr="00E55367">
        <w:rPr>
          <w:rFonts w:ascii="Verdana" w:hAnsi="Verdana"/>
          <w:i/>
          <w:iCs/>
          <w:sz w:val="20"/>
          <w:szCs w:val="20"/>
        </w:rPr>
        <w:t>Norwegian Oil Company</w:t>
      </w:r>
      <w:r w:rsidR="003E14D1" w:rsidRPr="00E55367">
        <w:rPr>
          <w:rFonts w:ascii="Verdana" w:hAnsi="Verdana"/>
          <w:sz w:val="20"/>
          <w:szCs w:val="20"/>
        </w:rPr>
        <w:t>)</w:t>
      </w:r>
      <w:r w:rsidRPr="00E55367">
        <w:rPr>
          <w:rFonts w:ascii="Verdana" w:hAnsi="Verdana"/>
          <w:sz w:val="20"/>
          <w:szCs w:val="20"/>
        </w:rPr>
        <w:t xml:space="preserve">. Następnie zarzucono mu wykorzystanie skarżącej do manipulacji na rynku finansowym. Skarżąca odmówiła składania zeznań na </w:t>
      </w:r>
      <w:r w:rsidR="003E14D1" w:rsidRPr="00E55367">
        <w:rPr>
          <w:rFonts w:ascii="Verdana" w:hAnsi="Verdana"/>
          <w:sz w:val="20"/>
          <w:szCs w:val="20"/>
        </w:rPr>
        <w:t>wszystkich etapach</w:t>
      </w:r>
      <w:r w:rsidRPr="00E55367">
        <w:rPr>
          <w:rFonts w:ascii="Verdana" w:hAnsi="Verdana"/>
          <w:sz w:val="20"/>
          <w:szCs w:val="20"/>
        </w:rPr>
        <w:t xml:space="preserve"> postępowania przeciwko p. X. W związku z tym sądy zobowiązały ją do złożenia zeznań na temat kontaktów z nim stwierdzając, że </w:t>
      </w:r>
      <w:r w:rsidR="009B150C" w:rsidRPr="00E55367">
        <w:rPr>
          <w:rFonts w:ascii="Verdana" w:hAnsi="Verdana"/>
          <w:sz w:val="20"/>
          <w:szCs w:val="20"/>
        </w:rPr>
        <w:t>brak jest chronionego źródła</w:t>
      </w:r>
      <w:r w:rsidRPr="00E55367">
        <w:rPr>
          <w:rFonts w:ascii="Verdana" w:hAnsi="Verdana"/>
          <w:sz w:val="20"/>
          <w:szCs w:val="20"/>
        </w:rPr>
        <w:t xml:space="preserve">, ponieważ </w:t>
      </w:r>
      <w:r w:rsidR="009B150C" w:rsidRPr="00E55367">
        <w:rPr>
          <w:rFonts w:ascii="Verdana" w:hAnsi="Verdana"/>
          <w:sz w:val="20"/>
          <w:szCs w:val="20"/>
        </w:rPr>
        <w:t xml:space="preserve">sam </w:t>
      </w:r>
      <w:r w:rsidRPr="00E55367">
        <w:rPr>
          <w:rFonts w:ascii="Verdana" w:hAnsi="Verdana"/>
          <w:sz w:val="20"/>
          <w:szCs w:val="20"/>
        </w:rPr>
        <w:t xml:space="preserve">już się ujawnił. Uznano również, że </w:t>
      </w:r>
      <w:r w:rsidR="009B150C" w:rsidRPr="00E55367">
        <w:rPr>
          <w:rFonts w:ascii="Verdana" w:hAnsi="Verdana"/>
          <w:sz w:val="20"/>
          <w:szCs w:val="20"/>
        </w:rPr>
        <w:t>jej zeznania</w:t>
      </w:r>
      <w:r w:rsidRPr="00E55367">
        <w:rPr>
          <w:rFonts w:ascii="Verdana" w:hAnsi="Verdana"/>
          <w:sz w:val="20"/>
          <w:szCs w:val="20"/>
        </w:rPr>
        <w:t xml:space="preserve"> mogą istotnie pomóc sądom w wyjaśnieniu sprawy. Pan X został jednak uznany za winnego popełnienia zarzucanego mu czynu jeszcze </w:t>
      </w:r>
      <w:r w:rsidR="00676F9D" w:rsidRPr="00E55367">
        <w:rPr>
          <w:rFonts w:ascii="Verdana" w:hAnsi="Verdana"/>
          <w:sz w:val="20"/>
          <w:szCs w:val="20"/>
        </w:rPr>
        <w:t xml:space="preserve">zanim została wydana ostateczna decyzja zobowiązująca ją do </w:t>
      </w:r>
      <w:r w:rsidRPr="00E55367">
        <w:rPr>
          <w:rFonts w:ascii="Verdana" w:hAnsi="Verdana"/>
          <w:sz w:val="20"/>
          <w:szCs w:val="20"/>
        </w:rPr>
        <w:t xml:space="preserve">złożenia zeznań. Skarżąca </w:t>
      </w:r>
      <w:r w:rsidR="00676F9D" w:rsidRPr="00E55367">
        <w:rPr>
          <w:rFonts w:ascii="Verdana" w:hAnsi="Verdana"/>
          <w:sz w:val="20"/>
          <w:szCs w:val="20"/>
        </w:rPr>
        <w:t>podważała</w:t>
      </w:r>
      <w:r w:rsidRPr="00E55367">
        <w:rPr>
          <w:rFonts w:ascii="Verdana" w:hAnsi="Verdana"/>
          <w:sz w:val="20"/>
          <w:szCs w:val="20"/>
        </w:rPr>
        <w:t xml:space="preserve"> </w:t>
      </w:r>
      <w:r w:rsidR="00676F9D" w:rsidRPr="00E55367">
        <w:rPr>
          <w:rFonts w:ascii="Verdana" w:hAnsi="Verdana"/>
          <w:sz w:val="20"/>
          <w:szCs w:val="20"/>
        </w:rPr>
        <w:t xml:space="preserve">decyzję </w:t>
      </w:r>
      <w:r w:rsidRPr="00E55367">
        <w:rPr>
          <w:rFonts w:ascii="Verdana" w:hAnsi="Verdana"/>
          <w:sz w:val="20"/>
          <w:szCs w:val="20"/>
        </w:rPr>
        <w:t>zobowiązując</w:t>
      </w:r>
      <w:r w:rsidR="00676F9D" w:rsidRPr="00E55367">
        <w:rPr>
          <w:rFonts w:ascii="Verdana" w:hAnsi="Verdana"/>
          <w:sz w:val="20"/>
          <w:szCs w:val="20"/>
        </w:rPr>
        <w:t>ą</w:t>
      </w:r>
      <w:r w:rsidRPr="00E55367">
        <w:rPr>
          <w:rFonts w:ascii="Verdana" w:hAnsi="Verdana"/>
          <w:sz w:val="20"/>
          <w:szCs w:val="20"/>
        </w:rPr>
        <w:t xml:space="preserve"> ją do złożenia zeznań </w:t>
      </w:r>
      <w:r w:rsidR="00676F9D" w:rsidRPr="00E55367">
        <w:rPr>
          <w:rFonts w:ascii="Verdana" w:hAnsi="Verdana"/>
          <w:sz w:val="20"/>
          <w:szCs w:val="20"/>
        </w:rPr>
        <w:t>na temat</w:t>
      </w:r>
      <w:r w:rsidRPr="00E55367">
        <w:rPr>
          <w:rFonts w:ascii="Verdana" w:hAnsi="Verdana"/>
          <w:sz w:val="20"/>
          <w:szCs w:val="20"/>
        </w:rPr>
        <w:t xml:space="preserve"> kontaktów </w:t>
      </w:r>
      <w:r w:rsidR="00676F9D" w:rsidRPr="00E55367">
        <w:rPr>
          <w:rFonts w:ascii="Verdana" w:hAnsi="Verdana"/>
          <w:sz w:val="20"/>
          <w:szCs w:val="20"/>
        </w:rPr>
        <w:t>z jej</w:t>
      </w:r>
      <w:r w:rsidRPr="00E55367">
        <w:rPr>
          <w:rFonts w:ascii="Verdana" w:hAnsi="Verdana"/>
          <w:sz w:val="20"/>
          <w:szCs w:val="20"/>
        </w:rPr>
        <w:t xml:space="preserve"> źródłem</w:t>
      </w:r>
      <w:r w:rsidR="00676F9D" w:rsidRPr="00E55367">
        <w:rPr>
          <w:rFonts w:ascii="Verdana" w:hAnsi="Verdana"/>
          <w:sz w:val="20"/>
          <w:szCs w:val="20"/>
        </w:rPr>
        <w:t>, zarzucając że</w:t>
      </w:r>
      <w:r w:rsidRPr="00E55367">
        <w:rPr>
          <w:rFonts w:ascii="Verdana" w:hAnsi="Verdana"/>
          <w:sz w:val="20"/>
          <w:szCs w:val="20"/>
        </w:rPr>
        <w:t xml:space="preserve"> najprawdopodobniej doprowadził</w:t>
      </w:r>
      <w:r w:rsidR="00676F9D" w:rsidRPr="00E55367">
        <w:rPr>
          <w:rFonts w:ascii="Verdana" w:hAnsi="Verdana"/>
          <w:sz w:val="20"/>
          <w:szCs w:val="20"/>
        </w:rPr>
        <w:t>o</w:t>
      </w:r>
      <w:r w:rsidRPr="00E55367">
        <w:rPr>
          <w:rFonts w:ascii="Verdana" w:hAnsi="Verdana"/>
          <w:sz w:val="20"/>
          <w:szCs w:val="20"/>
        </w:rPr>
        <w:t xml:space="preserve">by </w:t>
      </w:r>
      <w:r w:rsidR="00676F9D" w:rsidRPr="00E55367">
        <w:rPr>
          <w:rFonts w:ascii="Verdana" w:hAnsi="Verdana"/>
          <w:sz w:val="20"/>
          <w:szCs w:val="20"/>
        </w:rPr>
        <w:t xml:space="preserve">to </w:t>
      </w:r>
      <w:r w:rsidRPr="00E55367">
        <w:rPr>
          <w:rFonts w:ascii="Verdana" w:hAnsi="Verdana"/>
          <w:sz w:val="20"/>
          <w:szCs w:val="20"/>
        </w:rPr>
        <w:t xml:space="preserve">również do zidentyfikowania innych źródeł informacji. </w:t>
      </w:r>
      <w:r w:rsidR="00676F9D" w:rsidRPr="00E55367">
        <w:rPr>
          <w:rFonts w:ascii="Verdana" w:hAnsi="Verdana"/>
          <w:sz w:val="20"/>
          <w:szCs w:val="20"/>
        </w:rPr>
        <w:t xml:space="preserve">Podnosiła </w:t>
      </w:r>
      <w:r w:rsidRPr="00E55367">
        <w:rPr>
          <w:rFonts w:ascii="Verdana" w:hAnsi="Verdana"/>
          <w:sz w:val="20"/>
          <w:szCs w:val="20"/>
        </w:rPr>
        <w:t xml:space="preserve">także, że </w:t>
      </w:r>
      <w:r w:rsidR="00676F9D" w:rsidRPr="00E55367">
        <w:rPr>
          <w:rFonts w:ascii="Verdana" w:hAnsi="Verdana"/>
          <w:sz w:val="20"/>
          <w:szCs w:val="20"/>
        </w:rPr>
        <w:t xml:space="preserve">nie było </w:t>
      </w:r>
      <w:r w:rsidR="0081603E" w:rsidRPr="00E55367">
        <w:rPr>
          <w:rFonts w:ascii="Verdana" w:hAnsi="Verdana"/>
          <w:sz w:val="20"/>
          <w:szCs w:val="20"/>
        </w:rPr>
        <w:t xml:space="preserve">rzeczywistej </w:t>
      </w:r>
      <w:r w:rsidR="00676F9D" w:rsidRPr="00E55367">
        <w:rPr>
          <w:rFonts w:ascii="Verdana" w:hAnsi="Verdana"/>
          <w:sz w:val="20"/>
          <w:szCs w:val="20"/>
        </w:rPr>
        <w:t>potrzeby</w:t>
      </w:r>
      <w:r w:rsidR="0081603E" w:rsidRPr="00E55367">
        <w:rPr>
          <w:rFonts w:ascii="Verdana" w:hAnsi="Verdana"/>
          <w:sz w:val="20"/>
          <w:szCs w:val="20"/>
        </w:rPr>
        <w:t xml:space="preserve"> składania przez nią zeznań</w:t>
      </w:r>
      <w:r w:rsidRPr="00E55367">
        <w:rPr>
          <w:rFonts w:ascii="Verdana" w:hAnsi="Verdana"/>
          <w:sz w:val="20"/>
          <w:szCs w:val="20"/>
        </w:rPr>
        <w:t xml:space="preserve"> w sprawie </w:t>
      </w:r>
      <w:r w:rsidR="0081603E" w:rsidRPr="00E55367">
        <w:rPr>
          <w:rFonts w:ascii="Verdana" w:hAnsi="Verdana"/>
          <w:sz w:val="20"/>
          <w:szCs w:val="20"/>
        </w:rPr>
        <w:t>przeciwko</w:t>
      </w:r>
      <w:r w:rsidRPr="00E55367">
        <w:rPr>
          <w:rFonts w:ascii="Verdana" w:hAnsi="Verdana"/>
          <w:sz w:val="20"/>
          <w:szCs w:val="20"/>
        </w:rPr>
        <w:t xml:space="preserve"> jej źródł</w:t>
      </w:r>
      <w:r w:rsidR="0081603E" w:rsidRPr="00E55367">
        <w:rPr>
          <w:rFonts w:ascii="Verdana" w:hAnsi="Verdana"/>
          <w:sz w:val="20"/>
          <w:szCs w:val="20"/>
        </w:rPr>
        <w:t>u informacji</w:t>
      </w:r>
      <w:r w:rsidRPr="00E55367">
        <w:rPr>
          <w:rFonts w:ascii="Verdana" w:hAnsi="Verdana"/>
          <w:sz w:val="20"/>
          <w:szCs w:val="20"/>
        </w:rPr>
        <w:t>.</w:t>
      </w:r>
    </w:p>
    <w:p w14:paraId="26A37731" w14:textId="7D8B8CBD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(wolnoś</w:t>
      </w:r>
      <w:r w:rsidR="003E14D1" w:rsidRPr="00E55367">
        <w:rPr>
          <w:rFonts w:ascii="Verdana" w:hAnsi="Verdana"/>
          <w:color w:val="0076BA"/>
          <w:sz w:val="20"/>
          <w:szCs w:val="20"/>
          <w:u w:color="0076BA"/>
        </w:rPr>
        <w:t>ć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wyrażania opinii) Konwencji. Stwierdził, że </w:t>
      </w:r>
      <w:r w:rsidR="00811DCC" w:rsidRPr="00E55367">
        <w:rPr>
          <w:rFonts w:ascii="Verdana" w:hAnsi="Verdana"/>
          <w:color w:val="0076BA"/>
          <w:sz w:val="20"/>
          <w:szCs w:val="20"/>
          <w:u w:color="0076BA"/>
        </w:rPr>
        <w:t>jego ocena dotyczyła przede wszystkim tego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czy </w:t>
      </w:r>
      <w:r w:rsidR="00E3304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zeznania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skarżącej były potrzebne w toku postępowania przygotowawczego i późniejszego postępowania sądowego prowadzonego </w:t>
      </w:r>
      <w:r w:rsidR="00E33043" w:rsidRPr="00E55367">
        <w:rPr>
          <w:rFonts w:ascii="Verdana" w:hAnsi="Verdana"/>
          <w:color w:val="0076BA"/>
          <w:sz w:val="20"/>
          <w:szCs w:val="20"/>
          <w:u w:color="0076BA"/>
        </w:rPr>
        <w:t>przeciwko jej źródłu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Trybunał </w:t>
      </w:r>
      <w:r w:rsidR="00E33043" w:rsidRPr="00E55367">
        <w:rPr>
          <w:rFonts w:ascii="Verdana" w:hAnsi="Verdana"/>
          <w:color w:val="0076BA"/>
          <w:sz w:val="20"/>
          <w:szCs w:val="20"/>
          <w:u w:color="0076BA"/>
        </w:rPr>
        <w:t>zwrócił uwagę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że </w:t>
      </w:r>
      <w:r w:rsidR="00E3304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jej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odmowa ujawnienia źródła (lub źródeł) w żadnym momencie nie utrudniła </w:t>
      </w:r>
      <w:r w:rsidR="00E33043" w:rsidRPr="00E55367">
        <w:rPr>
          <w:rFonts w:ascii="Verdana" w:hAnsi="Verdana"/>
          <w:color w:val="0076BA"/>
          <w:sz w:val="20"/>
          <w:szCs w:val="20"/>
          <w:u w:color="0076BA"/>
        </w:rPr>
        <w:t>ani śledztwa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ani postępowania przeciwko p. X. 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>Istot</w:t>
      </w:r>
      <w:r w:rsidR="003E14D1" w:rsidRPr="00E55367">
        <w:rPr>
          <w:rFonts w:ascii="Verdana" w:hAnsi="Verdana"/>
          <w:color w:val="0076BA"/>
          <w:sz w:val="20"/>
          <w:szCs w:val="20"/>
          <w:u w:color="0076BA"/>
        </w:rPr>
        <w:t>ni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>e, s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ąd pierwszej instancji, który uznał p. X za winnego, został poinformowany przez prokuratora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>, że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wnios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>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k o przedłużenie (do czasu uprawomocnienia się orzeczenia 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>w przedmiocie obowiązku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złożenia zeznań)</w:t>
      </w:r>
      <w:r w:rsidR="00EF744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nie został złożony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ponieważ sprawa została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wystarczająco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wyjaśniona, nawet bez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zeznań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p. Becker. Trybunał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>miał także na uwadze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że dziennikarskie metody skarżącej nigdy nie budziły wątpliwości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>i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nigdy nie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>była oskarżona o jakąkolwiek nielegalną działalność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. Co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więcej, jej praw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>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jako dziennikarki do zachowania poufności </w:t>
      </w:r>
      <w:r w:rsidR="0009752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jej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źródeł nie 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>mogło być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automatycznie 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zniesione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ze względu na zachowanie źródła lub 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 uwagi na to, że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tożsamość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źródła została ujawniona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Trybunał nie był zatem przekonany, 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że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okoliczności niniejszej spraw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>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bądź przedstawione argumenty uzasadniały </w:t>
      </w:r>
      <w:r w:rsidR="006E1FB2" w:rsidRPr="00E55367">
        <w:rPr>
          <w:rFonts w:ascii="Verdana" w:hAnsi="Verdana"/>
          <w:color w:val="0076BA"/>
          <w:sz w:val="20"/>
          <w:szCs w:val="20"/>
          <w:u w:color="0076BA"/>
        </w:rPr>
        <w:t>zmuszanie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skarżąc</w:t>
      </w:r>
      <w:r w:rsidR="00FB411A" w:rsidRPr="00E55367">
        <w:rPr>
          <w:rFonts w:ascii="Verdana" w:hAnsi="Verdana"/>
          <w:color w:val="0076BA"/>
          <w:sz w:val="20"/>
          <w:szCs w:val="20"/>
          <w:u w:color="0076BA"/>
        </w:rPr>
        <w:t>ej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do złożenia zeznań.</w:t>
      </w:r>
    </w:p>
    <w:p w14:paraId="68205303" w14:textId="77777777" w:rsidR="00B13EDC" w:rsidRPr="00E55367" w:rsidRDefault="00B13EDC">
      <w:pPr>
        <w:pStyle w:val="TreA"/>
        <w:rPr>
          <w:rFonts w:ascii="Verdana" w:hAnsi="Verdana"/>
          <w:sz w:val="20"/>
          <w:szCs w:val="20"/>
        </w:rPr>
      </w:pPr>
    </w:p>
    <w:p w14:paraId="3B1D8D7B" w14:textId="77777777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b/>
          <w:sz w:val="20"/>
          <w:szCs w:val="20"/>
        </w:rPr>
      </w:pPr>
      <w:r w:rsidRPr="00E55367">
        <w:rPr>
          <w:rFonts w:ascii="Verdana" w:hAnsi="Verdana"/>
          <w:b/>
          <w:sz w:val="20"/>
          <w:szCs w:val="20"/>
        </w:rPr>
        <w:t>Sprawy w toku</w:t>
      </w:r>
    </w:p>
    <w:p w14:paraId="06E85576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Big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Brother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Watch i Inni przeciwko Zjednoczonemu Królestwu (skargi nr 58170/13, 62322/14 i 24960/15)</w:t>
      </w:r>
    </w:p>
    <w:p w14:paraId="1A23448B" w14:textId="13A4A0B7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13 </w:t>
      </w:r>
      <w:r w:rsidR="00FB411A" w:rsidRPr="00E55367">
        <w:rPr>
          <w:rFonts w:ascii="Verdana" w:hAnsi="Verdana"/>
          <w:color w:val="929292"/>
          <w:sz w:val="20"/>
          <w:szCs w:val="20"/>
          <w:u w:color="929292"/>
        </w:rPr>
        <w:t xml:space="preserve">września </w:t>
      </w: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2018 r. (wyrok Izby) – sprawa </w:t>
      </w:r>
      <w:r w:rsidR="00FB411A" w:rsidRPr="00E55367">
        <w:rPr>
          <w:rFonts w:ascii="Verdana" w:hAnsi="Verdana"/>
          <w:color w:val="929292"/>
          <w:sz w:val="20"/>
          <w:szCs w:val="20"/>
          <w:u w:color="929292"/>
        </w:rPr>
        <w:t xml:space="preserve">przekazana </w:t>
      </w:r>
      <w:r w:rsidRPr="00E55367">
        <w:rPr>
          <w:rFonts w:ascii="Verdana" w:hAnsi="Verdana"/>
          <w:color w:val="929292"/>
          <w:sz w:val="20"/>
          <w:szCs w:val="20"/>
          <w:u w:color="929292"/>
        </w:rPr>
        <w:t>do Wielkiej Izby w lutym 2019</w:t>
      </w:r>
      <w:r w:rsidR="00345C3B" w:rsidRPr="00E55367">
        <w:rPr>
          <w:rFonts w:ascii="Verdana" w:hAnsi="Verdana"/>
          <w:color w:val="929292"/>
          <w:sz w:val="20"/>
          <w:szCs w:val="20"/>
          <w:u w:color="929292"/>
        </w:rPr>
        <w:t> </w:t>
      </w:r>
      <w:r w:rsidRPr="00E55367">
        <w:rPr>
          <w:rFonts w:ascii="Verdana" w:hAnsi="Verdana"/>
          <w:color w:val="929292"/>
          <w:sz w:val="20"/>
          <w:szCs w:val="20"/>
          <w:u w:color="929292"/>
        </w:rPr>
        <w:t>r.</w:t>
      </w:r>
    </w:p>
    <w:p w14:paraId="56095692" w14:textId="1E3145CA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Skargi zostały złożone po ujawnieniu przez Edwarda Snowdena (byłego kontrahenta amerykańskiej Agencji Bezpieczeństwa Narodowego) informacji na temat programów inwigilacji i wymiany danych wywiadowczych między USA a Wielką Brytanią. Sprawa dotyczy skarg dziennikarzy, osób </w:t>
      </w:r>
      <w:r w:rsidR="000F39F8" w:rsidRPr="00E55367">
        <w:rPr>
          <w:rFonts w:ascii="Verdana" w:hAnsi="Verdana"/>
          <w:sz w:val="20"/>
          <w:szCs w:val="20"/>
        </w:rPr>
        <w:t xml:space="preserve">indywidualnych </w:t>
      </w:r>
      <w:r w:rsidRPr="00E55367">
        <w:rPr>
          <w:rFonts w:ascii="Verdana" w:hAnsi="Verdana"/>
          <w:sz w:val="20"/>
          <w:szCs w:val="20"/>
        </w:rPr>
        <w:t xml:space="preserve">i organizacji praw człowieka </w:t>
      </w:r>
      <w:r w:rsidR="000F39F8" w:rsidRPr="00E55367">
        <w:rPr>
          <w:rFonts w:ascii="Verdana" w:hAnsi="Verdana"/>
          <w:sz w:val="20"/>
          <w:szCs w:val="20"/>
        </w:rPr>
        <w:t>w związku z trzema różnymi systemami</w:t>
      </w:r>
      <w:r w:rsidRPr="00E55367">
        <w:rPr>
          <w:rFonts w:ascii="Verdana" w:hAnsi="Verdana"/>
          <w:sz w:val="20"/>
          <w:szCs w:val="20"/>
        </w:rPr>
        <w:t xml:space="preserve"> inwigilacji: (1) masow</w:t>
      </w:r>
      <w:r w:rsidR="000F39F8" w:rsidRPr="00E55367">
        <w:rPr>
          <w:rFonts w:ascii="Verdana" w:hAnsi="Verdana"/>
          <w:sz w:val="20"/>
          <w:szCs w:val="20"/>
        </w:rPr>
        <w:t>ym</w:t>
      </w:r>
      <w:r w:rsidRPr="00E55367">
        <w:rPr>
          <w:rFonts w:ascii="Verdana" w:hAnsi="Verdana"/>
          <w:sz w:val="20"/>
          <w:szCs w:val="20"/>
        </w:rPr>
        <w:t xml:space="preserve"> przechwytywanie</w:t>
      </w:r>
      <w:r w:rsidR="000F39F8" w:rsidRPr="00E55367">
        <w:rPr>
          <w:rFonts w:ascii="Verdana" w:hAnsi="Verdana"/>
          <w:sz w:val="20"/>
          <w:szCs w:val="20"/>
        </w:rPr>
        <w:t>m</w:t>
      </w:r>
      <w:r w:rsidRPr="00E55367">
        <w:rPr>
          <w:rFonts w:ascii="Verdana" w:hAnsi="Verdana"/>
          <w:sz w:val="20"/>
          <w:szCs w:val="20"/>
        </w:rPr>
        <w:t xml:space="preserve"> komunikatów; (2) wymian</w:t>
      </w:r>
      <w:r w:rsidR="000F39F8" w:rsidRPr="00E55367">
        <w:rPr>
          <w:rFonts w:ascii="Verdana" w:hAnsi="Verdana"/>
          <w:sz w:val="20"/>
          <w:szCs w:val="20"/>
        </w:rPr>
        <w:t>ą</w:t>
      </w:r>
      <w:r w:rsidRPr="00E55367">
        <w:rPr>
          <w:rFonts w:ascii="Verdana" w:hAnsi="Verdana"/>
          <w:sz w:val="20"/>
          <w:szCs w:val="20"/>
        </w:rPr>
        <w:t xml:space="preserve"> danych wywiadowczych z rządami zagranicznymi oraz (3) uzyskiwanie</w:t>
      </w:r>
      <w:r w:rsidR="000F39F8" w:rsidRPr="00E55367">
        <w:rPr>
          <w:rFonts w:ascii="Verdana" w:hAnsi="Verdana"/>
          <w:sz w:val="20"/>
          <w:szCs w:val="20"/>
        </w:rPr>
        <w:t>m</w:t>
      </w:r>
      <w:r w:rsidRPr="00E55367">
        <w:rPr>
          <w:rFonts w:ascii="Verdana" w:hAnsi="Verdana"/>
          <w:sz w:val="20"/>
          <w:szCs w:val="20"/>
        </w:rPr>
        <w:t xml:space="preserve"> danych </w:t>
      </w:r>
      <w:r w:rsidR="000F39F8" w:rsidRPr="00E55367">
        <w:rPr>
          <w:rFonts w:ascii="Verdana" w:hAnsi="Verdana"/>
          <w:sz w:val="20"/>
          <w:szCs w:val="20"/>
        </w:rPr>
        <w:t xml:space="preserve">o połączeniach </w:t>
      </w:r>
      <w:r w:rsidRPr="00E55367">
        <w:rPr>
          <w:rFonts w:ascii="Verdana" w:hAnsi="Verdana"/>
          <w:sz w:val="20"/>
          <w:szCs w:val="20"/>
        </w:rPr>
        <w:t>od dostawców usług komunikacyjnych.</w:t>
      </w:r>
    </w:p>
    <w:p w14:paraId="3F4B0338" w14:textId="0AE9C86A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</w:t>
      </w:r>
      <w:r w:rsidRPr="00E55367">
        <w:rPr>
          <w:rFonts w:ascii="Verdana" w:hAnsi="Verdana"/>
          <w:color w:val="0076BA"/>
          <w:sz w:val="20"/>
          <w:szCs w:val="20"/>
          <w:u w:val="single" w:color="0076BA"/>
        </w:rPr>
        <w:t>wyroku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Izby z dnia 13 września 2018 r. Trybunał orzekł, większością pięciu głosów do dwóch, że system masowego przechwytywania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</w:t>
      </w:r>
      <w:r w:rsidR="006647C4"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ył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 art. 8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 (prawo do poszanowania życia prywatnego) Konwencji, ponieważ zarówno nadzór nad wyborem nośników internetowych </w:t>
      </w:r>
      <w:r w:rsidR="00B92F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 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>przechwytywania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</w:t>
      </w:r>
      <w:r w:rsidR="00B92F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nadzór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nad filtrowaniem, wyszukiwaniem i selekcją </w:t>
      </w:r>
      <w:r w:rsidR="00B92F37" w:rsidRPr="00E55367">
        <w:rPr>
          <w:rFonts w:ascii="Verdana" w:hAnsi="Verdana"/>
          <w:color w:val="0076BA"/>
          <w:sz w:val="20"/>
          <w:szCs w:val="20"/>
          <w:u w:color="0076BA"/>
        </w:rPr>
        <w:t>komunikatów przechwyconych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do analizy 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>oraz nad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>zabezpieczeniami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r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>ządzącymi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wyborem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„powiązanych danych komunikacyjnych” do analizy były </w:t>
      </w:r>
      <w:r w:rsidR="00574233" w:rsidRPr="00E55367">
        <w:rPr>
          <w:rFonts w:ascii="Verdana" w:hAnsi="Verdana"/>
          <w:color w:val="0076BA"/>
          <w:sz w:val="20"/>
          <w:szCs w:val="20"/>
          <w:u w:color="0076BA"/>
        </w:rPr>
        <w:t>niewystarczające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Dochodząc do tego wniosku Izba stwierdziła, że </w:t>
      </w:r>
      <w:r w:rsidRPr="00E55367">
        <w:rPr>
          <w:rFonts w:ascii="Arial" w:hAnsi="Arial" w:cs="Arial"/>
          <w:color w:val="0076BA"/>
          <w:sz w:val="20"/>
          <w:szCs w:val="20"/>
          <w:u w:color="0076BA"/>
        </w:rPr>
        <w:t>​​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dzia</w:t>
      </w:r>
      <w:r w:rsidRPr="00E55367">
        <w:rPr>
          <w:rFonts w:ascii="Verdana" w:hAnsi="Verdana" w:cs="Verdana"/>
          <w:color w:val="0076BA"/>
          <w:sz w:val="20"/>
          <w:szCs w:val="20"/>
          <w:u w:color="0076BA"/>
        </w:rPr>
        <w:t>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anie systemu masowego przechwytywania samo w sobie nie 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naruszyło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Konwencji, ale wskazała, że </w:t>
      </w:r>
      <w:r w:rsidRPr="00E55367">
        <w:rPr>
          <w:rFonts w:ascii="Arial" w:hAnsi="Arial" w:cs="Arial"/>
          <w:color w:val="0076BA"/>
          <w:sz w:val="20"/>
          <w:szCs w:val="20"/>
          <w:u w:color="0076BA"/>
        </w:rPr>
        <w:t>​​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taki system musi by</w:t>
      </w:r>
      <w:r w:rsidRPr="00E55367">
        <w:rPr>
          <w:rFonts w:ascii="Verdana" w:hAnsi="Verdana" w:cs="Verdana"/>
          <w:color w:val="0076BA"/>
          <w:sz w:val="20"/>
          <w:szCs w:val="20"/>
          <w:u w:color="0076BA"/>
        </w:rPr>
        <w:t>ć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zgodny z kryteriami okre</w:t>
      </w:r>
      <w:r w:rsidRPr="00E55367">
        <w:rPr>
          <w:rFonts w:ascii="Verdana" w:hAnsi="Verdana" w:cs="Verdana"/>
          <w:color w:val="0076BA"/>
          <w:sz w:val="20"/>
          <w:szCs w:val="20"/>
          <w:u w:color="0076BA"/>
        </w:rPr>
        <w:t>ś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lonymi w orzecznictwie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Trybunału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Ponadto Izba uznała, większością sześciu głosów do jednego, że system uzyskiwania danych komunikacyjnych od dostawców usług komunikacyjnych 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>naruszył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8 ponieważ był niezgodny z prawem oraz że zarówno system masowego przechwytywania, jak i system uzyskiwania danych komunikacyjnych od 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dostawców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usług 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>komunikacyjnych naruszyły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10 (wolność wyrażania opinii) Konwencji z uwagi na brak wystarczających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lastRenderedPageBreak/>
        <w:t xml:space="preserve">zabezpieczeń w odniesieniu do poufnych materiałów dziennikarskich. </w:t>
      </w:r>
      <w:r w:rsidR="007C2EEE" w:rsidRPr="00E55367">
        <w:rPr>
          <w:rFonts w:ascii="Verdana" w:hAnsi="Verdana"/>
          <w:color w:val="0076BA"/>
          <w:sz w:val="20"/>
          <w:szCs w:val="20"/>
          <w:u w:color="0076BA"/>
        </w:rPr>
        <w:t>Trybunał s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twierdził ponadto, że system wymiany danych wywiadowczych z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rządami 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 xml:space="preserve">obcych państw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nie </w:t>
      </w:r>
      <w:r w:rsidR="00BF6AFF" w:rsidRPr="00E55367">
        <w:rPr>
          <w:rFonts w:ascii="Verdana" w:hAnsi="Verdana"/>
          <w:color w:val="0076BA"/>
          <w:sz w:val="20"/>
          <w:szCs w:val="20"/>
          <w:u w:color="0076BA"/>
        </w:rPr>
        <w:t>naruszał ani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8 ani art. 10 Konwencji. Wreszcie Izba jednogłośnie odrzuciła skargi złożone przez trzecią grupę skarżących na podstawie art. 6 (prawo do rzetelnego procesu) Konwencji, </w:t>
      </w:r>
      <w:r w:rsidR="008109E5" w:rsidRPr="00E55367">
        <w:rPr>
          <w:rFonts w:ascii="Verdana" w:hAnsi="Verdana"/>
          <w:color w:val="0076BA"/>
          <w:sz w:val="20"/>
          <w:szCs w:val="20"/>
          <w:u w:color="0076BA"/>
        </w:rPr>
        <w:t>dotyczące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krajowej procedury kwestionowania tajnych środków inwigilacji oraz</w:t>
      </w:r>
      <w:r w:rsidR="008109E5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skargi złożone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BF6AFF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 podstawie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art. 14 (zakaz dyskryminacji) Konwencji.</w:t>
      </w:r>
    </w:p>
    <w:p w14:paraId="3BC74F90" w14:textId="5A80A69B" w:rsidR="00B13EDC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dniu 4 lutego 2019 r. skład Wielkiej Izby </w:t>
      </w:r>
      <w:r w:rsidRPr="00E55367">
        <w:rPr>
          <w:rFonts w:ascii="Verdana" w:hAnsi="Verdana"/>
          <w:color w:val="0076BA"/>
          <w:sz w:val="20"/>
          <w:szCs w:val="20"/>
          <w:u w:val="single" w:color="0076BA"/>
        </w:rPr>
        <w:t>uwzględnił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wniosek skarżących </w:t>
      </w:r>
      <w:r w:rsidR="00BF6AFF" w:rsidRPr="00E55367">
        <w:rPr>
          <w:rFonts w:ascii="Verdana" w:hAnsi="Verdana"/>
          <w:color w:val="0076BA"/>
          <w:sz w:val="20"/>
          <w:szCs w:val="20"/>
          <w:u w:color="0076BA"/>
        </w:rPr>
        <w:t>o przekazanie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sprawy do rozpatrzenia przez Wielką Izbę.</w:t>
      </w:r>
    </w:p>
    <w:p w14:paraId="1CAD0BE0" w14:textId="77777777" w:rsidR="00E55367" w:rsidRPr="00E55367" w:rsidRDefault="00E55367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</w:p>
    <w:p w14:paraId="19AA1BFB" w14:textId="40CE2A45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sz w:val="20"/>
          <w:szCs w:val="20"/>
          <w:lang w:val="fr-FR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  <w:lang w:val="fr-FR"/>
        </w:rPr>
        <w:t>Association confraternelle de la presse judiciaire przeciwko Francji</w:t>
      </w:r>
      <w:r w:rsidRPr="00E55367">
        <w:rPr>
          <w:rFonts w:ascii="Verdana" w:hAnsi="Verdana"/>
          <w:b/>
          <w:bCs/>
          <w:sz w:val="20"/>
          <w:szCs w:val="20"/>
          <w:lang w:val="fr-FR"/>
        </w:rPr>
        <w:t xml:space="preserve"> i 11 innych skarg (nr 49526/15, 49615/15, 49616/15, 49617/15, 49618/15, 49619/15, 49620/15, 49621/15, 55058/15, 55061/15, 59602/15 oraz 59621/15)</w:t>
      </w:r>
    </w:p>
    <w:p w14:paraId="2E001E50" w14:textId="14845D94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Skargi zakomunikowane rządowi francuskiemu w dniu 26 kwietnia 2017 r.</w:t>
      </w:r>
    </w:p>
    <w:p w14:paraId="5597AA65" w14:textId="2F74C8E5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Skargi</w:t>
      </w:r>
      <w:r w:rsidR="00906A4F" w:rsidRPr="00E55367">
        <w:rPr>
          <w:rFonts w:ascii="Verdana" w:hAnsi="Verdana"/>
          <w:sz w:val="20"/>
          <w:szCs w:val="20"/>
        </w:rPr>
        <w:t>,</w:t>
      </w:r>
      <w:r w:rsidRPr="00E55367">
        <w:rPr>
          <w:rFonts w:ascii="Verdana" w:hAnsi="Verdana"/>
          <w:sz w:val="20"/>
          <w:szCs w:val="20"/>
        </w:rPr>
        <w:t xml:space="preserve"> złożone przez prawników i dziennikarzy oraz przez </w:t>
      </w:r>
      <w:r w:rsidR="00906A4F" w:rsidRPr="00E55367">
        <w:rPr>
          <w:rFonts w:ascii="Verdana" w:hAnsi="Verdana"/>
          <w:sz w:val="20"/>
          <w:szCs w:val="20"/>
        </w:rPr>
        <w:t xml:space="preserve">osoby prawne </w:t>
      </w:r>
      <w:r w:rsidRPr="00E55367">
        <w:rPr>
          <w:rFonts w:ascii="Verdana" w:hAnsi="Verdana"/>
          <w:sz w:val="20"/>
          <w:szCs w:val="20"/>
        </w:rPr>
        <w:t>powiązane z tymi zawodami</w:t>
      </w:r>
      <w:r w:rsidR="00906A4F" w:rsidRPr="00E55367">
        <w:rPr>
          <w:rFonts w:ascii="Verdana" w:hAnsi="Verdana"/>
          <w:sz w:val="20"/>
          <w:szCs w:val="20"/>
        </w:rPr>
        <w:t>,</w:t>
      </w:r>
      <w:r w:rsidRPr="00E55367">
        <w:rPr>
          <w:rFonts w:ascii="Verdana" w:hAnsi="Verdana"/>
          <w:sz w:val="20"/>
          <w:szCs w:val="20"/>
        </w:rPr>
        <w:t xml:space="preserve"> dotyczą </w:t>
      </w:r>
      <w:r w:rsidR="00906A4F" w:rsidRPr="00E55367">
        <w:rPr>
          <w:rFonts w:ascii="Verdana" w:hAnsi="Verdana"/>
          <w:sz w:val="20"/>
          <w:szCs w:val="20"/>
        </w:rPr>
        <w:t xml:space="preserve">ustawy z dnia 24 lipca 2015 r. o </w:t>
      </w:r>
      <w:r w:rsidRPr="00E55367">
        <w:rPr>
          <w:rFonts w:ascii="Verdana" w:hAnsi="Verdana"/>
          <w:sz w:val="20"/>
          <w:szCs w:val="20"/>
        </w:rPr>
        <w:t>francuski</w:t>
      </w:r>
      <w:r w:rsidR="00906A4F" w:rsidRPr="00E55367">
        <w:rPr>
          <w:rFonts w:ascii="Verdana" w:hAnsi="Verdana"/>
          <w:sz w:val="20"/>
          <w:szCs w:val="20"/>
        </w:rPr>
        <w:t>m</w:t>
      </w:r>
      <w:r w:rsidRPr="00E55367">
        <w:rPr>
          <w:rFonts w:ascii="Verdana" w:hAnsi="Verdana"/>
          <w:sz w:val="20"/>
          <w:szCs w:val="20"/>
        </w:rPr>
        <w:t xml:space="preserve"> wywiad</w:t>
      </w:r>
      <w:r w:rsidR="00906A4F" w:rsidRPr="00E55367">
        <w:rPr>
          <w:rFonts w:ascii="Verdana" w:hAnsi="Verdana"/>
          <w:sz w:val="20"/>
          <w:szCs w:val="20"/>
        </w:rPr>
        <w:t>zie</w:t>
      </w:r>
    </w:p>
    <w:p w14:paraId="3670BB89" w14:textId="295CA016" w:rsidR="00B13EDC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powiadomił </w:t>
      </w:r>
      <w:r w:rsidR="00906A4F" w:rsidRPr="00E55367">
        <w:rPr>
          <w:rFonts w:ascii="Verdana" w:hAnsi="Verdana"/>
          <w:color w:val="0076BA"/>
          <w:sz w:val="20"/>
          <w:szCs w:val="20"/>
          <w:u w:color="0076BA"/>
        </w:rPr>
        <w:t xml:space="preserve">o skargach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rząd francuski i przedstawił stronom pytania </w:t>
      </w:r>
      <w:r w:rsidR="00906A4F" w:rsidRPr="00E55367">
        <w:rPr>
          <w:rFonts w:ascii="Verdana" w:hAnsi="Verdana"/>
          <w:color w:val="0076BA"/>
          <w:sz w:val="20"/>
          <w:szCs w:val="20"/>
          <w:u w:color="0076BA"/>
        </w:rPr>
        <w:t>zgodnie z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8 (prawo do poszanowania życia prywatnego i korespondencji), art.</w:t>
      </w:r>
      <w:r w:rsidR="00B536B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10 (wolność wyrażania opinii) i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art. 13 (prawo do skutecznego środka odwoławczego) Konwencji.</w:t>
      </w:r>
    </w:p>
    <w:p w14:paraId="35AD55AF" w14:textId="77777777" w:rsidR="00E55367" w:rsidRPr="00E55367" w:rsidRDefault="00E55367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</w:p>
    <w:p w14:paraId="657C0207" w14:textId="77777777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E55367">
        <w:rPr>
          <w:rFonts w:ascii="Verdana" w:hAnsi="Verdana"/>
          <w:i/>
          <w:iCs/>
          <w:color w:val="5E5E5E"/>
          <w:sz w:val="20"/>
          <w:szCs w:val="20"/>
          <w:u w:color="5E5E5E"/>
        </w:rPr>
        <w:t>Podobne sprawy w toku:</w:t>
      </w:r>
      <w:r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Follorou przeciwko Francji (skarga nr 30635/17) oraz Johannes przeciwko Francji (skarga nr 30636/17)</w:t>
      </w:r>
    </w:p>
    <w:p w14:paraId="6166AC25" w14:textId="6176368B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Skargi zakomunikowane rządowi francuskiemu w dniu 4 lipca 2017 r.</w:t>
      </w:r>
    </w:p>
    <w:p w14:paraId="3AE6ECF8" w14:textId="4D6BB648" w:rsidR="00B13EDC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powiadomił </w:t>
      </w:r>
      <w:r w:rsidR="007D7531" w:rsidRPr="00E55367">
        <w:rPr>
          <w:rFonts w:ascii="Verdana" w:hAnsi="Verdana"/>
          <w:color w:val="0076BA"/>
          <w:sz w:val="20"/>
          <w:szCs w:val="20"/>
          <w:u w:color="0076BA"/>
        </w:rPr>
        <w:t xml:space="preserve">o skargach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rząd francuski i przedstawił stronom pytania </w:t>
      </w:r>
      <w:r w:rsidR="007D7531" w:rsidRPr="00E55367">
        <w:rPr>
          <w:rFonts w:ascii="Verdana" w:hAnsi="Verdana"/>
          <w:color w:val="0076BA"/>
          <w:sz w:val="20"/>
          <w:szCs w:val="20"/>
          <w:u w:color="0076BA"/>
        </w:rPr>
        <w:t>zgodnie z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6 ust. 1 (prawo do rzetelnego procesu sądowego), art. 8 (prawo do poszanowania życia prywatnego), art. 10 (wolność wyrażania opinii) oraz art. 13 (prawo do skutecznego środka odwoławczego) Konwencji.</w:t>
      </w:r>
    </w:p>
    <w:p w14:paraId="55BCF516" w14:textId="77777777" w:rsidR="00E55367" w:rsidRPr="00E55367" w:rsidRDefault="00E55367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</w:p>
    <w:p w14:paraId="390E1D59" w14:textId="77777777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 xml:space="preserve">Standard Verlagsgesellschaft mbH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>przeciwko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 xml:space="preserve">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>Austrii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 xml:space="preserve"> (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>skarga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 xml:space="preserve">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>nr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  <w:lang w:val="de-AT"/>
        </w:rPr>
        <w:t xml:space="preserve"> 39378/15)</w:t>
      </w:r>
    </w:p>
    <w:p w14:paraId="6D88C1A3" w14:textId="383CCA8A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Skarga zakomunikowana rządowi austriackiemu w dniu 5 maja 2017 r.</w:t>
      </w:r>
    </w:p>
    <w:p w14:paraId="3279700B" w14:textId="63939067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Niniejsza sprawa dotyczy nałożonych </w:t>
      </w:r>
      <w:r w:rsidR="008109E5" w:rsidRPr="00E55367">
        <w:rPr>
          <w:rFonts w:ascii="Verdana" w:hAnsi="Verdana"/>
          <w:sz w:val="20"/>
          <w:szCs w:val="20"/>
        </w:rPr>
        <w:t xml:space="preserve">przez sąd </w:t>
      </w:r>
      <w:r w:rsidR="007D7531" w:rsidRPr="00E55367">
        <w:rPr>
          <w:rFonts w:ascii="Verdana" w:hAnsi="Verdana"/>
          <w:sz w:val="20"/>
          <w:szCs w:val="20"/>
        </w:rPr>
        <w:t xml:space="preserve">na skarżącego, </w:t>
      </w:r>
      <w:r w:rsidRPr="00E55367">
        <w:rPr>
          <w:rFonts w:ascii="Verdana" w:hAnsi="Verdana"/>
          <w:sz w:val="20"/>
          <w:szCs w:val="20"/>
        </w:rPr>
        <w:t>spółkę medialną</w:t>
      </w:r>
      <w:r w:rsidR="007D7531" w:rsidRPr="00E55367">
        <w:rPr>
          <w:rFonts w:ascii="Verdana" w:hAnsi="Verdana"/>
          <w:sz w:val="20"/>
          <w:szCs w:val="20"/>
        </w:rPr>
        <w:t>,</w:t>
      </w:r>
      <w:r w:rsidRPr="00E55367">
        <w:rPr>
          <w:rFonts w:ascii="Verdana" w:hAnsi="Verdana"/>
          <w:sz w:val="20"/>
          <w:szCs w:val="20"/>
        </w:rPr>
        <w:t xml:space="preserve"> zobowiązań do ujawnienia informacji dotyczących tożsamości użytkowników, którzy opublikowali komentarze na</w:t>
      </w:r>
      <w:r w:rsidR="007D7531" w:rsidRPr="00E55367">
        <w:rPr>
          <w:rFonts w:ascii="Verdana" w:hAnsi="Verdana"/>
          <w:sz w:val="20"/>
          <w:szCs w:val="20"/>
        </w:rPr>
        <w:t xml:space="preserve"> jej</w:t>
      </w:r>
      <w:r w:rsidRPr="00E55367">
        <w:rPr>
          <w:rFonts w:ascii="Verdana" w:hAnsi="Verdana"/>
          <w:sz w:val="20"/>
          <w:szCs w:val="20"/>
        </w:rPr>
        <w:t xml:space="preserve"> internetowym portalu informacyjnym. </w:t>
      </w:r>
    </w:p>
    <w:p w14:paraId="77CC2A23" w14:textId="3814F4B2" w:rsidR="00B13EDC" w:rsidRPr="00E55367" w:rsidRDefault="00797BF0" w:rsidP="0062375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pct5" w:color="auto" w:fill="auto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powiadomił </w:t>
      </w:r>
      <w:r w:rsidR="00946A7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o skardze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rząd austriacki i przedstawił stronom pytania </w:t>
      </w:r>
      <w:r w:rsidR="00946A73" w:rsidRPr="00E55367">
        <w:rPr>
          <w:rFonts w:ascii="Verdana" w:hAnsi="Verdana"/>
          <w:color w:val="0076BA"/>
          <w:sz w:val="20"/>
          <w:szCs w:val="20"/>
          <w:u w:color="0076BA"/>
        </w:rPr>
        <w:t>zgodnie z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art. 10 (wolność wyrażania opinii) Konwencji.</w:t>
      </w:r>
    </w:p>
    <w:p w14:paraId="6E79803E" w14:textId="77777777" w:rsidR="00B13EDC" w:rsidRPr="002A2574" w:rsidRDefault="00B13EDC">
      <w:pPr>
        <w:pStyle w:val="TreA"/>
        <w:rPr>
          <w:rFonts w:ascii="Verdana" w:hAnsi="Verdana"/>
        </w:rPr>
      </w:pPr>
    </w:p>
    <w:p w14:paraId="2D494B30" w14:textId="5DC37153" w:rsidR="00B13EDC" w:rsidRPr="00E55367" w:rsidRDefault="00797BF0">
      <w:pPr>
        <w:pStyle w:val="TreA"/>
        <w:rPr>
          <w:rFonts w:ascii="Verdana" w:hAnsi="Verdana"/>
          <w:color w:val="0072BC"/>
          <w:sz w:val="28"/>
          <w:szCs w:val="28"/>
          <w:u w:color="00A2FF"/>
        </w:rPr>
      </w:pPr>
      <w:r w:rsidRPr="00E55367">
        <w:rPr>
          <w:rFonts w:ascii="Verdana" w:hAnsi="Verdana"/>
          <w:color w:val="0072BC"/>
          <w:sz w:val="28"/>
          <w:szCs w:val="28"/>
          <w:u w:color="00A2FF"/>
        </w:rPr>
        <w:t>Przeszukani</w:t>
      </w:r>
      <w:r w:rsidR="00DC725F" w:rsidRPr="00E55367">
        <w:rPr>
          <w:rFonts w:ascii="Verdana" w:hAnsi="Verdana"/>
          <w:color w:val="0072BC"/>
          <w:sz w:val="28"/>
          <w:szCs w:val="28"/>
          <w:u w:color="00A2FF"/>
        </w:rPr>
        <w:t>e</w:t>
      </w:r>
      <w:r w:rsidRPr="00E55367">
        <w:rPr>
          <w:rFonts w:ascii="Verdana" w:hAnsi="Verdana"/>
          <w:color w:val="0072BC"/>
          <w:sz w:val="28"/>
          <w:szCs w:val="28"/>
          <w:u w:color="00A2FF"/>
        </w:rPr>
        <w:t xml:space="preserve"> miejsc zamieszkania i miejsc pracy dziennikarzy / zatrzymanie </w:t>
      </w:r>
      <w:r w:rsidR="00946A73" w:rsidRPr="00E55367">
        <w:rPr>
          <w:rFonts w:ascii="Verdana" w:hAnsi="Verdana"/>
          <w:color w:val="0072BC"/>
          <w:sz w:val="28"/>
          <w:szCs w:val="28"/>
          <w:u w:color="00A2FF"/>
        </w:rPr>
        <w:t xml:space="preserve">dziennikarskich </w:t>
      </w:r>
      <w:r w:rsidR="00DC725F" w:rsidRPr="00E55367">
        <w:rPr>
          <w:rFonts w:ascii="Verdana" w:hAnsi="Verdana"/>
          <w:color w:val="0072BC"/>
          <w:sz w:val="28"/>
          <w:szCs w:val="28"/>
          <w:u w:color="00A2FF"/>
        </w:rPr>
        <w:t>materiałów</w:t>
      </w:r>
    </w:p>
    <w:p w14:paraId="087C9388" w14:textId="3A275110" w:rsidR="00B13EDC" w:rsidRPr="00E55367" w:rsidRDefault="00797BF0" w:rsidP="00E55367">
      <w:pPr>
        <w:pStyle w:val="TreA"/>
        <w:spacing w:before="120"/>
        <w:jc w:val="both"/>
        <w:rPr>
          <w:rFonts w:ascii="Verdana" w:hAnsi="Verdana"/>
          <w:color w:val="5E5E5E"/>
          <w:sz w:val="20"/>
          <w:szCs w:val="20"/>
          <w:u w:color="5E5E5E"/>
        </w:rPr>
      </w:pP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W </w:t>
      </w:r>
      <w:r w:rsidR="008109E5" w:rsidRPr="00E55367">
        <w:rPr>
          <w:rFonts w:ascii="Verdana" w:hAnsi="Verdana"/>
          <w:color w:val="5E5E5E"/>
          <w:sz w:val="20"/>
          <w:szCs w:val="20"/>
          <w:u w:color="5E5E5E"/>
        </w:rPr>
        <w:t>dwóch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</w:t>
      </w:r>
      <w:r w:rsidR="008109E5" w:rsidRPr="00E55367">
        <w:rPr>
          <w:rFonts w:ascii="Verdana" w:hAnsi="Verdana"/>
          <w:color w:val="5E5E5E"/>
          <w:sz w:val="20"/>
          <w:szCs w:val="20"/>
          <w:u w:color="5E5E5E"/>
        </w:rPr>
        <w:t>opisanych poniżej</w:t>
      </w:r>
      <w:r w:rsidR="00946A73" w:rsidRPr="00E55367">
        <w:rPr>
          <w:rFonts w:ascii="Verdana" w:hAnsi="Verdana"/>
          <w:color w:val="5E5E5E"/>
          <w:sz w:val="20"/>
          <w:szCs w:val="20"/>
          <w:u w:color="5E5E5E"/>
        </w:rPr>
        <w:t xml:space="preserve"> 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sprawach Trybunał orzekł, że władze krajowe musiały wykazać, iż środki inne niż przeszukanie domu i miejsca pracy dziennikarzy oraz zatrzymanie materiałów, </w:t>
      </w:r>
      <w:r w:rsidR="00946A73" w:rsidRPr="00E55367">
        <w:rPr>
          <w:rFonts w:ascii="Verdana" w:hAnsi="Verdana"/>
          <w:color w:val="5E5E5E"/>
          <w:sz w:val="20"/>
          <w:szCs w:val="20"/>
          <w:u w:color="5E5E5E"/>
        </w:rPr>
        <w:t>takie jak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przesłuchanie odpowiednich funkcjonariuszy, nie byłyby wystarczając</w:t>
      </w:r>
      <w:r w:rsidR="00946A73" w:rsidRPr="00E55367">
        <w:rPr>
          <w:rFonts w:ascii="Verdana" w:hAnsi="Verdana"/>
          <w:color w:val="5E5E5E"/>
          <w:sz w:val="20"/>
          <w:szCs w:val="20"/>
          <w:u w:color="5E5E5E"/>
        </w:rPr>
        <w:t>e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</w:t>
      </w:r>
      <w:r w:rsidR="00946A73" w:rsidRPr="00E55367">
        <w:rPr>
          <w:rFonts w:ascii="Verdana" w:hAnsi="Verdana"/>
          <w:color w:val="5E5E5E"/>
          <w:sz w:val="20"/>
          <w:szCs w:val="20"/>
          <w:u w:color="5E5E5E"/>
        </w:rPr>
        <w:t>dla zapobieżenia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zakłóceni</w:t>
      </w:r>
      <w:r w:rsidR="00906CCE" w:rsidRPr="00E55367">
        <w:rPr>
          <w:rFonts w:ascii="Verdana" w:hAnsi="Verdana"/>
          <w:color w:val="5E5E5E"/>
          <w:sz w:val="20"/>
          <w:szCs w:val="20"/>
          <w:u w:color="5E5E5E"/>
        </w:rPr>
        <w:t>u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 xml:space="preserve"> porządku lub </w:t>
      </w:r>
      <w:r w:rsidR="00906CCE" w:rsidRPr="00E55367">
        <w:rPr>
          <w:rFonts w:ascii="Verdana" w:hAnsi="Verdana"/>
          <w:color w:val="5E5E5E"/>
          <w:sz w:val="20"/>
          <w:szCs w:val="20"/>
          <w:u w:color="5E5E5E"/>
        </w:rPr>
        <w:t>przestępstwu</w:t>
      </w:r>
      <w:r w:rsidRPr="00E55367">
        <w:rPr>
          <w:rFonts w:ascii="Verdana" w:hAnsi="Verdana"/>
          <w:color w:val="5E5E5E"/>
          <w:sz w:val="20"/>
          <w:szCs w:val="20"/>
          <w:u w:color="5E5E5E"/>
        </w:rPr>
        <w:t>.</w:t>
      </w:r>
    </w:p>
    <w:p w14:paraId="0A795E7C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Roemen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i Schmitt przeciwko Luksemburgowi</w:t>
      </w:r>
    </w:p>
    <w:p w14:paraId="6D2A763D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25 lutego 2003 r.</w:t>
      </w:r>
    </w:p>
    <w:p w14:paraId="1106EF09" w14:textId="77D15323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Skarżącymi w tej sprawie byli dziennikarz i jego pełnomocnik w postępowaniu krajowym. Sprawa dotyczyła niezapowiedzianego najścia i przeszukania przez policję domu pierwszego skarżącego, które miało miejsce po publikacji artykułu dotyczącego oszustw podatkowych</w:t>
      </w:r>
      <w:r w:rsidR="00AE70D3" w:rsidRPr="00E55367">
        <w:rPr>
          <w:rFonts w:ascii="Verdana" w:hAnsi="Verdana"/>
          <w:sz w:val="20"/>
          <w:szCs w:val="20"/>
        </w:rPr>
        <w:t xml:space="preserve"> ministra rządu.</w:t>
      </w:r>
      <w:r w:rsidRPr="00E55367">
        <w:rPr>
          <w:rFonts w:ascii="Verdana" w:hAnsi="Verdana"/>
          <w:sz w:val="20"/>
          <w:szCs w:val="20"/>
        </w:rPr>
        <w:t xml:space="preserve">. </w:t>
      </w:r>
      <w:r w:rsidR="00AE70D3" w:rsidRPr="00E55367">
        <w:rPr>
          <w:rFonts w:ascii="Verdana" w:hAnsi="Verdana"/>
          <w:sz w:val="20"/>
          <w:szCs w:val="20"/>
        </w:rPr>
        <w:t>Śledczy, d</w:t>
      </w:r>
      <w:r w:rsidRPr="00E55367">
        <w:rPr>
          <w:rFonts w:ascii="Verdana" w:hAnsi="Verdana"/>
          <w:sz w:val="20"/>
          <w:szCs w:val="20"/>
        </w:rPr>
        <w:t>ysponujący nakazem przeszukania</w:t>
      </w:r>
      <w:r w:rsidR="00AE70D3" w:rsidRPr="00E55367">
        <w:rPr>
          <w:rFonts w:ascii="Verdana" w:hAnsi="Verdana"/>
          <w:sz w:val="20"/>
          <w:szCs w:val="20"/>
        </w:rPr>
        <w:t>,</w:t>
      </w:r>
      <w:r w:rsidR="008109E5"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sz w:val="20"/>
          <w:szCs w:val="20"/>
        </w:rPr>
        <w:t xml:space="preserve">przeprowadzili szeroko zakrojoną kontrolę. Sędzia </w:t>
      </w:r>
      <w:r w:rsidR="00233EE2" w:rsidRPr="00E55367">
        <w:rPr>
          <w:rFonts w:ascii="Verdana" w:hAnsi="Verdana"/>
          <w:sz w:val="20"/>
          <w:szCs w:val="20"/>
        </w:rPr>
        <w:t xml:space="preserve">śledczy </w:t>
      </w:r>
      <w:r w:rsidRPr="00E55367">
        <w:rPr>
          <w:rFonts w:ascii="Verdana" w:hAnsi="Verdana"/>
          <w:sz w:val="20"/>
          <w:szCs w:val="20"/>
        </w:rPr>
        <w:t xml:space="preserve">zarządził również przeszukanie biura drugiego skarżącego. </w:t>
      </w:r>
    </w:p>
    <w:p w14:paraId="520CDCE6" w14:textId="6DA33A53" w:rsidR="00B13EDC" w:rsidRPr="00E55367" w:rsidRDefault="00797BF0">
      <w:pPr>
        <w:pStyle w:val="TreA"/>
        <w:jc w:val="both"/>
        <w:rPr>
          <w:rFonts w:ascii="Verdana" w:hAnsi="Verdana"/>
          <w:color w:val="00A2FF"/>
          <w:sz w:val="20"/>
          <w:szCs w:val="20"/>
          <w:u w:color="00A2FF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Biorąc pod uwagę, że Rząd nie wykazał, że zachowana została równowaga </w:t>
      </w:r>
      <w:r w:rsidR="00233EE2" w:rsidRPr="00E55367">
        <w:rPr>
          <w:rFonts w:ascii="Verdana" w:hAnsi="Verdana"/>
          <w:color w:val="0076BA"/>
          <w:sz w:val="20"/>
          <w:szCs w:val="20"/>
          <w:u w:color="0076BA"/>
        </w:rPr>
        <w:t>po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między</w:t>
      </w:r>
      <w:r w:rsidR="00233EE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zagrożonymi dobrami, 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="00233EE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mianowicie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ochroną źródeł z jednej strony oraz zapobieganiem </w:t>
      </w:r>
      <w:r w:rsidR="00233EE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i karaniem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przestęp</w:t>
      </w:r>
      <w:r w:rsidR="00233EE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stw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z drugiej strony</w:t>
      </w:r>
      <w:r w:rsidR="00953D57" w:rsidRPr="00E55367">
        <w:rPr>
          <w:rFonts w:ascii="Verdana" w:hAnsi="Verdana"/>
          <w:color w:val="0076BA"/>
          <w:sz w:val="20"/>
          <w:szCs w:val="20"/>
          <w:u w:color="0076BA"/>
        </w:rPr>
        <w:t>,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Trybunał orzekł, że zastosowane środki były nieproporcjonalne i skutkowały naruszeniem prawa pierwszego skarżącego do wolności wyrażania opinii. W związku z tym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naruszenia art. 10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Konwencji w odniesieniu do pierwszego skarżącego. Trybunał stwierdził ponadto, że przeszukanie przeprowadzone w biurze drugiego skarżącego miało wpływ na prawa pierwszego skarżącego </w:t>
      </w:r>
      <w:r w:rsidR="00953D5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wynikające z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art. 10 Konwencji. Uznając, że przeszukanie biura drugiego skarżącego nie było proporcjonalne w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lastRenderedPageBreak/>
        <w:t xml:space="preserve">stosunku do realizowanego celu, w szczególności ze względu na szybkość, z jaką zostało przeprowadzone, Trybunał odpowiednio stwierdził,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naruszenia art. 8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(prawo do poszanowania </w:t>
      </w:r>
      <w:r w:rsidR="00953D57" w:rsidRPr="00E55367">
        <w:rPr>
          <w:rFonts w:ascii="Verdana" w:hAnsi="Verdana"/>
          <w:color w:val="0076BA"/>
          <w:sz w:val="20"/>
          <w:szCs w:val="20"/>
          <w:u w:color="0076BA"/>
        </w:rPr>
        <w:t>mieszkania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) Konwencji w odniesieniu do drugiego skarżącego.</w:t>
      </w:r>
    </w:p>
    <w:p w14:paraId="0F2D84FF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Ernst i Inni przeciwko Belgii</w:t>
      </w:r>
    </w:p>
    <w:p w14:paraId="233F6E7A" w14:textId="77777777" w:rsidR="00EC3D48" w:rsidRPr="00E55367" w:rsidRDefault="00797BF0" w:rsidP="00EC3D48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15 lipca 2003 r.</w:t>
      </w:r>
    </w:p>
    <w:p w14:paraId="0E5CDA9D" w14:textId="243B938E" w:rsidR="00B13EDC" w:rsidRPr="00E55367" w:rsidRDefault="00797BF0" w:rsidP="00EC3D48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Skarżącymi w tej sprawie byli czterej dziennikarze. Sprawa dotyczyła przeszukania biur belgijskich gazet oraz domów czterech dziennikarzy przez sekcję policji ds. zwalczania poważnych</w:t>
      </w:r>
      <w:r w:rsidR="00EC3D48"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sz w:val="20"/>
          <w:szCs w:val="20"/>
        </w:rPr>
        <w:t xml:space="preserve">przestępstw w związku </w:t>
      </w:r>
      <w:r w:rsidR="00435D70" w:rsidRPr="00E55367">
        <w:rPr>
          <w:rFonts w:ascii="Verdana" w:hAnsi="Verdana"/>
          <w:sz w:val="20"/>
          <w:szCs w:val="20"/>
        </w:rPr>
        <w:t>z oskarżeniem</w:t>
      </w:r>
      <w:r w:rsidRPr="00E55367">
        <w:rPr>
          <w:rFonts w:ascii="Verdana" w:hAnsi="Verdana"/>
          <w:sz w:val="20"/>
          <w:szCs w:val="20"/>
        </w:rPr>
        <w:t xml:space="preserve"> członków </w:t>
      </w:r>
      <w:r w:rsidR="00435D70" w:rsidRPr="00E55367">
        <w:rPr>
          <w:rFonts w:ascii="Verdana" w:hAnsi="Verdana"/>
          <w:sz w:val="20"/>
          <w:szCs w:val="20"/>
        </w:rPr>
        <w:t xml:space="preserve">państwowego </w:t>
      </w:r>
      <w:r w:rsidRPr="00E55367">
        <w:rPr>
          <w:rFonts w:ascii="Verdana" w:hAnsi="Verdana"/>
          <w:sz w:val="20"/>
          <w:szCs w:val="20"/>
        </w:rPr>
        <w:t xml:space="preserve">biura obsługi prawnej przy </w:t>
      </w:r>
      <w:r w:rsidR="00435D70" w:rsidRPr="00E55367">
        <w:rPr>
          <w:rFonts w:ascii="Verdana" w:hAnsi="Verdana"/>
          <w:sz w:val="20"/>
          <w:szCs w:val="20"/>
        </w:rPr>
        <w:t>S</w:t>
      </w:r>
      <w:r w:rsidRPr="00E55367">
        <w:rPr>
          <w:rFonts w:ascii="Verdana" w:hAnsi="Verdana"/>
          <w:sz w:val="20"/>
          <w:szCs w:val="20"/>
        </w:rPr>
        <w:t xml:space="preserve">ądzie </w:t>
      </w:r>
      <w:r w:rsidR="00435D70" w:rsidRPr="00E55367">
        <w:rPr>
          <w:rFonts w:ascii="Verdana" w:hAnsi="Verdana"/>
          <w:sz w:val="20"/>
          <w:szCs w:val="20"/>
        </w:rPr>
        <w:t>A</w:t>
      </w:r>
      <w:r w:rsidRPr="00E55367">
        <w:rPr>
          <w:rFonts w:ascii="Verdana" w:hAnsi="Verdana"/>
          <w:sz w:val="20"/>
          <w:szCs w:val="20"/>
        </w:rPr>
        <w:t xml:space="preserve">pelacyjnym w Liège </w:t>
      </w:r>
      <w:r w:rsidR="00435D70" w:rsidRPr="00E55367">
        <w:rPr>
          <w:rFonts w:ascii="Verdana" w:hAnsi="Verdana"/>
          <w:sz w:val="20"/>
          <w:szCs w:val="20"/>
        </w:rPr>
        <w:t>o</w:t>
      </w:r>
      <w:r w:rsidRPr="00E55367">
        <w:rPr>
          <w:rFonts w:ascii="Verdana" w:hAnsi="Verdana"/>
          <w:sz w:val="20"/>
          <w:szCs w:val="20"/>
        </w:rPr>
        <w:t xml:space="preserve"> naruszeni</w:t>
      </w:r>
      <w:r w:rsidR="00435D70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 zasad</w:t>
      </w:r>
      <w:r w:rsidR="00435D70" w:rsidRPr="00E55367">
        <w:rPr>
          <w:rFonts w:ascii="Verdana" w:hAnsi="Verdana"/>
          <w:sz w:val="20"/>
          <w:szCs w:val="20"/>
        </w:rPr>
        <w:t>y</w:t>
      </w:r>
      <w:r w:rsidRPr="00E55367">
        <w:rPr>
          <w:rFonts w:ascii="Verdana" w:hAnsi="Verdana"/>
          <w:sz w:val="20"/>
          <w:szCs w:val="20"/>
        </w:rPr>
        <w:t xml:space="preserve"> poufności wskutek przecieków</w:t>
      </w:r>
      <w:r w:rsidR="00435D70" w:rsidRPr="00E55367">
        <w:rPr>
          <w:rFonts w:ascii="Verdana" w:hAnsi="Verdana"/>
          <w:sz w:val="20"/>
          <w:szCs w:val="20"/>
        </w:rPr>
        <w:t xml:space="preserve"> ze spraw karnych</w:t>
      </w:r>
      <w:r w:rsidRPr="00E55367">
        <w:rPr>
          <w:rFonts w:ascii="Verdana" w:hAnsi="Verdana"/>
          <w:sz w:val="20"/>
          <w:szCs w:val="20"/>
        </w:rPr>
        <w:t xml:space="preserve"> o wysokim stopniu poufności.</w:t>
      </w:r>
    </w:p>
    <w:p w14:paraId="1B3B6E63" w14:textId="50194D8E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 Stwierdził w szczególności, że przedstawione przez sądy krajowe argumenty nie był</w:t>
      </w:r>
      <w:r w:rsidR="00435D70" w:rsidRPr="00E55367">
        <w:rPr>
          <w:rFonts w:ascii="Verdana" w:hAnsi="Verdana"/>
          <w:color w:val="0076BA"/>
          <w:sz w:val="20"/>
          <w:szCs w:val="20"/>
          <w:u w:color="0076BA"/>
        </w:rPr>
        <w:t>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wystarczające do uzasadnienia przeszukań i zatrzymań na tak dużą skalę. W sprawie </w:t>
      </w:r>
      <w:r w:rsidR="009A5BB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tej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Trybunał stwierdził ponadto, że doszło do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naruszenia art. 8 (prawo do poszanowania życia prywatnego ), </w:t>
      </w:r>
      <w:r w:rsidR="009A5BB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nie doszło do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naruszenia art. 6 ust. 1 (prawo do rzetelnego procesu sądowego), </w:t>
      </w:r>
      <w:r w:rsidR="009A5BB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nie doszło do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naruszenia art. 14 (zakaz dyskryminacji) </w:t>
      </w:r>
      <w:r w:rsidR="009A5BB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 zw.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z art. 6 ust. 1 oraz </w:t>
      </w:r>
      <w:r w:rsidR="009A5BB9" w:rsidRPr="00E55367">
        <w:rPr>
          <w:rFonts w:ascii="Verdana" w:hAnsi="Verdana"/>
          <w:color w:val="0076BA"/>
          <w:sz w:val="20"/>
          <w:szCs w:val="20"/>
          <w:u w:color="0076BA"/>
        </w:rPr>
        <w:t xml:space="preserve">że nie doszło do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naruszenia art. 13 (prawo do skutecznego środka odwoławczego) Konwencji.</w:t>
      </w:r>
    </w:p>
    <w:p w14:paraId="6036CDFF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Tillack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przeciwko Belgii</w:t>
      </w:r>
    </w:p>
    <w:p w14:paraId="3189873B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27 listopada 2007 r.</w:t>
      </w:r>
    </w:p>
    <w:p w14:paraId="0415A2E0" w14:textId="55B1D684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Skarżący, dziennikarz niemieckiego tygodnika „Stern”, złożył skargę dotyczącą przeszukania</w:t>
      </w:r>
      <w:r w:rsidR="00DB5C25" w:rsidRPr="00E55367">
        <w:rPr>
          <w:rFonts w:ascii="Verdana" w:hAnsi="Verdana"/>
          <w:sz w:val="20"/>
          <w:szCs w:val="20"/>
        </w:rPr>
        <w:br/>
      </w:r>
      <w:r w:rsidRPr="00E55367">
        <w:rPr>
          <w:rFonts w:ascii="Verdana" w:hAnsi="Verdana"/>
          <w:sz w:val="20"/>
          <w:szCs w:val="20"/>
        </w:rPr>
        <w:t>i zatrzymania rzeczy w jego domu i miejscu pracy, po publikacji artykułów</w:t>
      </w:r>
      <w:r w:rsidR="009A5BB9" w:rsidRPr="00E55367">
        <w:rPr>
          <w:rFonts w:ascii="Verdana" w:hAnsi="Verdana"/>
          <w:sz w:val="20"/>
          <w:szCs w:val="20"/>
        </w:rPr>
        <w:t xml:space="preserve"> dotyczących nieprawidłowości w instytucjach europejskich</w:t>
      </w:r>
      <w:r w:rsidRPr="00E55367">
        <w:rPr>
          <w:rFonts w:ascii="Verdana" w:hAnsi="Verdana"/>
          <w:sz w:val="20"/>
          <w:szCs w:val="20"/>
        </w:rPr>
        <w:t xml:space="preserve">, które </w:t>
      </w:r>
      <w:r w:rsidR="009A5BB9" w:rsidRPr="00E55367">
        <w:rPr>
          <w:rFonts w:ascii="Verdana" w:hAnsi="Verdana"/>
          <w:sz w:val="20"/>
          <w:szCs w:val="20"/>
        </w:rPr>
        <w:t xml:space="preserve">to artykuły </w:t>
      </w:r>
      <w:r w:rsidRPr="00E55367">
        <w:rPr>
          <w:rFonts w:ascii="Verdana" w:hAnsi="Verdana"/>
          <w:sz w:val="20"/>
          <w:szCs w:val="20"/>
        </w:rPr>
        <w:t xml:space="preserve">opierały się na </w:t>
      </w:r>
      <w:r w:rsidR="005F0D71" w:rsidRPr="00E55367">
        <w:rPr>
          <w:rFonts w:ascii="Verdana" w:hAnsi="Verdana"/>
          <w:sz w:val="20"/>
          <w:szCs w:val="20"/>
        </w:rPr>
        <w:t xml:space="preserve">informacjach pochodzących z </w:t>
      </w:r>
      <w:r w:rsidRPr="00E55367">
        <w:rPr>
          <w:rFonts w:ascii="Verdana" w:hAnsi="Verdana"/>
          <w:sz w:val="20"/>
          <w:szCs w:val="20"/>
        </w:rPr>
        <w:t xml:space="preserve">poufnych </w:t>
      </w:r>
      <w:r w:rsidR="005F0D71" w:rsidRPr="00E55367">
        <w:rPr>
          <w:rFonts w:ascii="Verdana" w:hAnsi="Verdana"/>
          <w:sz w:val="20"/>
          <w:szCs w:val="20"/>
        </w:rPr>
        <w:t xml:space="preserve">dokumentów </w:t>
      </w:r>
      <w:r w:rsidRPr="00E55367">
        <w:rPr>
          <w:rFonts w:ascii="Verdana" w:hAnsi="Verdana"/>
          <w:sz w:val="20"/>
          <w:szCs w:val="20"/>
        </w:rPr>
        <w:t>Europejskiego Urzędu ds. Zwalczania Nadużyć Finansowych</w:t>
      </w:r>
      <w:r w:rsidR="005F0D71" w:rsidRPr="00E55367">
        <w:rPr>
          <w:rFonts w:ascii="Verdana" w:hAnsi="Verdana"/>
          <w:sz w:val="20"/>
          <w:szCs w:val="20"/>
        </w:rPr>
        <w:t>.</w:t>
      </w:r>
      <w:r w:rsidRPr="00E55367">
        <w:rPr>
          <w:rFonts w:ascii="Verdana" w:hAnsi="Verdana"/>
          <w:sz w:val="20"/>
          <w:szCs w:val="20"/>
        </w:rPr>
        <w:t xml:space="preserve"> </w:t>
      </w:r>
    </w:p>
    <w:p w14:paraId="4D1626F1" w14:textId="6FF0F31D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 Podkreślił w szczególności, że prawo dziennikarza do nieujawniania źródeł informacji nie </w:t>
      </w:r>
      <w:r w:rsidR="005F0D71" w:rsidRPr="00E55367">
        <w:rPr>
          <w:rFonts w:ascii="Verdana" w:hAnsi="Verdana"/>
          <w:color w:val="0076BA"/>
          <w:sz w:val="20"/>
          <w:szCs w:val="20"/>
          <w:u w:color="0076BA"/>
        </w:rPr>
        <w:t xml:space="preserve">mogło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być </w:t>
      </w:r>
      <w:r w:rsidR="005F0D71" w:rsidRPr="00E55367">
        <w:rPr>
          <w:rFonts w:ascii="Verdana" w:hAnsi="Verdana"/>
          <w:color w:val="0076BA"/>
          <w:sz w:val="20"/>
          <w:szCs w:val="20"/>
          <w:u w:color="0076BA"/>
        </w:rPr>
        <w:t>rozpatrywane jako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zwykły przywilej, który może zostać mu przyznany lub odebrany w zależności od legalności lub nielegalności</w:t>
      </w:r>
      <w:r w:rsidR="005F0D71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jego źródeł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, lecz stanowi</w:t>
      </w:r>
      <w:r w:rsidR="005F0D71" w:rsidRPr="00E55367">
        <w:rPr>
          <w:rFonts w:ascii="Verdana" w:hAnsi="Verdana"/>
          <w:color w:val="0076BA"/>
          <w:sz w:val="20"/>
          <w:szCs w:val="20"/>
          <w:u w:color="0076BA"/>
        </w:rPr>
        <w:t>ło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integralną część prawa do informacji. Trybunał uznał </w:t>
      </w:r>
      <w:r w:rsidR="005F0D71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za niewystarczające powody </w:t>
      </w:r>
      <w:r w:rsidR="00951ACF" w:rsidRPr="00E55367">
        <w:rPr>
          <w:rFonts w:ascii="Verdana" w:hAnsi="Verdana"/>
          <w:color w:val="0076BA"/>
          <w:sz w:val="20"/>
          <w:szCs w:val="20"/>
          <w:u w:color="0076BA"/>
        </w:rPr>
        <w:t xml:space="preserve">wskazane </w:t>
      </w:r>
      <w:r w:rsidR="00DB5C25" w:rsidRPr="00E55367">
        <w:rPr>
          <w:rFonts w:ascii="Verdana" w:hAnsi="Verdana"/>
          <w:color w:val="0076BA"/>
          <w:sz w:val="20"/>
          <w:szCs w:val="20"/>
          <w:u w:color="0076BA"/>
        </w:rPr>
        <w:t>przez belgijskie sądy w uzasadnieniu</w:t>
      </w:r>
      <w:r w:rsidR="00951ACF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czynności przeszukania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.</w:t>
      </w:r>
    </w:p>
    <w:p w14:paraId="7D54643A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Martin i Inni przeciwko Francji</w:t>
      </w:r>
    </w:p>
    <w:p w14:paraId="2995FBC2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12 kwietnia 2012 r.</w:t>
      </w:r>
    </w:p>
    <w:p w14:paraId="79E81086" w14:textId="09ABA25D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Sprawa dotyczyła przeszukania pomieszczeń dziennika „Midi Libre”,</w:t>
      </w:r>
      <w:r w:rsidR="00DB5C25" w:rsidRPr="00E55367">
        <w:rPr>
          <w:rFonts w:ascii="Verdana" w:hAnsi="Verdana"/>
          <w:sz w:val="20"/>
          <w:szCs w:val="20"/>
        </w:rPr>
        <w:t xml:space="preserve"> </w:t>
      </w:r>
      <w:r w:rsidR="00665334" w:rsidRPr="00E55367">
        <w:rPr>
          <w:rFonts w:ascii="Verdana" w:hAnsi="Verdana"/>
          <w:sz w:val="20"/>
          <w:szCs w:val="20"/>
        </w:rPr>
        <w:t>zarządzonego przez</w:t>
      </w:r>
      <w:r w:rsidRPr="00E55367">
        <w:rPr>
          <w:rFonts w:ascii="Verdana" w:hAnsi="Verdana"/>
          <w:sz w:val="20"/>
          <w:szCs w:val="20"/>
        </w:rPr>
        <w:t xml:space="preserve"> sędzi</w:t>
      </w:r>
      <w:r w:rsidR="00665334" w:rsidRPr="00E55367">
        <w:rPr>
          <w:rFonts w:ascii="Verdana" w:hAnsi="Verdana"/>
          <w:sz w:val="20"/>
          <w:szCs w:val="20"/>
        </w:rPr>
        <w:t>ego śledczego</w:t>
      </w:r>
      <w:r w:rsidRPr="00E55367">
        <w:rPr>
          <w:rFonts w:ascii="Verdana" w:hAnsi="Verdana"/>
          <w:sz w:val="20"/>
          <w:szCs w:val="20"/>
        </w:rPr>
        <w:t xml:space="preserve"> w celu ustalenia, w jakich okolicznościach i</w:t>
      </w:r>
      <w:r w:rsidR="00283B94" w:rsidRPr="00E55367">
        <w:rPr>
          <w:rFonts w:ascii="Verdana" w:hAnsi="Verdana"/>
          <w:sz w:val="20"/>
          <w:szCs w:val="20"/>
        </w:rPr>
        <w:t> </w:t>
      </w:r>
      <w:r w:rsidRPr="00E55367">
        <w:rPr>
          <w:rFonts w:ascii="Verdana" w:hAnsi="Verdana"/>
          <w:sz w:val="20"/>
          <w:szCs w:val="20"/>
        </w:rPr>
        <w:t xml:space="preserve">warunkach dziennikarze weszli w posiadanie kopii poufnej wersji roboczej projektu </w:t>
      </w:r>
      <w:r w:rsidR="00665334" w:rsidRPr="00E55367">
        <w:rPr>
          <w:rFonts w:ascii="Verdana" w:hAnsi="Verdana"/>
          <w:sz w:val="20"/>
          <w:szCs w:val="20"/>
        </w:rPr>
        <w:t xml:space="preserve">raportu </w:t>
      </w:r>
      <w:r w:rsidRPr="00E55367">
        <w:rPr>
          <w:rFonts w:ascii="Verdana" w:hAnsi="Verdana"/>
          <w:sz w:val="20"/>
          <w:szCs w:val="20"/>
        </w:rPr>
        <w:t xml:space="preserve">Regionalnej Izby </w:t>
      </w:r>
      <w:r w:rsidR="00665334" w:rsidRPr="00E55367">
        <w:rPr>
          <w:rFonts w:ascii="Verdana" w:hAnsi="Verdana"/>
          <w:sz w:val="20"/>
          <w:szCs w:val="20"/>
        </w:rPr>
        <w:t>Kontroli</w:t>
      </w:r>
      <w:r w:rsidR="00161237" w:rsidRPr="00E55367">
        <w:rPr>
          <w:rFonts w:ascii="Verdana" w:hAnsi="Verdana"/>
          <w:sz w:val="20"/>
          <w:szCs w:val="20"/>
        </w:rPr>
        <w:t>,</w:t>
      </w:r>
      <w:r w:rsidR="00665334"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sz w:val="20"/>
          <w:szCs w:val="20"/>
        </w:rPr>
        <w:t>dotyczącego władz regionu Langwedocji-Roussillon.</w:t>
      </w:r>
    </w:p>
    <w:p w14:paraId="56CED6B8" w14:textId="2A01722C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 W szczególności rząd francuski nie wykazał, że sporne interesy –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mianowicie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ochrona dziennikarskich źródeł informacji oraz zapobieganie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>i karanie przestępstw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– zostały odpowiednio wyważone.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Podane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przez władze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powody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uzasadniające przeszukanie można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by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uznać za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>odpowiednie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</w:t>
      </w:r>
      <w:r w:rsidR="00161237" w:rsidRPr="00E55367">
        <w:rPr>
          <w:rFonts w:ascii="Verdana" w:hAnsi="Verdana"/>
          <w:color w:val="0076BA"/>
          <w:sz w:val="20"/>
          <w:szCs w:val="20"/>
          <w:u w:color="0076BA"/>
        </w:rPr>
        <w:t xml:space="preserve">ale nie </w:t>
      </w:r>
      <w:r w:rsidR="00623750" w:rsidRPr="00E55367">
        <w:rPr>
          <w:rFonts w:ascii="Verdana" w:hAnsi="Verdana"/>
          <w:color w:val="0076BA"/>
          <w:sz w:val="20"/>
          <w:szCs w:val="20"/>
          <w:u w:color="0076BA"/>
        </w:rPr>
        <w:t xml:space="preserve">za </w:t>
      </w:r>
      <w:r w:rsidR="0045155A" w:rsidRPr="00E55367">
        <w:rPr>
          <w:rFonts w:ascii="Verdana" w:hAnsi="Verdana"/>
          <w:color w:val="0076BA"/>
          <w:sz w:val="20"/>
          <w:szCs w:val="20"/>
          <w:u w:color="0076BA"/>
        </w:rPr>
        <w:t>wystarczające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. Przeszukanie było zatem nieproporcjonalne.</w:t>
      </w:r>
    </w:p>
    <w:p w14:paraId="01E8AEBB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Ressiot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i Inni przeciwko Francji</w:t>
      </w:r>
    </w:p>
    <w:p w14:paraId="5683E179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28 czerwca 2012 r.</w:t>
      </w:r>
    </w:p>
    <w:p w14:paraId="1C6DB8E0" w14:textId="50F044CC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kontroli przeprowadzonych w </w:t>
      </w:r>
      <w:r w:rsidR="0045155A" w:rsidRPr="00E55367">
        <w:rPr>
          <w:rFonts w:ascii="Verdana" w:hAnsi="Verdana"/>
          <w:sz w:val="20"/>
          <w:szCs w:val="20"/>
        </w:rPr>
        <w:t xml:space="preserve">pomieszczeniach </w:t>
      </w:r>
      <w:r w:rsidRPr="00E55367">
        <w:rPr>
          <w:rFonts w:ascii="Verdana" w:hAnsi="Verdana"/>
          <w:sz w:val="20"/>
          <w:szCs w:val="20"/>
        </w:rPr>
        <w:t>gazet „L’Equipe” i „Le Point” oraz w domach dziennikarzy oskarżonych o naruszenie tajemnicy postępowania sądowego. Władze chciały zidentyfikować źródło przecieków</w:t>
      </w:r>
      <w:r w:rsidR="0045155A" w:rsidRPr="00E55367">
        <w:rPr>
          <w:rFonts w:ascii="Verdana" w:hAnsi="Verdana"/>
          <w:sz w:val="20"/>
          <w:szCs w:val="20"/>
        </w:rPr>
        <w:t xml:space="preserve"> ze śledztwa</w:t>
      </w:r>
      <w:r w:rsidRPr="00E55367">
        <w:rPr>
          <w:rFonts w:ascii="Verdana" w:hAnsi="Verdana"/>
          <w:sz w:val="20"/>
          <w:szCs w:val="20"/>
        </w:rPr>
        <w:t xml:space="preserve"> w sprawie </w:t>
      </w:r>
      <w:r w:rsidR="0045155A" w:rsidRPr="00E55367">
        <w:rPr>
          <w:rFonts w:ascii="Verdana" w:hAnsi="Verdana"/>
          <w:sz w:val="20"/>
          <w:szCs w:val="20"/>
        </w:rPr>
        <w:t xml:space="preserve">możliwego </w:t>
      </w:r>
      <w:r w:rsidRPr="00E55367">
        <w:rPr>
          <w:rFonts w:ascii="Verdana" w:hAnsi="Verdana"/>
          <w:sz w:val="20"/>
          <w:szCs w:val="20"/>
        </w:rPr>
        <w:t xml:space="preserve">dopingu w </w:t>
      </w:r>
      <w:r w:rsidR="0045155A" w:rsidRPr="00E55367">
        <w:rPr>
          <w:rFonts w:ascii="Verdana" w:hAnsi="Verdana"/>
          <w:sz w:val="20"/>
          <w:szCs w:val="20"/>
        </w:rPr>
        <w:t>wyścigu kolarskim</w:t>
      </w:r>
      <w:r w:rsidRPr="00E55367">
        <w:rPr>
          <w:rFonts w:ascii="Verdana" w:hAnsi="Verdana"/>
          <w:sz w:val="20"/>
          <w:szCs w:val="20"/>
        </w:rPr>
        <w:t>.</w:t>
      </w:r>
    </w:p>
    <w:p w14:paraId="385A32A8" w14:textId="7EB56EBC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 Stwierdził w szczególności, że rząd francuski nie wykazał, aby zachowano właściwą równowagę pomiędzy poszczególnymi </w:t>
      </w:r>
      <w:r w:rsidR="00292EAE" w:rsidRPr="00E55367">
        <w:rPr>
          <w:rFonts w:ascii="Verdana" w:hAnsi="Verdana"/>
          <w:color w:val="0076BA"/>
          <w:sz w:val="20"/>
          <w:szCs w:val="20"/>
          <w:u w:color="0076BA"/>
        </w:rPr>
        <w:t xml:space="preserve">konkurującymi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interesami. Zastosowane środki nie były odpowiednio proporcjonalne do uprawnionego realizowanego celu, któremu miały służyć, biorąc pod uwagę interes demokratycznego społeczeństwa w zagwarantowaniu i utrzymaniu wolności prasy.</w:t>
      </w:r>
    </w:p>
    <w:p w14:paraId="78D0AD71" w14:textId="77777777" w:rsidR="00E55367" w:rsidRDefault="00E55367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</w:p>
    <w:p w14:paraId="789AC21B" w14:textId="77777777" w:rsidR="00E55367" w:rsidRDefault="00E55367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</w:p>
    <w:p w14:paraId="6496630D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lastRenderedPageBreak/>
        <w:t xml:space="preserve">Saint-Paul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Luxembourg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S.A. przeciwko Luksemburgowi</w:t>
      </w:r>
    </w:p>
    <w:p w14:paraId="7862D099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18 kwietnia 2013 r.</w:t>
      </w:r>
    </w:p>
    <w:p w14:paraId="01E9667C" w14:textId="11661E88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nakazu przeszukania i zatrzymania rzeczy wydanego przez sędziego </w:t>
      </w:r>
      <w:r w:rsidR="00121AB2" w:rsidRPr="00E55367">
        <w:rPr>
          <w:rFonts w:ascii="Verdana" w:hAnsi="Verdana"/>
          <w:sz w:val="20"/>
          <w:szCs w:val="20"/>
        </w:rPr>
        <w:t>śledczego</w:t>
      </w:r>
      <w:r w:rsidRPr="00E55367">
        <w:rPr>
          <w:rFonts w:ascii="Verdana" w:hAnsi="Verdana"/>
          <w:sz w:val="20"/>
          <w:szCs w:val="20"/>
        </w:rPr>
        <w:t xml:space="preserve"> wobec gazety po opublikowaniu artykułu, który był przedmiotem skargi wniesionej do organów sądowych przez osobę wymienioną w tym artykule i jej pracodawcę.</w:t>
      </w:r>
    </w:p>
    <w:p w14:paraId="720D61E9" w14:textId="7A80E9D5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art. 8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(prawo do poszanowania życia prywatnego) oraz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>naruszenia art. 10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Konwencji. Stwierdził w szczególności, że nakaz przeszukania i zatrzymania rzeczy nie był odpowiednio proporcjonalny do uprawnionego realizowanego celu, a mianowicie weryfikacji tożsamości dziennikarza, który napisał artykuł oraz że jego zakres nie był wystarczająco ograniczony, aby zapobiec możliwemu nadużyciu </w:t>
      </w:r>
      <w:r w:rsidR="00E519FF" w:rsidRPr="00E55367">
        <w:rPr>
          <w:rFonts w:ascii="Verdana" w:hAnsi="Verdana"/>
          <w:color w:val="0076BA"/>
          <w:sz w:val="20"/>
          <w:szCs w:val="20"/>
          <w:u w:color="0076BA"/>
        </w:rPr>
        <w:t xml:space="preserve">uprawnień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przez funkcjonariuszy organu ścigania,</w:t>
      </w:r>
      <w:r w:rsidR="00121AB2" w:rsidRPr="00E55367">
        <w:rPr>
          <w:rFonts w:ascii="Verdana" w:hAnsi="Verdana"/>
          <w:color w:val="0076BA"/>
          <w:sz w:val="20"/>
          <w:szCs w:val="20"/>
          <w:u w:color="0076BA"/>
        </w:rPr>
        <w:t xml:space="preserve"> na przykład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 </w:t>
      </w:r>
      <w:r w:rsidR="00F40C63" w:rsidRPr="00E55367">
        <w:rPr>
          <w:rFonts w:ascii="Verdana" w:hAnsi="Verdana"/>
          <w:color w:val="0076BA"/>
          <w:sz w:val="20"/>
          <w:szCs w:val="20"/>
          <w:u w:color="0076BA"/>
        </w:rPr>
        <w:t>postaci usiłowania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zidentyfikowania dziennikarskich źródeł informacji.</w:t>
      </w:r>
    </w:p>
    <w:p w14:paraId="60F7608B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Nagla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przeciwko Łotwie</w:t>
      </w:r>
    </w:p>
    <w:p w14:paraId="0D3F9335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16 lipca 2013 r.</w:t>
      </w:r>
    </w:p>
    <w:p w14:paraId="5AFF2282" w14:textId="15CBFD3B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Sprawa dotyczyła przeszukania domu znanej dziennikarki telewizyjnej oraz zatrzymania </w:t>
      </w:r>
      <w:r w:rsidR="00A20859" w:rsidRPr="00E55367">
        <w:rPr>
          <w:rFonts w:ascii="Verdana" w:hAnsi="Verdana"/>
          <w:sz w:val="20"/>
          <w:szCs w:val="20"/>
        </w:rPr>
        <w:t>przez policję</w:t>
      </w:r>
      <w:r w:rsidR="00A20859" w:rsidRPr="00E55367" w:rsidDel="00A20859">
        <w:rPr>
          <w:rFonts w:ascii="Verdana" w:hAnsi="Verdana"/>
          <w:sz w:val="20"/>
          <w:szCs w:val="20"/>
        </w:rPr>
        <w:t xml:space="preserve"> </w:t>
      </w:r>
      <w:r w:rsidR="00A20859" w:rsidRPr="00E55367">
        <w:rPr>
          <w:rFonts w:ascii="Verdana" w:hAnsi="Verdana"/>
          <w:sz w:val="20"/>
          <w:szCs w:val="20"/>
        </w:rPr>
        <w:t>nośników</w:t>
      </w:r>
      <w:r w:rsidRPr="00E55367">
        <w:rPr>
          <w:rFonts w:ascii="Verdana" w:hAnsi="Verdana"/>
          <w:sz w:val="20"/>
          <w:szCs w:val="20"/>
        </w:rPr>
        <w:t xml:space="preserve"> danych. Dom skarżącej przeszukano po audycji, którą </w:t>
      </w:r>
      <w:r w:rsidR="00A20859" w:rsidRPr="00E55367">
        <w:rPr>
          <w:rFonts w:ascii="Verdana" w:hAnsi="Verdana"/>
          <w:sz w:val="20"/>
          <w:szCs w:val="20"/>
        </w:rPr>
        <w:t xml:space="preserve">wyemitowała </w:t>
      </w:r>
      <w:r w:rsidRPr="00E55367">
        <w:rPr>
          <w:rFonts w:ascii="Verdana" w:hAnsi="Verdana"/>
          <w:sz w:val="20"/>
          <w:szCs w:val="20"/>
        </w:rPr>
        <w:t>w lutym 2010 r., informując opinię publiczną o wycieku informacji z bazy danych „State Revenue Service”.</w:t>
      </w:r>
    </w:p>
    <w:p w14:paraId="08DBAF4B" w14:textId="7F1CA5E4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naruszenia art. 10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Konwencji. Podkreślił, że praw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>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dziennikarza do nieujawniania swoich źródeł nie moż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e być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uznawa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>ne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za przywilej, który jest uzależniony od ich legalności bądź nielegalności, 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ale raczej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za integralną część prawa do informacji, które należy traktować z najwyższą ostrożnością. W 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>niniejszej sprawie organy śledcze nie zachowały właściwej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równowagi 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>po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między interesem postępowania przygotowawczego w zabezpieczeniu dowodów </w:t>
      </w:r>
      <w:r w:rsidR="00E519FF" w:rsidRPr="00E55367">
        <w:rPr>
          <w:rFonts w:ascii="Verdana" w:hAnsi="Verdana"/>
          <w:color w:val="0076BA"/>
          <w:sz w:val="20"/>
          <w:szCs w:val="20"/>
          <w:u w:color="0076BA"/>
        </w:rPr>
        <w:t>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interesem publicznym w zapewnieniu ochrony </w:t>
      </w:r>
      <w:r w:rsidR="000F627C" w:rsidRPr="00E55367">
        <w:rPr>
          <w:rFonts w:ascii="Verdana" w:hAnsi="Verdana"/>
          <w:color w:val="0076BA"/>
          <w:sz w:val="20"/>
          <w:szCs w:val="20"/>
          <w:u w:color="0076BA"/>
        </w:rPr>
        <w:t xml:space="preserve">dziennikarskiej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wolności wyrażania opinii.</w:t>
      </w:r>
    </w:p>
    <w:p w14:paraId="3812CBE5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</w:pP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Stichting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</w:t>
      </w:r>
      <w:proofErr w:type="spellStart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>Ostade</w:t>
      </w:r>
      <w:proofErr w:type="spellEnd"/>
      <w:r w:rsidRPr="00E55367">
        <w:rPr>
          <w:rFonts w:ascii="Verdana" w:hAnsi="Verdana"/>
          <w:b/>
          <w:bCs/>
          <w:color w:val="0076BA"/>
          <w:sz w:val="20"/>
          <w:szCs w:val="20"/>
          <w:u w:val="single" w:color="0076BA"/>
        </w:rPr>
        <w:t xml:space="preserve"> Blade przeciwko Holandii</w:t>
      </w:r>
    </w:p>
    <w:p w14:paraId="4424DF8A" w14:textId="42BFB0B3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27 maja 2014 r. (decyzja </w:t>
      </w:r>
      <w:r w:rsidR="000F627C" w:rsidRPr="00E55367">
        <w:rPr>
          <w:rFonts w:ascii="Verdana" w:hAnsi="Verdana"/>
          <w:color w:val="929292"/>
          <w:sz w:val="20"/>
          <w:szCs w:val="20"/>
          <w:u w:color="929292"/>
        </w:rPr>
        <w:t>w przedmiocie</w:t>
      </w:r>
      <w:r w:rsidRPr="00E55367">
        <w:rPr>
          <w:rFonts w:ascii="Verdana" w:hAnsi="Verdana"/>
          <w:color w:val="929292"/>
          <w:sz w:val="20"/>
          <w:szCs w:val="20"/>
          <w:u w:color="929292"/>
        </w:rPr>
        <w:t xml:space="preserve"> dopuszczalności)</w:t>
      </w:r>
    </w:p>
    <w:p w14:paraId="55A098AF" w14:textId="1485CABE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>Sprawa</w:t>
      </w:r>
      <w:r w:rsidR="00E519FF" w:rsidRPr="00E55367">
        <w:rPr>
          <w:rFonts w:ascii="Verdana" w:hAnsi="Verdana"/>
          <w:sz w:val="20"/>
          <w:szCs w:val="20"/>
        </w:rPr>
        <w:t xml:space="preserve"> </w:t>
      </w:r>
      <w:r w:rsidRPr="00E55367">
        <w:rPr>
          <w:rFonts w:ascii="Verdana" w:hAnsi="Verdana"/>
          <w:sz w:val="20"/>
          <w:szCs w:val="20"/>
        </w:rPr>
        <w:t xml:space="preserve">dotyczyła przeszukania pomieszczeń czasopisma po opublikowaniu komunikatu prasowego </w:t>
      </w:r>
      <w:r w:rsidR="00832AC3" w:rsidRPr="00E55367">
        <w:rPr>
          <w:rFonts w:ascii="Verdana" w:hAnsi="Verdana"/>
          <w:sz w:val="20"/>
          <w:szCs w:val="20"/>
        </w:rPr>
        <w:t>powiadamiającego</w:t>
      </w:r>
      <w:r w:rsidRPr="00E55367">
        <w:rPr>
          <w:rFonts w:ascii="Verdana" w:hAnsi="Verdana"/>
          <w:sz w:val="20"/>
          <w:szCs w:val="20"/>
        </w:rPr>
        <w:t xml:space="preserve"> o otrzymaniu pisma od organizacji, która twierdziła, że jest odpowiedzialna za serię zamachów bombowych w Arnhem. Wydawca czasopisma </w:t>
      </w:r>
      <w:r w:rsidR="00832AC3" w:rsidRPr="00E55367">
        <w:rPr>
          <w:rFonts w:ascii="Verdana" w:hAnsi="Verdana"/>
          <w:sz w:val="20"/>
          <w:szCs w:val="20"/>
        </w:rPr>
        <w:t>zarzucił w szczególności</w:t>
      </w:r>
      <w:r w:rsidRPr="00E55367">
        <w:rPr>
          <w:rFonts w:ascii="Verdana" w:hAnsi="Verdana"/>
          <w:sz w:val="20"/>
          <w:szCs w:val="20"/>
        </w:rPr>
        <w:t>, ż</w:t>
      </w:r>
      <w:r w:rsidR="00832AC3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 przeszukanie stanowiło naruszenie jego prawa do ochrony dziennikarskich źródeł informacji.</w:t>
      </w:r>
    </w:p>
    <w:p w14:paraId="0D0E4C77" w14:textId="16324B5F" w:rsidR="00B13EDC" w:rsidRPr="00E55367" w:rsidRDefault="00797BF0">
      <w:pPr>
        <w:pStyle w:val="TreA"/>
        <w:jc w:val="both"/>
        <w:rPr>
          <w:rFonts w:ascii="Verdana" w:hAnsi="Verdana"/>
          <w:color w:val="0076BA"/>
          <w:sz w:val="20"/>
          <w:szCs w:val="20"/>
          <w:u w:color="0076BA"/>
        </w:rPr>
      </w:pP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Trybunał uznał skargę za </w:t>
      </w:r>
      <w:r w:rsidRPr="00E55367">
        <w:rPr>
          <w:rFonts w:ascii="Verdana" w:hAnsi="Verdana"/>
          <w:b/>
          <w:bCs/>
          <w:color w:val="0076BA"/>
          <w:sz w:val="20"/>
          <w:szCs w:val="20"/>
          <w:u w:color="0076BA"/>
        </w:rPr>
        <w:t xml:space="preserve">niedopuszczalną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jako </w:t>
      </w:r>
      <w:r w:rsidR="00832AC3" w:rsidRPr="00E55367">
        <w:rPr>
          <w:rFonts w:ascii="Verdana" w:hAnsi="Verdana"/>
          <w:color w:val="0076BA"/>
          <w:sz w:val="20"/>
          <w:szCs w:val="20"/>
          <w:u w:color="0076BA"/>
        </w:rPr>
        <w:t>oczywiście bezzasadną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. </w:t>
      </w:r>
      <w:r w:rsidR="00832AC3" w:rsidRPr="00E55367">
        <w:rPr>
          <w:rFonts w:ascii="Verdana" w:hAnsi="Verdana"/>
          <w:color w:val="0076BA"/>
          <w:sz w:val="20"/>
          <w:szCs w:val="20"/>
          <w:u w:color="0076BA"/>
        </w:rPr>
        <w:t>S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twierdził, że w </w:t>
      </w:r>
      <w:r w:rsidR="00832AC3" w:rsidRPr="00E55367">
        <w:rPr>
          <w:rFonts w:ascii="Verdana" w:hAnsi="Verdana"/>
          <w:color w:val="0076BA"/>
          <w:sz w:val="20"/>
          <w:szCs w:val="20"/>
          <w:u w:color="0076BA"/>
        </w:rPr>
        <w:t xml:space="preserve">niniejszej 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sprawie „ochrona źródła” nie </w:t>
      </w:r>
      <w:r w:rsidR="00960F06" w:rsidRPr="00E55367">
        <w:rPr>
          <w:rFonts w:ascii="Verdana" w:hAnsi="Verdana"/>
          <w:color w:val="0076BA"/>
          <w:sz w:val="20"/>
          <w:szCs w:val="20"/>
          <w:u w:color="0076BA"/>
        </w:rPr>
        <w:t>była przedmiotem sporu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, ponieważ informator czasopisma, który </w:t>
      </w:r>
      <w:r w:rsidR="00960F06" w:rsidRPr="00E55367">
        <w:rPr>
          <w:rFonts w:ascii="Verdana" w:hAnsi="Verdana"/>
          <w:color w:val="0076BA"/>
          <w:sz w:val="20"/>
          <w:szCs w:val="20"/>
          <w:u w:color="0076BA"/>
        </w:rPr>
        <w:t>dążył do nagłośnienia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ataków bombowych pod przykrywką prasy, nie był uprawniony do takiej samej ochrony, jaką zwykle </w:t>
      </w:r>
      <w:r w:rsidR="00960F06" w:rsidRPr="00E55367">
        <w:rPr>
          <w:rFonts w:ascii="Verdana" w:hAnsi="Verdana"/>
          <w:color w:val="0076BA"/>
          <w:sz w:val="20"/>
          <w:szCs w:val="20"/>
          <w:u w:color="0076BA"/>
        </w:rPr>
        <w:t>przynależy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„źródłom”. Przeszukani</w:t>
      </w:r>
      <w:r w:rsidR="00960F06" w:rsidRPr="00E55367">
        <w:rPr>
          <w:rFonts w:ascii="Verdana" w:hAnsi="Verdana"/>
          <w:color w:val="0076BA"/>
          <w:sz w:val="20"/>
          <w:szCs w:val="20"/>
          <w:u w:color="0076BA"/>
        </w:rPr>
        <w:t>e, które zostało przeprowadzone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w celu </w:t>
      </w:r>
      <w:r w:rsidR="009B3877" w:rsidRPr="00E55367">
        <w:rPr>
          <w:rFonts w:ascii="Verdana" w:hAnsi="Verdana"/>
          <w:color w:val="0076BA"/>
          <w:sz w:val="20"/>
          <w:szCs w:val="20"/>
          <w:u w:color="0076BA"/>
        </w:rPr>
        <w:t>zbadania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poważnego przestępstwa i</w:t>
      </w:r>
      <w:r w:rsidR="00283B94" w:rsidRPr="00E55367">
        <w:rPr>
          <w:rFonts w:ascii="Verdana" w:hAnsi="Verdana"/>
          <w:color w:val="0076BA"/>
          <w:sz w:val="20"/>
          <w:szCs w:val="20"/>
          <w:u w:color="0076BA"/>
        </w:rPr>
        <w:t> 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>zapobieżenia dalszym atakom, był</w:t>
      </w:r>
      <w:r w:rsidR="009B3877" w:rsidRPr="00E55367">
        <w:rPr>
          <w:rFonts w:ascii="Verdana" w:hAnsi="Verdana"/>
          <w:color w:val="0076BA"/>
          <w:sz w:val="20"/>
          <w:szCs w:val="20"/>
          <w:u w:color="0076BA"/>
        </w:rPr>
        <w:t>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zatem zgodne z wymogami określonymi w art. 10 Konwencji, a w szczególności był</w:t>
      </w:r>
      <w:r w:rsidR="00A029AE" w:rsidRPr="00E55367">
        <w:rPr>
          <w:rFonts w:ascii="Verdana" w:hAnsi="Verdana"/>
          <w:color w:val="0076BA"/>
          <w:sz w:val="20"/>
          <w:szCs w:val="20"/>
          <w:u w:color="0076BA"/>
        </w:rPr>
        <w:t>o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niezbędne w społeczeństwie demokratycznym d</w:t>
      </w:r>
      <w:r w:rsidR="00A029AE" w:rsidRPr="00E55367">
        <w:rPr>
          <w:rFonts w:ascii="Verdana" w:hAnsi="Verdana"/>
          <w:color w:val="0076BA"/>
          <w:sz w:val="20"/>
          <w:szCs w:val="20"/>
          <w:u w:color="0076BA"/>
        </w:rPr>
        <w:t>la</w:t>
      </w:r>
      <w:r w:rsidRPr="00E55367">
        <w:rPr>
          <w:rFonts w:ascii="Verdana" w:hAnsi="Verdana"/>
          <w:color w:val="0076BA"/>
          <w:sz w:val="20"/>
          <w:szCs w:val="20"/>
          <w:u w:color="0076BA"/>
        </w:rPr>
        <w:t xml:space="preserve"> zapobiegania przestępczości.</w:t>
      </w:r>
    </w:p>
    <w:p w14:paraId="01AACF93" w14:textId="77777777" w:rsidR="00B13EDC" w:rsidRPr="00E55367" w:rsidRDefault="00797BF0" w:rsidP="00E55367">
      <w:pPr>
        <w:pStyle w:val="TreA"/>
        <w:spacing w:before="120"/>
        <w:rPr>
          <w:rFonts w:ascii="Verdana" w:hAnsi="Verdana"/>
          <w:b/>
          <w:bCs/>
          <w:color w:val="004D80"/>
          <w:sz w:val="20"/>
          <w:szCs w:val="20"/>
          <w:u w:val="single" w:color="004D80"/>
        </w:rPr>
      </w:pPr>
      <w:proofErr w:type="spellStart"/>
      <w:r w:rsidRPr="00E55367">
        <w:rPr>
          <w:rFonts w:ascii="Verdana" w:hAnsi="Verdana"/>
          <w:b/>
          <w:bCs/>
          <w:color w:val="0082CC"/>
          <w:sz w:val="20"/>
          <w:szCs w:val="20"/>
          <w:u w:val="single" w:color="004D80"/>
        </w:rPr>
        <w:t>Görmüş</w:t>
      </w:r>
      <w:proofErr w:type="spellEnd"/>
      <w:r w:rsidRPr="00E55367">
        <w:rPr>
          <w:rFonts w:ascii="Verdana" w:hAnsi="Verdana"/>
          <w:b/>
          <w:bCs/>
          <w:color w:val="0082CC"/>
          <w:sz w:val="20"/>
          <w:szCs w:val="20"/>
          <w:u w:val="single" w:color="004D80"/>
        </w:rPr>
        <w:t xml:space="preserve"> i Inni przeciwko Turcji</w:t>
      </w:r>
    </w:p>
    <w:p w14:paraId="10E9E796" w14:textId="77777777" w:rsidR="00B13EDC" w:rsidRPr="00E55367" w:rsidRDefault="00797BF0">
      <w:pPr>
        <w:pStyle w:val="TreA"/>
        <w:rPr>
          <w:rFonts w:ascii="Verdana" w:hAnsi="Verdana"/>
          <w:color w:val="929292"/>
          <w:sz w:val="20"/>
          <w:szCs w:val="20"/>
          <w:u w:color="929292"/>
        </w:rPr>
      </w:pPr>
      <w:r w:rsidRPr="00E55367">
        <w:rPr>
          <w:rFonts w:ascii="Verdana" w:hAnsi="Verdana"/>
          <w:color w:val="929292"/>
          <w:sz w:val="20"/>
          <w:szCs w:val="20"/>
          <w:u w:color="929292"/>
        </w:rPr>
        <w:t>19 stycznia 2016 r.</w:t>
      </w:r>
    </w:p>
    <w:p w14:paraId="78662D46" w14:textId="20C51C6E" w:rsidR="00B13EDC" w:rsidRPr="00E55367" w:rsidRDefault="00797BF0">
      <w:pPr>
        <w:pStyle w:val="TreA"/>
        <w:jc w:val="both"/>
        <w:rPr>
          <w:rFonts w:ascii="Verdana" w:hAnsi="Verdana"/>
          <w:sz w:val="20"/>
          <w:szCs w:val="20"/>
        </w:rPr>
      </w:pPr>
      <w:r w:rsidRPr="00E55367">
        <w:rPr>
          <w:rFonts w:ascii="Verdana" w:hAnsi="Verdana"/>
          <w:sz w:val="20"/>
          <w:szCs w:val="20"/>
        </w:rPr>
        <w:t xml:space="preserve">W kwietniu 2007r. tygodnik „Nokta” opublikował artykuł, </w:t>
      </w:r>
      <w:r w:rsidR="00C16725" w:rsidRPr="00E55367">
        <w:rPr>
          <w:rFonts w:ascii="Verdana" w:hAnsi="Verdana"/>
          <w:sz w:val="20"/>
          <w:szCs w:val="20"/>
        </w:rPr>
        <w:t xml:space="preserve">który był oparty na </w:t>
      </w:r>
      <w:r w:rsidR="00E519FF" w:rsidRPr="00E55367">
        <w:rPr>
          <w:rFonts w:ascii="Verdana" w:hAnsi="Verdana"/>
          <w:sz w:val="20"/>
          <w:szCs w:val="20"/>
        </w:rPr>
        <w:t>dokumentach</w:t>
      </w:r>
      <w:r w:rsidR="00C16725" w:rsidRPr="00E55367">
        <w:rPr>
          <w:rFonts w:ascii="Verdana" w:hAnsi="Verdana"/>
          <w:sz w:val="20"/>
          <w:szCs w:val="20"/>
        </w:rPr>
        <w:t xml:space="preserve"> zaklasyfikowanych przez</w:t>
      </w:r>
      <w:r w:rsidRPr="00E55367">
        <w:rPr>
          <w:rFonts w:ascii="Verdana" w:hAnsi="Verdana"/>
          <w:sz w:val="20"/>
          <w:szCs w:val="20"/>
        </w:rPr>
        <w:t xml:space="preserve"> szef sztabu sił zbrojnych </w:t>
      </w:r>
      <w:r w:rsidR="00C16725" w:rsidRPr="00E55367">
        <w:rPr>
          <w:rFonts w:ascii="Verdana" w:hAnsi="Verdana"/>
          <w:sz w:val="20"/>
          <w:szCs w:val="20"/>
        </w:rPr>
        <w:t>jako</w:t>
      </w:r>
      <w:r w:rsidRPr="00E55367">
        <w:rPr>
          <w:rFonts w:ascii="Verdana" w:hAnsi="Verdana"/>
          <w:sz w:val="20"/>
          <w:szCs w:val="20"/>
        </w:rPr>
        <w:t xml:space="preserve"> „</w:t>
      </w:r>
      <w:r w:rsidR="00C16725" w:rsidRPr="00E55367">
        <w:rPr>
          <w:rFonts w:ascii="Verdana" w:hAnsi="Verdana"/>
          <w:sz w:val="20"/>
          <w:szCs w:val="20"/>
        </w:rPr>
        <w:t>poufne</w:t>
      </w:r>
      <w:r w:rsidRPr="00E55367">
        <w:rPr>
          <w:rFonts w:ascii="Verdana" w:hAnsi="Verdana"/>
          <w:sz w:val="20"/>
          <w:szCs w:val="20"/>
        </w:rPr>
        <w:t>”. Skarżący, którzy w danym czasie pełnili funkcj</w:t>
      </w:r>
      <w:r w:rsidR="00E519FF" w:rsidRPr="00E55367">
        <w:rPr>
          <w:rFonts w:ascii="Verdana" w:hAnsi="Verdana"/>
          <w:sz w:val="20"/>
          <w:szCs w:val="20"/>
        </w:rPr>
        <w:t>e</w:t>
      </w:r>
      <w:r w:rsidRPr="00E55367">
        <w:rPr>
          <w:rFonts w:ascii="Verdana" w:hAnsi="Verdana"/>
          <w:sz w:val="20"/>
          <w:szCs w:val="20"/>
        </w:rPr>
        <w:t xml:space="preserve"> odpowiednio dyrektora wydawniczego i redaktorów naczelnych tygodnika, a także dziennikarze śledczy, którzy pracowali przy publikacji podnieśli, że </w:t>
      </w:r>
      <w:r w:rsidR="00C16725" w:rsidRPr="00E55367">
        <w:rPr>
          <w:rFonts w:ascii="Verdana" w:hAnsi="Verdana"/>
          <w:sz w:val="20"/>
          <w:szCs w:val="20"/>
        </w:rPr>
        <w:t xml:space="preserve">środki </w:t>
      </w:r>
      <w:r w:rsidR="00E519FF" w:rsidRPr="00E55367">
        <w:rPr>
          <w:rFonts w:ascii="Verdana" w:hAnsi="Verdana"/>
          <w:sz w:val="20"/>
          <w:szCs w:val="20"/>
        </w:rPr>
        <w:t>zastosowane</w:t>
      </w:r>
      <w:r w:rsidRPr="00E55367">
        <w:rPr>
          <w:rFonts w:ascii="Verdana" w:hAnsi="Verdana"/>
          <w:sz w:val="20"/>
          <w:szCs w:val="20"/>
        </w:rPr>
        <w:t xml:space="preserve"> przez właściwe organy, </w:t>
      </w:r>
      <w:r w:rsidR="00C16725" w:rsidRPr="00E55367">
        <w:rPr>
          <w:rFonts w:ascii="Verdana" w:hAnsi="Verdana"/>
          <w:sz w:val="20"/>
          <w:szCs w:val="20"/>
        </w:rPr>
        <w:t>mianowicie</w:t>
      </w:r>
      <w:r w:rsidRPr="00E55367">
        <w:rPr>
          <w:rFonts w:ascii="Verdana" w:hAnsi="Verdana"/>
          <w:sz w:val="20"/>
          <w:szCs w:val="20"/>
        </w:rPr>
        <w:t xml:space="preserve"> przeszukanie ich pomieszczeń służbowych i zatrzymanie dokumentów, miały na celu identyfikację </w:t>
      </w:r>
      <w:r w:rsidR="00FC5DA0" w:rsidRPr="00E55367">
        <w:rPr>
          <w:rFonts w:ascii="Verdana" w:hAnsi="Verdana"/>
          <w:sz w:val="20"/>
          <w:szCs w:val="20"/>
        </w:rPr>
        <w:t xml:space="preserve">ich </w:t>
      </w:r>
      <w:r w:rsidRPr="00E55367">
        <w:rPr>
          <w:rFonts w:ascii="Verdana" w:hAnsi="Verdana"/>
          <w:sz w:val="20"/>
          <w:szCs w:val="20"/>
        </w:rPr>
        <w:t>źródeł informacji</w:t>
      </w:r>
      <w:r w:rsidR="00FC5DA0" w:rsidRPr="00E55367">
        <w:rPr>
          <w:rFonts w:ascii="Verdana" w:hAnsi="Verdana"/>
          <w:sz w:val="20"/>
          <w:szCs w:val="20"/>
        </w:rPr>
        <w:t xml:space="preserve"> i</w:t>
      </w:r>
      <w:r w:rsidRPr="00E55367">
        <w:rPr>
          <w:rFonts w:ascii="Verdana" w:hAnsi="Verdana"/>
          <w:sz w:val="20"/>
          <w:szCs w:val="20"/>
        </w:rPr>
        <w:t xml:space="preserve"> skutkowały naruszeniem prawa skarżących do wolności wyrażania opinii, </w:t>
      </w:r>
      <w:r w:rsidR="00FC5DA0" w:rsidRPr="00E55367">
        <w:rPr>
          <w:rFonts w:ascii="Verdana" w:hAnsi="Verdana"/>
          <w:sz w:val="20"/>
          <w:szCs w:val="20"/>
        </w:rPr>
        <w:t>zwłaszcza</w:t>
      </w:r>
      <w:r w:rsidRPr="00E55367">
        <w:rPr>
          <w:rFonts w:ascii="Verdana" w:hAnsi="Verdana"/>
          <w:sz w:val="20"/>
          <w:szCs w:val="20"/>
        </w:rPr>
        <w:t xml:space="preserve"> ich prawa do </w:t>
      </w:r>
      <w:r w:rsidR="00FC5DA0" w:rsidRPr="00E55367">
        <w:rPr>
          <w:rFonts w:ascii="Verdana" w:hAnsi="Verdana"/>
          <w:sz w:val="20"/>
          <w:szCs w:val="20"/>
        </w:rPr>
        <w:t xml:space="preserve">otrzymywania i </w:t>
      </w:r>
      <w:r w:rsidRPr="00E55367">
        <w:rPr>
          <w:rFonts w:ascii="Verdana" w:hAnsi="Verdana"/>
          <w:sz w:val="20"/>
          <w:szCs w:val="20"/>
        </w:rPr>
        <w:t>przekazywania informacji.</w:t>
      </w:r>
    </w:p>
    <w:p w14:paraId="02E3C7BA" w14:textId="12E399FA" w:rsidR="00B13EDC" w:rsidRPr="00E55367" w:rsidRDefault="00797BF0">
      <w:pPr>
        <w:pStyle w:val="TreA"/>
        <w:jc w:val="both"/>
        <w:rPr>
          <w:rFonts w:ascii="Verdana" w:hAnsi="Verdana"/>
          <w:color w:val="0070C0"/>
          <w:sz w:val="20"/>
          <w:szCs w:val="20"/>
          <w:u w:color="004D80"/>
        </w:rPr>
      </w:pP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Trybunał uznał, że doszło do </w:t>
      </w:r>
      <w:r w:rsidRPr="00E55367">
        <w:rPr>
          <w:rFonts w:ascii="Verdana" w:hAnsi="Verdana"/>
          <w:b/>
          <w:bCs/>
          <w:color w:val="0070C0"/>
          <w:sz w:val="20"/>
          <w:szCs w:val="20"/>
          <w:u w:color="004D80"/>
        </w:rPr>
        <w:t>naruszenia art. 10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Konwencji. Stwierdził w szczególności, że artykuł opublikowany przez tygodnik „Nokta” na podstawie „poufnych” dokumentów wojskowyc</w:t>
      </w:r>
      <w:bookmarkStart w:id="0" w:name="_GoBack"/>
      <w:bookmarkEnd w:id="0"/>
      <w:r w:rsidRPr="00E55367">
        <w:rPr>
          <w:rFonts w:ascii="Verdana" w:hAnsi="Verdana"/>
          <w:color w:val="0070C0"/>
          <w:sz w:val="20"/>
          <w:szCs w:val="20"/>
          <w:u w:color="004D80"/>
        </w:rPr>
        <w:t>h</w:t>
      </w:r>
      <w:r w:rsidR="00FC5DA0" w:rsidRPr="00E55367">
        <w:rPr>
          <w:rFonts w:ascii="Verdana" w:hAnsi="Verdana"/>
          <w:color w:val="0070C0"/>
          <w:sz w:val="20"/>
          <w:szCs w:val="20"/>
          <w:u w:color="004D80"/>
        </w:rPr>
        <w:t>,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dotyczący systemu klasyfikacji mediów </w:t>
      </w:r>
      <w:r w:rsidR="00FC5DA0" w:rsidRPr="00E55367">
        <w:rPr>
          <w:rFonts w:ascii="Verdana" w:hAnsi="Verdana"/>
          <w:color w:val="0070C0"/>
          <w:sz w:val="20"/>
          <w:szCs w:val="20"/>
          <w:u w:color="004D80"/>
        </w:rPr>
        <w:t>na podstawie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tego, czy są one „korzystne”, czy „niekorzystne” dla sił zbrojnych, mógł wnieść wkład do debaty publicznej. Podkreślając znaczenie wolności wyrażania opinii w odniesieniu do </w:t>
      </w:r>
      <w:r w:rsidR="00FC5DA0" w:rsidRPr="00E55367">
        <w:rPr>
          <w:rFonts w:ascii="Verdana" w:hAnsi="Verdana"/>
          <w:color w:val="0070C0"/>
          <w:sz w:val="20"/>
          <w:szCs w:val="20"/>
          <w:u w:color="004D80"/>
        </w:rPr>
        <w:t>kwestii będących w zainteresowaniu publicznym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 xml:space="preserve">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oraz potrzebę ochrony dziennikarskich źródeł informacji – </w:t>
      </w:r>
      <w:r w:rsidR="00B536BC" w:rsidRPr="00E55367">
        <w:rPr>
          <w:rFonts w:ascii="Verdana" w:hAnsi="Verdana"/>
          <w:color w:val="0070C0"/>
          <w:sz w:val="20"/>
          <w:szCs w:val="20"/>
          <w:u w:color="004D80"/>
        </w:rPr>
        <w:t>również wówczas,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gdy źródła stanowili funkcjonariusze publiczni 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 xml:space="preserve">zwracający uwagę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na niezadowalające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lastRenderedPageBreak/>
        <w:t xml:space="preserve">praktyki w ich miejscu pracy – Trybunał orzekł, że ingerencja w prawo skarżących do wolności wyrażania opinii, 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>zwłaszcza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ich prawo do przekazywania informacji, nie był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>a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proporcjonaln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>a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do uprawnionego realizowanego celu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 xml:space="preserve">,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nie 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 xml:space="preserve">zaspokajała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pilnej potrzeby społecznej, nie była </w:t>
      </w:r>
      <w:r w:rsidR="001118E9" w:rsidRPr="00E55367">
        <w:rPr>
          <w:rFonts w:ascii="Verdana" w:hAnsi="Verdana"/>
          <w:color w:val="0070C0"/>
          <w:sz w:val="20"/>
          <w:szCs w:val="20"/>
          <w:u w:color="004D80"/>
        </w:rPr>
        <w:t xml:space="preserve">zatem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niezbędna w społeczeństwie demokratycznym; ingerencja polegała na zatrzymaniu, </w:t>
      </w:r>
      <w:r w:rsidR="00AD1EE6" w:rsidRPr="00E55367">
        <w:rPr>
          <w:rFonts w:ascii="Verdana" w:hAnsi="Verdana"/>
          <w:color w:val="0070C0"/>
          <w:sz w:val="20"/>
          <w:szCs w:val="20"/>
          <w:u w:color="004D80"/>
        </w:rPr>
        <w:t xml:space="preserve">wyszukaniu 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>i przechowywaniu przez władze wszystkich danych komputerowych wydawnictwa, nawet tych, które nie były związane z artykułem, w celu zidentyfikowania informatorów z sektora publicznego. Wreszcie Trybunał uznał, że środek ten może zniechęcić potencjalne źródła</w:t>
      </w:r>
      <w:r w:rsidR="00AD1EE6" w:rsidRPr="00E55367">
        <w:rPr>
          <w:rFonts w:ascii="Verdana" w:hAnsi="Verdana"/>
          <w:color w:val="0070C0"/>
          <w:sz w:val="20"/>
          <w:szCs w:val="20"/>
          <w:u w:color="004D80"/>
        </w:rPr>
        <w:t xml:space="preserve"> informacji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do udzielania prasie pomocy w informowaniu opinii publicznej w</w:t>
      </w:r>
      <w:r w:rsidR="00283B94" w:rsidRPr="00E55367">
        <w:rPr>
          <w:rFonts w:ascii="Verdana" w:hAnsi="Verdana"/>
          <w:color w:val="0070C0"/>
          <w:sz w:val="20"/>
          <w:szCs w:val="20"/>
          <w:u w:color="004D80"/>
        </w:rPr>
        <w:t> 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kwestiach </w:t>
      </w:r>
      <w:r w:rsidR="00AD1EE6" w:rsidRPr="00E55367">
        <w:rPr>
          <w:rFonts w:ascii="Verdana" w:hAnsi="Verdana"/>
          <w:color w:val="0070C0"/>
          <w:sz w:val="20"/>
          <w:szCs w:val="20"/>
          <w:u w:color="004D80"/>
        </w:rPr>
        <w:t>pozostających w ogólnym zainteresowaniu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, </w:t>
      </w:r>
      <w:r w:rsidR="00B536BC" w:rsidRPr="00E55367">
        <w:rPr>
          <w:rFonts w:ascii="Verdana" w:hAnsi="Verdana"/>
          <w:color w:val="0070C0"/>
          <w:sz w:val="20"/>
          <w:szCs w:val="20"/>
          <w:u w:color="004D80"/>
        </w:rPr>
        <w:t>również wówczas,</w:t>
      </w:r>
      <w:r w:rsidRPr="00E55367">
        <w:rPr>
          <w:rFonts w:ascii="Verdana" w:hAnsi="Verdana"/>
          <w:color w:val="0070C0"/>
          <w:sz w:val="20"/>
          <w:szCs w:val="20"/>
          <w:u w:color="004D80"/>
        </w:rPr>
        <w:t xml:space="preserve"> gdy dotyczą one sił zbrojnych.</w:t>
      </w:r>
    </w:p>
    <w:p w14:paraId="7771D042" w14:textId="77777777" w:rsidR="00B13EDC" w:rsidRPr="002A2574" w:rsidRDefault="00B13EDC">
      <w:pPr>
        <w:pStyle w:val="TreA"/>
        <w:jc w:val="both"/>
        <w:rPr>
          <w:rFonts w:ascii="Verdana" w:hAnsi="Verdana"/>
          <w:color w:val="004D80"/>
          <w:u w:color="004D80"/>
        </w:rPr>
      </w:pPr>
    </w:p>
    <w:p w14:paraId="5382BB7E" w14:textId="5FF4BF28" w:rsidR="00B13EDC" w:rsidRPr="002A2574" w:rsidRDefault="00797BF0" w:rsidP="00B536BC">
      <w:pPr>
        <w:pStyle w:val="TreA"/>
        <w:jc w:val="center"/>
        <w:rPr>
          <w:rFonts w:ascii="Verdana" w:hAnsi="Verdana"/>
          <w:b/>
          <w:bCs/>
          <w:color w:val="535353"/>
          <w:sz w:val="20"/>
          <w:szCs w:val="20"/>
          <w:u w:color="004D80"/>
        </w:rPr>
      </w:pPr>
      <w:r w:rsidRPr="002A2574">
        <w:rPr>
          <w:rFonts w:ascii="Verdana" w:hAnsi="Verdana"/>
          <w:b/>
          <w:bCs/>
          <w:color w:val="535353"/>
          <w:sz w:val="20"/>
          <w:szCs w:val="20"/>
          <w:u w:color="004D80"/>
        </w:rPr>
        <w:t>Kontakt</w:t>
      </w:r>
      <w:r w:rsidR="00B536BC" w:rsidRPr="002A2574">
        <w:rPr>
          <w:rFonts w:ascii="Verdana" w:hAnsi="Verdana"/>
          <w:b/>
          <w:bCs/>
          <w:color w:val="535353"/>
          <w:sz w:val="20"/>
          <w:szCs w:val="20"/>
          <w:u w:color="004D80"/>
        </w:rPr>
        <w:t xml:space="preserve"> z mediami:</w:t>
      </w:r>
    </w:p>
    <w:p w14:paraId="595FA4B1" w14:textId="77777777" w:rsidR="00B13EDC" w:rsidRPr="002A2574" w:rsidRDefault="00797BF0">
      <w:pPr>
        <w:pStyle w:val="TreA"/>
        <w:jc w:val="center"/>
        <w:rPr>
          <w:rFonts w:ascii="Verdana" w:hAnsi="Verdana"/>
          <w:sz w:val="20"/>
          <w:szCs w:val="20"/>
        </w:rPr>
      </w:pPr>
      <w:r w:rsidRPr="002A2574">
        <w:rPr>
          <w:rFonts w:ascii="Verdana" w:hAnsi="Verdana"/>
          <w:color w:val="535353"/>
          <w:sz w:val="20"/>
          <w:szCs w:val="20"/>
          <w:u w:color="004D80"/>
        </w:rPr>
        <w:t>Tel.: +33 (0)3 90 21 42 08</w:t>
      </w:r>
    </w:p>
    <w:sectPr w:rsidR="00B13EDC" w:rsidRPr="002A2574" w:rsidSect="002A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0476F" w14:textId="77777777" w:rsidR="00106DCB" w:rsidRDefault="00106DCB">
      <w:r>
        <w:separator/>
      </w:r>
    </w:p>
  </w:endnote>
  <w:endnote w:type="continuationSeparator" w:id="0">
    <w:p w14:paraId="3030B2F1" w14:textId="77777777" w:rsidR="00106DCB" w:rsidRDefault="0010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DCD73" w14:textId="77777777" w:rsidR="00345C3B" w:rsidRDefault="00345C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ADEDA" w14:textId="77777777" w:rsidR="00B13EDC" w:rsidRDefault="00797BF0">
    <w:pPr>
      <w:pStyle w:val="NagwekistopkaA"/>
      <w:tabs>
        <w:tab w:val="clear" w:pos="9020"/>
        <w:tab w:val="center" w:pos="4819"/>
        <w:tab w:val="right" w:pos="961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55367">
      <w:rPr>
        <w:rFonts w:hint="eastAsia"/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E37C" w14:textId="77777777" w:rsidR="00345C3B" w:rsidRDefault="00345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A08D9" w14:textId="77777777" w:rsidR="00106DCB" w:rsidRDefault="00106DCB">
      <w:r>
        <w:separator/>
      </w:r>
    </w:p>
  </w:footnote>
  <w:footnote w:type="continuationSeparator" w:id="0">
    <w:p w14:paraId="2AC7284D" w14:textId="77777777" w:rsidR="00106DCB" w:rsidRDefault="00106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E16C" w14:textId="77777777" w:rsidR="00345C3B" w:rsidRDefault="00345C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5AB4" w14:textId="1605A64D" w:rsidR="002A2574" w:rsidRPr="00B536BC" w:rsidRDefault="002A2574" w:rsidP="002A2574">
    <w:pPr>
      <w:pStyle w:val="TreA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C99663" wp14:editId="26FC55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5D8A73" w14:textId="77777777" w:rsidR="002A2574" w:rsidRDefault="002A2574" w:rsidP="00DF0BAA">
                          <w:pPr>
                            <w:pStyle w:val="TreA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E0EBA15" w14:textId="77777777" w:rsidR="002A2574" w:rsidRPr="00DF0BAA" w:rsidRDefault="002A2574" w:rsidP="00DF0BAA">
                          <w:pPr>
                            <w:pStyle w:val="TreA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536BC">
                            <w:rPr>
                              <w:sz w:val="18"/>
                              <w:szCs w:val="18"/>
                            </w:rPr>
                            <w:t>Zestawienie – Ochrona dziennikarskich źródeł informacji</w:t>
                          </w:r>
                          <w:r w:rsidRPr="002A2574"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+4MgIAAGMEAAAOAAAAZHJzL2Uyb0RvYy54bWysVE1v2zAMvQ/YfxB0X+xkSZcacYqsRYYB&#10;RRsgHXpWZDk2JouCxMTOfv0o2UmDbqdhF5kUqcePR3px1zWaHZXzNZicj0cpZ8pIKGqzz/mPl/Wn&#10;OWcehSmEBqNyflKe3y0/fli0NlMTqEAXyjECMT5rbc4rRJsliZeVaoQfgVWGjCW4RiCpbp8UTrSE&#10;3uhkkqY3SQuusA6k8p5uH3ojX0b8slQSn8vSK2Q655QbxtPFcxfOZLkQ2d4JW9VySEP8QxaNqA0F&#10;vUA9CBTs4Oo/oJpaOvBQ4khCk0BZ1lLFGqiacfqumm0lrIq1UHO8vbTJ/z9Y+XTcOFYXOZ9xZkRD&#10;FG1AK4bqp0doFZuFFrXWZ+S5teSL3VfoiOrzvafLUHlXuiZ8qSZGdmr26dJg1SGT4dF8Mp+nZJJk&#10;OyuEn7w9t87jNwUNC0LOHTEYGyuOjx5717NLiGZgXWsdWdSGtTm/+TxL44OLhcC1Cb4qzsMAE0rq&#10;Uw8SdrtuqHMHxYnKdNDPirdyXVMqj8LjRjgaDkqfBh6f6Sg1UEgYJM4qcL/+dh/8iTOyctbSsOXc&#10;0DZwpr8b4vJ2PJ2G2YzKdPZlQoq7tuyuLebQ3ANN85gWy8ooBn/UZ7F00LzSVqxCTDIJIylyzvEs&#10;3mO/ALRVUq1W0Ymm0Qp8NFsrA3RoV2jzS/cqnB24QKLxCc5DKbJ3lPS+4aW3qwMSMZGv0N6+p8Rz&#10;UGiSI+PD1oVVudaj19u/YfkbAAD//wMAUEsDBBQABgAIAAAAIQB6BK3u1wAAAAUBAAAPAAAAZHJz&#10;L2Rvd25yZXYueG1sTI9BS8RADIXvgv9hiODNnbqClNrpIgvuRTy4il7TTrYt7WSGzmy3+uuNIugl&#10;5PHCy/fKzeJGNdMUe88GrlcZKOLG255bA68vD1c5qJiQLY6eycAHRdhU52clFtaf+JnmfWqVhHAs&#10;0ECXUii0jk1HDuPKB2LxDn5ymEROrbYTniTcjXqdZbfaYc/yocNA246aYX90Bp7wbZfmZWh2QzjY&#10;dxfq7c3nozGXF8v9HahES/o7hm98QYdKmGp/ZBvVaECKpJ8p3jrPRda/i65K/Z+++gIAAP//AwBQ&#10;SwECLQAUAAYACAAAACEAtoM4kv4AAADhAQAAEwAAAAAAAAAAAAAAAAAAAAAAW0NvbnRlbnRfVHlw&#10;ZXNdLnhtbFBLAQItABQABgAIAAAAIQA4/SH/1gAAAJQBAAALAAAAAAAAAAAAAAAAAC8BAABfcmVs&#10;cy8ucmVsc1BLAQItABQABgAIAAAAIQDq/T+4MgIAAGMEAAAOAAAAAAAAAAAAAAAAAC4CAABkcnMv&#10;ZTJvRG9jLnhtbFBLAQItABQABgAIAAAAIQB6BK3u1wAAAAUBAAAPAAAAAAAAAAAAAAAAAIwEAABk&#10;cnMvZG93bnJldi54bWxQSwUGAAAAAAQABADzAAAAkAUAAAAA&#10;" filled="f" stroked="f" strokeweight=".5pt">
              <v:textbox style="mso-fit-shape-to-text:t">
                <w:txbxContent>
                  <w:p w14:paraId="395D8A73" w14:textId="77777777" w:rsidR="002A2574" w:rsidRDefault="002A2574" w:rsidP="00DF0BAA">
                    <w:pPr>
                      <w:pStyle w:val="TreA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7E0EBA15" w14:textId="77777777" w:rsidR="002A2574" w:rsidRPr="00DF0BAA" w:rsidRDefault="002A2574" w:rsidP="00DF0BAA">
                    <w:pPr>
                      <w:pStyle w:val="TreA"/>
                      <w:jc w:val="right"/>
                      <w:rPr>
                        <w:sz w:val="18"/>
                        <w:szCs w:val="18"/>
                      </w:rPr>
                    </w:pPr>
                    <w:r w:rsidRPr="00B536BC">
                      <w:rPr>
                        <w:sz w:val="18"/>
                        <w:szCs w:val="18"/>
                      </w:rPr>
                      <w:t>Zestawienie – Ochrona dziennikarskich źródeł informacji</w:t>
                    </w:r>
                    <w:r w:rsidRPr="002A2574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57998A7" wp14:editId="24E1F8BD">
          <wp:extent cx="1410335" cy="368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335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1399" w14:textId="77777777" w:rsidR="00B13EDC" w:rsidRDefault="00B13EDC">
    <w:pPr>
      <w:pStyle w:val="Nagwekistop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3245" w14:textId="77777777" w:rsidR="002A2574" w:rsidRDefault="002A2574">
    <w:pPr>
      <w:pStyle w:val="Nagwek"/>
    </w:pPr>
  </w:p>
  <w:p w14:paraId="5D5435BD" w14:textId="77777777" w:rsidR="002A2574" w:rsidRDefault="002A2574">
    <w:pPr>
      <w:pStyle w:val="Nagwek"/>
    </w:pPr>
  </w:p>
  <w:p w14:paraId="029E881A" w14:textId="77777777" w:rsidR="002A2574" w:rsidRDefault="002A2574">
    <w:pPr>
      <w:pStyle w:val="Nagwek"/>
    </w:pPr>
  </w:p>
  <w:p w14:paraId="16D80B44" w14:textId="77777777" w:rsidR="002A2574" w:rsidRDefault="002A2574">
    <w:pPr>
      <w:pStyle w:val="Nagwek"/>
    </w:pPr>
  </w:p>
  <w:p w14:paraId="2E0F843C" w14:textId="60F9B925" w:rsidR="002A2574" w:rsidRDefault="002A2574" w:rsidP="002A2574">
    <w:pPr>
      <w:pStyle w:val="Nagwek"/>
      <w:jc w:val="right"/>
    </w:pPr>
    <w:r w:rsidRPr="000D6E43">
      <w:rPr>
        <w:noProof/>
        <w:lang w:val="pl-PL" w:eastAsia="pl-PL"/>
      </w:rPr>
      <w:drawing>
        <wp:inline distT="0" distB="0" distL="0" distR="0" wp14:anchorId="6740ADFC" wp14:editId="375F8BD1">
          <wp:extent cx="1412916" cy="368807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916" cy="36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6E43">
      <w:rPr>
        <w:noProof/>
        <w:lang w:val="pl-PL" w:eastAsia="pl-PL"/>
      </w:rPr>
      <w:drawing>
        <wp:anchor distT="0" distB="0" distL="0" distR="0" simplePos="0" relativeHeight="251659264" behindDoc="0" locked="0" layoutInCell="1" allowOverlap="1" wp14:anchorId="206A999E" wp14:editId="7C747C22">
          <wp:simplePos x="0" y="0"/>
          <wp:positionH relativeFrom="page">
            <wp:posOffset>503555</wp:posOffset>
          </wp:positionH>
          <wp:positionV relativeFrom="paragraph">
            <wp:posOffset>-426085</wp:posOffset>
          </wp:positionV>
          <wp:extent cx="2391410" cy="885190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9141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0BADB" w14:textId="77777777" w:rsidR="002A2574" w:rsidRDefault="002A25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DC"/>
    <w:rsid w:val="00031228"/>
    <w:rsid w:val="00097522"/>
    <w:rsid w:val="000F39F8"/>
    <w:rsid w:val="000F627C"/>
    <w:rsid w:val="00106DCB"/>
    <w:rsid w:val="001118E9"/>
    <w:rsid w:val="00121AB2"/>
    <w:rsid w:val="00161237"/>
    <w:rsid w:val="001F1A13"/>
    <w:rsid w:val="00222D37"/>
    <w:rsid w:val="00233EE2"/>
    <w:rsid w:val="0024774C"/>
    <w:rsid w:val="00283B94"/>
    <w:rsid w:val="00292EAE"/>
    <w:rsid w:val="002A2574"/>
    <w:rsid w:val="002E7DBA"/>
    <w:rsid w:val="0032256F"/>
    <w:rsid w:val="00345C3B"/>
    <w:rsid w:val="00383AE3"/>
    <w:rsid w:val="003E14D1"/>
    <w:rsid w:val="00435D70"/>
    <w:rsid w:val="0045155A"/>
    <w:rsid w:val="004863FC"/>
    <w:rsid w:val="004F5761"/>
    <w:rsid w:val="00574233"/>
    <w:rsid w:val="005D0C31"/>
    <w:rsid w:val="005F0D71"/>
    <w:rsid w:val="006029D9"/>
    <w:rsid w:val="00604FE4"/>
    <w:rsid w:val="00623750"/>
    <w:rsid w:val="006647C4"/>
    <w:rsid w:val="00665334"/>
    <w:rsid w:val="00676F9D"/>
    <w:rsid w:val="006A2B5D"/>
    <w:rsid w:val="006B79DD"/>
    <w:rsid w:val="006E1FB2"/>
    <w:rsid w:val="0071056F"/>
    <w:rsid w:val="00796D83"/>
    <w:rsid w:val="00797BF0"/>
    <w:rsid w:val="007C2EEE"/>
    <w:rsid w:val="007D7531"/>
    <w:rsid w:val="007E094C"/>
    <w:rsid w:val="008109E5"/>
    <w:rsid w:val="00811DCC"/>
    <w:rsid w:val="0081603E"/>
    <w:rsid w:val="00832AC3"/>
    <w:rsid w:val="00906A4F"/>
    <w:rsid w:val="00906CCE"/>
    <w:rsid w:val="00946A73"/>
    <w:rsid w:val="00951ACF"/>
    <w:rsid w:val="00953D57"/>
    <w:rsid w:val="00960F06"/>
    <w:rsid w:val="009725EF"/>
    <w:rsid w:val="009A5BB9"/>
    <w:rsid w:val="009B150C"/>
    <w:rsid w:val="009B3877"/>
    <w:rsid w:val="009B42C7"/>
    <w:rsid w:val="009F5FC6"/>
    <w:rsid w:val="00A029AE"/>
    <w:rsid w:val="00A20859"/>
    <w:rsid w:val="00A955C2"/>
    <w:rsid w:val="00AD1EE6"/>
    <w:rsid w:val="00AE70D3"/>
    <w:rsid w:val="00B11322"/>
    <w:rsid w:val="00B13EDC"/>
    <w:rsid w:val="00B536BC"/>
    <w:rsid w:val="00B92F37"/>
    <w:rsid w:val="00BC0961"/>
    <w:rsid w:val="00BF6AFF"/>
    <w:rsid w:val="00C16725"/>
    <w:rsid w:val="00C4024F"/>
    <w:rsid w:val="00C8000D"/>
    <w:rsid w:val="00CF2DFC"/>
    <w:rsid w:val="00D268D0"/>
    <w:rsid w:val="00D93968"/>
    <w:rsid w:val="00DB5C25"/>
    <w:rsid w:val="00DC725F"/>
    <w:rsid w:val="00E33043"/>
    <w:rsid w:val="00E40005"/>
    <w:rsid w:val="00E519FF"/>
    <w:rsid w:val="00E5375B"/>
    <w:rsid w:val="00E55367"/>
    <w:rsid w:val="00EC217C"/>
    <w:rsid w:val="00EC3D48"/>
    <w:rsid w:val="00EC6543"/>
    <w:rsid w:val="00EE3504"/>
    <w:rsid w:val="00EF744E"/>
    <w:rsid w:val="00F12207"/>
    <w:rsid w:val="00F15122"/>
    <w:rsid w:val="00F40C63"/>
    <w:rsid w:val="00FA7D9E"/>
    <w:rsid w:val="00FB411A"/>
    <w:rsid w:val="00F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D5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6BC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2A2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57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A2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574"/>
    <w:rPr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E5536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6BC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2A2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57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A2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574"/>
    <w:rPr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E553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F866-A802-4F9B-A300-1E07C498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3380</Words>
  <Characters>20286</Characters>
  <Application>Microsoft Office Word</Application>
  <DocSecurity>0</DocSecurity>
  <Lines>169</Lines>
  <Paragraphs>47</Paragraphs>
  <ScaleCrop>false</ScaleCrop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2020-07-17T15:34:00Z</dcterms:created>
  <dcterms:modified xsi:type="dcterms:W3CDTF">2020-07-23T14:09:00Z</dcterms:modified>
</cp:coreProperties>
</file>