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2F" w:rsidRPr="0055712F" w:rsidRDefault="0055712F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Załącznik nr 4 C - </w:t>
      </w:r>
      <w:r w:rsidRPr="008459A2">
        <w:rPr>
          <w:rFonts w:ascii="Times New Roman" w:eastAsia="Times New Roman" w:hAnsi="Times New Roman" w:cs="Times New Roman"/>
          <w:lang w:eastAsia="pl-PL"/>
        </w:rPr>
        <w:t>środki prawne służące pokrzywdzonemu</w:t>
      </w:r>
    </w:p>
    <w:p w:rsidR="0055712F" w:rsidRDefault="0055712F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55712F" w:rsidRDefault="0055712F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8459A2" w:rsidRPr="008459A2" w:rsidRDefault="008459A2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459A2">
        <w:rPr>
          <w:rFonts w:ascii="Times New Roman" w:hAnsi="Times New Roman" w:cs="Times New Roman"/>
          <w:b/>
          <w:bCs/>
        </w:rPr>
        <w:t>Rozszerzenie stosowania ustawy o państwowej kompensacie na</w:t>
      </w:r>
      <w:r w:rsidR="00372F45">
        <w:rPr>
          <w:rFonts w:ascii="Times New Roman" w:hAnsi="Times New Roman" w:cs="Times New Roman"/>
          <w:b/>
          <w:bCs/>
        </w:rPr>
        <w:t xml:space="preserve"> wszystkie ofiary handlu ludźmi</w:t>
      </w:r>
    </w:p>
    <w:p w:rsidR="008459A2" w:rsidRPr="008459A2" w:rsidRDefault="008459A2" w:rsidP="00372F4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8459A2" w:rsidRPr="008459A2" w:rsidRDefault="008459A2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459A2">
        <w:rPr>
          <w:rFonts w:ascii="Times New Roman" w:hAnsi="Times New Roman" w:cs="Times New Roman"/>
          <w:bCs/>
        </w:rPr>
        <w:t xml:space="preserve">Celem ustawy o państwowej kompensacie nie jest zapewnienie szybszej ścieżki dochodzenia odszkodowania dla pokrzywdzonych przestępstwami lecz zapewnienie otrzymania określonych świadczeń od państwa przy spełnieniu wymogów przewidzianych w ustawie (wystąpienie określonych skutków, poniesienie określonych wydatków, miejsce stałego pobytu pokrzywdzonego, niemożność uzyskania odszkodowania od sprawcy lub z ubezpieczenia). Ustawa stanowi implementację Dyrektywy </w:t>
      </w:r>
      <w:r w:rsidRPr="008459A2">
        <w:rPr>
          <w:rFonts w:ascii="Times New Roman" w:eastAsia="EUAlbertina-Bold-Identity-H" w:hAnsi="Times New Roman" w:cs="Times New Roman"/>
          <w:bCs/>
        </w:rPr>
        <w:t xml:space="preserve">Rady 2004/80/WE z 29.042004 r. odnoszącej się do kompensaty dla ofiar przestępstw. Uwzględnia ona również przepisy </w:t>
      </w:r>
      <w:r w:rsidRPr="008459A2">
        <w:rPr>
          <w:rFonts w:ascii="Times New Roman" w:hAnsi="Times New Roman" w:cs="Times New Roman"/>
          <w:bCs/>
        </w:rPr>
        <w:t>Konwencji Rady Europy z 24.11.1983 r. o kompensacie dla ofiar przestępstw popełnionych z użyciem przemocy. Ustawa jest z zgodna z obydwoma aktami praw</w:t>
      </w:r>
      <w:r w:rsidR="00372F45">
        <w:rPr>
          <w:rFonts w:ascii="Times New Roman" w:hAnsi="Times New Roman" w:cs="Times New Roman"/>
          <w:bCs/>
        </w:rPr>
        <w:t>nymi.</w:t>
      </w:r>
    </w:p>
    <w:p w:rsidR="008459A2" w:rsidRPr="008459A2" w:rsidRDefault="008459A2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459A2">
        <w:rPr>
          <w:rFonts w:ascii="Times New Roman" w:hAnsi="Times New Roman" w:cs="Times New Roman"/>
          <w:bCs/>
        </w:rPr>
        <w:t>Rozszerzanie ustawy na pokrzywdzonych handlem ludźmi niezależnie od miejsca ich stałego pobytu czy poniesionych szkód prowadziłoby do nieuzasadnionej dyskryminacji pokrzywdzonych innymi przestępstwami. Rodziłoby również zasadnicze problemy natury praktycznej związane z dochodzeniem kompensaty w przypadku, gdyby pokrzywdzony miał miejsce zamieszkania w państwie nie będącym państwem UE. Ustawa przewiduje bowiem, zgodnie z ww. dyrektywą, konkretne mechanizmy współpracy wyłącznie między państwami UE w celu uzyskania pr</w:t>
      </w:r>
      <w:r w:rsidR="00372F45">
        <w:rPr>
          <w:rFonts w:ascii="Times New Roman" w:hAnsi="Times New Roman" w:cs="Times New Roman"/>
          <w:bCs/>
        </w:rPr>
        <w:t>zez pokrzywdzonego kompensaty.</w:t>
      </w:r>
    </w:p>
    <w:p w:rsidR="00AC4931" w:rsidRPr="008459A2" w:rsidRDefault="008459A2" w:rsidP="00372F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459A2">
        <w:rPr>
          <w:rFonts w:ascii="Times New Roman" w:hAnsi="Times New Roman" w:cs="Times New Roman"/>
          <w:bCs/>
        </w:rPr>
        <w:t xml:space="preserve">Ograniczony zakres kompensaty (w porównaniu do odszkodowania na podstawie </w:t>
      </w:r>
      <w:proofErr w:type="spellStart"/>
      <w:r w:rsidRPr="008459A2">
        <w:rPr>
          <w:rFonts w:ascii="Times New Roman" w:hAnsi="Times New Roman" w:cs="Times New Roman"/>
          <w:bCs/>
        </w:rPr>
        <w:t>kc</w:t>
      </w:r>
      <w:proofErr w:type="spellEnd"/>
      <w:r w:rsidRPr="008459A2">
        <w:rPr>
          <w:rFonts w:ascii="Times New Roman" w:hAnsi="Times New Roman" w:cs="Times New Roman"/>
          <w:bCs/>
        </w:rPr>
        <w:t xml:space="preserve"> i kk), jak również jej subsydiarny charakter, a także zakres zastosowania ustawy z zasady ograniczony do państw UE oraz ww. ryzyko dyskryminacji, powodują, że takie rozszerzenie nie jest</w:t>
      </w:r>
      <w:r w:rsidRPr="008459A2">
        <w:rPr>
          <w:rFonts w:ascii="Times New Roman" w:hAnsi="Times New Roman" w:cs="Times New Roman"/>
          <w:b/>
          <w:bCs/>
        </w:rPr>
        <w:t xml:space="preserve"> </w:t>
      </w:r>
      <w:r w:rsidRPr="008459A2">
        <w:rPr>
          <w:rFonts w:ascii="Times New Roman" w:hAnsi="Times New Roman" w:cs="Times New Roman"/>
          <w:bCs/>
        </w:rPr>
        <w:t>uzasadnione</w:t>
      </w:r>
      <w:r w:rsidR="00372F45">
        <w:rPr>
          <w:rFonts w:ascii="Times New Roman" w:hAnsi="Times New Roman" w:cs="Times New Roman"/>
          <w:b/>
          <w:bCs/>
        </w:rPr>
        <w:t xml:space="preserve">. </w:t>
      </w:r>
      <w:r w:rsidRPr="008459A2">
        <w:rPr>
          <w:rFonts w:ascii="Times New Roman" w:hAnsi="Times New Roman" w:cs="Times New Roman"/>
        </w:rPr>
        <w:t xml:space="preserve">Rozszerzenie to nie stanowiłoby również realizacji wymogów przewidzianych w samej Konwencji Rady Europy o działaniach przeciwko handlowi ludźmi z 2005 r. Po pierwsze, już obecnie prawo polskie przewiduje możliwość dochodzenia odszkodowania od sprawcy w toku postępowania cywilnego bądź karnego. Zapewnia więc realizację art. 15 ust. 3 konwencji. Po drugie, pomoc ofiarom handlu ludźmi udzielana jest ze środków Funduszu i ma charakter pomocy prawnej, psychologicznej i socjalnej. A zatem realizuje wymogi określone w  art. 15 ust. 4 konwencji. </w:t>
      </w:r>
    </w:p>
    <w:sectPr w:rsidR="00AC4931" w:rsidRPr="00845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EUAlbertina-Bold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2"/>
    <w:rsid w:val="00372F45"/>
    <w:rsid w:val="00374867"/>
    <w:rsid w:val="0055712F"/>
    <w:rsid w:val="008459A2"/>
    <w:rsid w:val="00AC4931"/>
    <w:rsid w:val="00CE5764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4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1">
    <w:name w:val="tabulatory1"/>
    <w:basedOn w:val="Domylnaczcionkaakapitu"/>
    <w:rsid w:val="00845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45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1">
    <w:name w:val="tabulatory1"/>
    <w:basedOn w:val="Domylnaczcionkaakapitu"/>
    <w:rsid w:val="0084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Grochulska</dc:creator>
  <cp:lastModifiedBy>Kaczor Paweł  (DWMPC)</cp:lastModifiedBy>
  <cp:revision>3</cp:revision>
  <dcterms:created xsi:type="dcterms:W3CDTF">2017-09-25T07:49:00Z</dcterms:created>
  <dcterms:modified xsi:type="dcterms:W3CDTF">2017-09-25T07:50:00Z</dcterms:modified>
</cp:coreProperties>
</file>