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0BBD" w14:textId="33C294DF" w:rsidR="005D1F5C" w:rsidRPr="005D1F5C" w:rsidRDefault="0033428A" w:rsidP="00E44459">
      <w:pPr>
        <w:pStyle w:val="Nagwek1"/>
        <w:spacing w:line="360" w:lineRule="auto"/>
        <w:ind w:left="1417" w:hanging="1417"/>
        <w:jc w:val="both"/>
        <w:rPr>
          <w:rFonts w:asciiTheme="minorHAnsi" w:hAnsiTheme="minorHAnsi" w:cstheme="minorHAnsi"/>
          <w:sz w:val="24"/>
        </w:rPr>
      </w:pPr>
      <w:r w:rsidRPr="005D1F5C">
        <w:rPr>
          <w:rFonts w:asciiTheme="minorHAnsi" w:hAnsiTheme="minorHAnsi" w:cstheme="minorHAnsi"/>
          <w:sz w:val="24"/>
        </w:rPr>
        <w:t xml:space="preserve">Kielce, </w:t>
      </w:r>
      <w:r w:rsidR="005D1F5C" w:rsidRPr="005D1F5C">
        <w:rPr>
          <w:rFonts w:asciiTheme="minorHAnsi" w:hAnsiTheme="minorHAnsi" w:cstheme="minorHAnsi"/>
          <w:sz w:val="24"/>
        </w:rPr>
        <w:t xml:space="preserve">dnia </w:t>
      </w:r>
      <w:r w:rsidR="00B51ADA">
        <w:rPr>
          <w:rFonts w:asciiTheme="minorHAnsi" w:hAnsiTheme="minorHAnsi" w:cstheme="minorHAnsi"/>
          <w:sz w:val="24"/>
        </w:rPr>
        <w:t>05</w:t>
      </w:r>
      <w:r w:rsidR="000F59ED">
        <w:rPr>
          <w:rFonts w:asciiTheme="minorHAnsi" w:hAnsiTheme="minorHAnsi" w:cstheme="minorHAnsi"/>
          <w:sz w:val="24"/>
        </w:rPr>
        <w:t xml:space="preserve"> </w:t>
      </w:r>
      <w:r w:rsidR="00B51ADA">
        <w:rPr>
          <w:rFonts w:asciiTheme="minorHAnsi" w:hAnsiTheme="minorHAnsi" w:cstheme="minorHAnsi"/>
          <w:sz w:val="24"/>
        </w:rPr>
        <w:t>lutego</w:t>
      </w:r>
      <w:r w:rsidR="004F36AB" w:rsidRPr="004F36AB">
        <w:rPr>
          <w:rFonts w:asciiTheme="minorHAnsi" w:hAnsiTheme="minorHAnsi" w:cstheme="minorHAnsi"/>
          <w:sz w:val="24"/>
        </w:rPr>
        <w:t xml:space="preserve"> 202</w:t>
      </w:r>
      <w:r w:rsidR="00B51ADA">
        <w:rPr>
          <w:rFonts w:asciiTheme="minorHAnsi" w:hAnsiTheme="minorHAnsi" w:cstheme="minorHAnsi"/>
          <w:sz w:val="24"/>
        </w:rPr>
        <w:t>5</w:t>
      </w:r>
      <w:r w:rsidR="004F36AB" w:rsidRPr="004F36AB">
        <w:rPr>
          <w:rFonts w:asciiTheme="minorHAnsi" w:hAnsiTheme="minorHAnsi" w:cstheme="minorHAnsi"/>
          <w:sz w:val="24"/>
        </w:rPr>
        <w:t xml:space="preserve"> r.</w:t>
      </w:r>
    </w:p>
    <w:p w14:paraId="4F6E1A7D" w14:textId="0FB7822C" w:rsidR="005D1F5C" w:rsidRPr="005D1F5C" w:rsidRDefault="00B51ADA" w:rsidP="00E44459">
      <w:pPr>
        <w:spacing w:after="0" w:line="360" w:lineRule="auto"/>
        <w:jc w:val="both"/>
        <w:rPr>
          <w:rFonts w:cstheme="minorHAnsi"/>
          <w:sz w:val="24"/>
          <w:szCs w:val="24"/>
        </w:rPr>
      </w:pPr>
      <w:r w:rsidRPr="00B51ADA">
        <w:rPr>
          <w:rFonts w:cstheme="minorHAnsi"/>
          <w:sz w:val="24"/>
          <w:szCs w:val="24"/>
        </w:rPr>
        <w:t>WOO-II.4220.336.2023.KCP.8</w:t>
      </w:r>
      <w:r w:rsidR="005D1F5C" w:rsidRPr="005D1F5C">
        <w:rPr>
          <w:rFonts w:cstheme="minorHAnsi"/>
          <w:sz w:val="24"/>
          <w:szCs w:val="24"/>
        </w:rPr>
        <w:tab/>
      </w:r>
      <w:r w:rsidR="005D1F5C" w:rsidRPr="005D1F5C">
        <w:rPr>
          <w:rFonts w:cstheme="minorHAnsi"/>
          <w:sz w:val="24"/>
          <w:szCs w:val="24"/>
        </w:rPr>
        <w:tab/>
      </w:r>
      <w:r w:rsidR="005D1F5C" w:rsidRPr="005D1F5C">
        <w:rPr>
          <w:rFonts w:cstheme="minorHAnsi"/>
          <w:sz w:val="24"/>
          <w:szCs w:val="24"/>
        </w:rPr>
        <w:tab/>
      </w:r>
      <w:r w:rsidR="005D1F5C" w:rsidRPr="005D1F5C">
        <w:rPr>
          <w:rFonts w:cstheme="minorHAnsi"/>
          <w:sz w:val="24"/>
          <w:szCs w:val="24"/>
        </w:rPr>
        <w:tab/>
        <w:t xml:space="preserve"> </w:t>
      </w:r>
    </w:p>
    <w:p w14:paraId="4DFB1C87" w14:textId="77777777" w:rsidR="005D1F5C" w:rsidRPr="005D1F5C" w:rsidRDefault="005D1F5C" w:rsidP="00E44459">
      <w:pPr>
        <w:spacing w:after="0" w:line="360" w:lineRule="auto"/>
        <w:jc w:val="both"/>
        <w:rPr>
          <w:rFonts w:cstheme="minorHAnsi"/>
          <w:b/>
          <w:sz w:val="24"/>
          <w:szCs w:val="24"/>
        </w:rPr>
      </w:pPr>
      <w:r w:rsidRPr="005D1F5C">
        <w:rPr>
          <w:rFonts w:cstheme="minorHAnsi"/>
          <w:b/>
          <w:sz w:val="24"/>
          <w:szCs w:val="24"/>
        </w:rPr>
        <w:t>OBWIESZCZENIE</w:t>
      </w:r>
    </w:p>
    <w:p w14:paraId="2A54A4DF" w14:textId="6F7EB67B"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Zgodnie z art. 49 ustawy z dnia 14 czerwca 1960 r. - Kodeks postępowania administracyjnego (tekst jedn. Dz. U. z 2024 r., poz. 572 – cyt. dalej jako „k.p.a.”), w związku z art. 74 ust. 3 oraz art. 75 ust. 1 pkt 1 lit. j ustawy z dnia 3 października 2008 r. o udostępnianiu informacji o środowisku i jego ochronie, udziale społeczeństwa w ochronie środowiska oraz o ocenach oddziaływania na środowisko (tekst jedn. Dz. U. z 2024 r. poz. 1112 </w:t>
      </w:r>
      <w:r w:rsidR="00B51ADA">
        <w:rPr>
          <w:rFonts w:cstheme="minorHAnsi"/>
          <w:sz w:val="24"/>
          <w:szCs w:val="24"/>
        </w:rPr>
        <w:t xml:space="preserve">ze zm. </w:t>
      </w:r>
      <w:r w:rsidRPr="000F59ED">
        <w:rPr>
          <w:rFonts w:cstheme="minorHAnsi"/>
          <w:sz w:val="24"/>
          <w:szCs w:val="24"/>
        </w:rPr>
        <w:t>– cyt. dalej jako „UUOŚ”)</w:t>
      </w:r>
    </w:p>
    <w:p w14:paraId="6C5E0EBB" w14:textId="77777777" w:rsidR="000F59ED" w:rsidRPr="000F59ED" w:rsidRDefault="000F59ED" w:rsidP="000F59ED">
      <w:pPr>
        <w:spacing w:after="0" w:line="360" w:lineRule="auto"/>
        <w:jc w:val="both"/>
        <w:rPr>
          <w:rFonts w:cstheme="minorHAnsi"/>
          <w:sz w:val="24"/>
          <w:szCs w:val="24"/>
        </w:rPr>
      </w:pPr>
      <w:r w:rsidRPr="000F59ED">
        <w:rPr>
          <w:rFonts w:cstheme="minorHAnsi"/>
          <w:b/>
          <w:sz w:val="24"/>
          <w:szCs w:val="24"/>
        </w:rPr>
        <w:t>Regionalny Dyrektor Ochrony Środowiska w Kielcach</w:t>
      </w:r>
      <w:r w:rsidRPr="000F59ED">
        <w:rPr>
          <w:rFonts w:cstheme="minorHAnsi"/>
          <w:sz w:val="24"/>
          <w:szCs w:val="24"/>
        </w:rPr>
        <w:t xml:space="preserve"> </w:t>
      </w:r>
    </w:p>
    <w:p w14:paraId="21D6D34D" w14:textId="0372F521" w:rsidR="000F59ED" w:rsidRPr="000F59ED" w:rsidRDefault="00B51ADA" w:rsidP="000F59ED">
      <w:pPr>
        <w:spacing w:after="0" w:line="360" w:lineRule="auto"/>
        <w:jc w:val="both"/>
        <w:rPr>
          <w:rFonts w:cstheme="minorHAnsi"/>
          <w:sz w:val="24"/>
          <w:szCs w:val="24"/>
        </w:rPr>
      </w:pPr>
      <w:r w:rsidRPr="00B51ADA">
        <w:rPr>
          <w:rFonts w:cstheme="minorHAnsi"/>
          <w:sz w:val="24"/>
          <w:szCs w:val="24"/>
        </w:rPr>
        <w:t xml:space="preserve">zawiadamia strony postępowania, że postanowieniem z dnia </w:t>
      </w:r>
      <w:r>
        <w:rPr>
          <w:rFonts w:cstheme="minorHAnsi"/>
          <w:sz w:val="24"/>
          <w:szCs w:val="24"/>
        </w:rPr>
        <w:t>05</w:t>
      </w:r>
      <w:r w:rsidRPr="00B51ADA">
        <w:rPr>
          <w:rFonts w:cstheme="minorHAnsi"/>
          <w:sz w:val="24"/>
          <w:szCs w:val="24"/>
        </w:rPr>
        <w:t xml:space="preserve">.02.2025 r., znak: WOO-II.4220.336.2023.KCP.7 sprostował oczywistą omyłkę w postanowieniu Regionalnego Dyrektora Ochrony Środowiska w Kielcach z dnia 10.01.2025 r., znak: WOO-II.4220.336.2023.KCP.6 wydanym w ramach prowadzonego postępowania w sprawie opinii, co do potrzeby przeprowadzenia oceny oddziaływania na środowisko przedsięwzięcia pod nazwą: </w:t>
      </w:r>
      <w:r w:rsidRPr="00B51ADA">
        <w:rPr>
          <w:rFonts w:cstheme="minorHAnsi"/>
          <w:b/>
          <w:bCs/>
          <w:sz w:val="24"/>
          <w:szCs w:val="24"/>
        </w:rPr>
        <w:t>„Budowa farmy fotowoltaicznej „Bodzechów I” o mocy nieprzekraczającej 15 MW wraz z niezbędną infrastrukturą i magazynami energii o mocy do 75 MW”</w:t>
      </w:r>
      <w:r w:rsidRPr="00B51ADA">
        <w:rPr>
          <w:rFonts w:cstheme="minorHAnsi"/>
          <w:sz w:val="24"/>
          <w:szCs w:val="24"/>
        </w:rPr>
        <w:t>, planowanego na działkach o nr ewid. 57, 56, 55, 54, 53, 48/1, 47/1, 42/1, 50/1, obręb nr 0002 Bodzechów, gmina Bodzechów, powiat ostrowiecki, przez EPLANT 43 Sp. z o.o., ul. Zakliki z Mydlnik 14A, 30-198 Kraków.</w:t>
      </w:r>
    </w:p>
    <w:p w14:paraId="252DA83D" w14:textId="66CA648F"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00B51ADA">
        <w:rPr>
          <w:rFonts w:cstheme="minorHAnsi"/>
          <w:b/>
          <w:sz w:val="24"/>
          <w:szCs w:val="24"/>
        </w:rPr>
        <w:t>10</w:t>
      </w:r>
      <w:r w:rsidRPr="000F59ED">
        <w:rPr>
          <w:rFonts w:cstheme="minorHAnsi"/>
          <w:b/>
          <w:sz w:val="24"/>
          <w:szCs w:val="24"/>
        </w:rPr>
        <w:t>.</w:t>
      </w:r>
      <w:r w:rsidR="00B51ADA">
        <w:rPr>
          <w:rFonts w:cstheme="minorHAnsi"/>
          <w:b/>
          <w:sz w:val="24"/>
          <w:szCs w:val="24"/>
        </w:rPr>
        <w:t>0</w:t>
      </w:r>
      <w:r w:rsidRPr="000F59ED">
        <w:rPr>
          <w:rFonts w:cstheme="minorHAnsi"/>
          <w:b/>
          <w:sz w:val="24"/>
          <w:szCs w:val="24"/>
        </w:rPr>
        <w:t>2.202</w:t>
      </w:r>
      <w:r w:rsidR="00B51ADA">
        <w:rPr>
          <w:rFonts w:cstheme="minorHAnsi"/>
          <w:b/>
          <w:sz w:val="24"/>
          <w:szCs w:val="24"/>
        </w:rPr>
        <w:t>5</w:t>
      </w:r>
      <w:r w:rsidRPr="000F59ED">
        <w:rPr>
          <w:rFonts w:cstheme="minorHAnsi"/>
          <w:b/>
          <w:sz w:val="24"/>
          <w:szCs w:val="24"/>
        </w:rPr>
        <w:t xml:space="preserve"> r.</w:t>
      </w:r>
      <w:r w:rsidRPr="000F59ED">
        <w:rPr>
          <w:rFonts w:cstheme="minorHAnsi"/>
          <w:sz w:val="24"/>
          <w:szCs w:val="24"/>
        </w:rPr>
        <w:t xml:space="preserve"> jako dzień, w którym nastąpiło publiczne obwieszczenie.</w:t>
      </w:r>
    </w:p>
    <w:p w14:paraId="341A2939" w14:textId="77777777" w:rsidR="00B51ADA" w:rsidRPr="00B51ADA" w:rsidRDefault="00B51ADA" w:rsidP="00B51ADA">
      <w:pPr>
        <w:spacing w:after="0" w:line="360" w:lineRule="auto"/>
        <w:jc w:val="both"/>
        <w:rPr>
          <w:rFonts w:cstheme="minorHAnsi"/>
          <w:sz w:val="24"/>
          <w:szCs w:val="24"/>
        </w:rPr>
      </w:pPr>
      <w:r w:rsidRPr="00B51ADA">
        <w:rPr>
          <w:rFonts w:cstheme="minorHAnsi"/>
          <w:sz w:val="24"/>
          <w:szCs w:val="24"/>
        </w:rPr>
        <w:t>Na wydane postanowienie służy zażalenie do Generalnego Dyrektora Ochrony Środowiska (Al. Jerozolimskie 136, 02-305 Warszawa) za pośrednictwem Regionalnego Dyrektora Ochrony Środowiska w Kielcach, w terminie 7 dni od dnia doręczenia.</w:t>
      </w:r>
    </w:p>
    <w:p w14:paraId="6BCA94D3" w14:textId="61AE819B" w:rsidR="00B51ADA" w:rsidRDefault="00B51ADA" w:rsidP="00B51ADA">
      <w:pPr>
        <w:spacing w:after="0" w:line="360" w:lineRule="auto"/>
        <w:jc w:val="both"/>
        <w:rPr>
          <w:rFonts w:cstheme="minorHAnsi"/>
          <w:sz w:val="24"/>
          <w:szCs w:val="24"/>
        </w:rPr>
      </w:pPr>
      <w:r w:rsidRPr="00B51ADA">
        <w:rPr>
          <w:rFonts w:cstheme="minorHAnsi"/>
          <w:sz w:val="24"/>
          <w:szCs w:val="24"/>
        </w:rPr>
        <w:t xml:space="preserve">Z treścią ww. postanowienia można zapoznać się w siedzibie Regionalnej Dyrekcji Ochrony Środowiska w Kielcach (ul. Szymanowskiego 6, 25-361 Kielce), w godzinach od 7.30 do 15.30 </w:t>
      </w:r>
      <w:r w:rsidRPr="00B51ADA">
        <w:rPr>
          <w:rFonts w:cstheme="minorHAnsi"/>
          <w:sz w:val="24"/>
          <w:szCs w:val="24"/>
        </w:rPr>
        <w:lastRenderedPageBreak/>
        <w:t>po uprzednim umówieniu się z pracownikiem tutejszej Dyrekcji (nr telefonu do kontaktu: 41 3435362) lub w sposób wskazany w art. 49b § 1 kpa.</w:t>
      </w:r>
    </w:p>
    <w:p w14:paraId="34D917F3" w14:textId="77777777" w:rsidR="00B51ADA" w:rsidRDefault="00B51ADA" w:rsidP="00B51ADA">
      <w:pPr>
        <w:spacing w:after="0" w:line="360" w:lineRule="auto"/>
        <w:jc w:val="both"/>
        <w:rPr>
          <w:rFonts w:cstheme="minorHAnsi"/>
          <w:sz w:val="24"/>
          <w:szCs w:val="24"/>
        </w:rPr>
      </w:pPr>
    </w:p>
    <w:p w14:paraId="6F970E19" w14:textId="55BC536B" w:rsidR="000F59ED" w:rsidRPr="000F59ED" w:rsidRDefault="000F59ED" w:rsidP="00B51ADA">
      <w:pPr>
        <w:spacing w:after="0" w:line="360" w:lineRule="auto"/>
        <w:jc w:val="both"/>
        <w:rPr>
          <w:rFonts w:cstheme="minorHAnsi"/>
          <w:sz w:val="24"/>
          <w:szCs w:val="24"/>
        </w:rPr>
      </w:pPr>
      <w:r w:rsidRPr="000F59ED">
        <w:rPr>
          <w:rFonts w:cstheme="minorHAnsi"/>
          <w:sz w:val="24"/>
          <w:szCs w:val="24"/>
        </w:rPr>
        <w:t xml:space="preserve">Iwona Kędzierska - Gębska </w:t>
      </w:r>
    </w:p>
    <w:p w14:paraId="1104C421"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Regionalny Dyrektor Ochrony Środowiska </w:t>
      </w:r>
    </w:p>
    <w:p w14:paraId="7EE4E0F4"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w Kielcach </w:t>
      </w:r>
    </w:p>
    <w:p w14:paraId="2D96EEF9"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/-podpisany cyfrowo/</w:t>
      </w:r>
    </w:p>
    <w:p w14:paraId="125A8387" w14:textId="77777777" w:rsidR="000F59ED" w:rsidRPr="000F59ED" w:rsidRDefault="000F59ED" w:rsidP="000F59ED">
      <w:pPr>
        <w:spacing w:after="0" w:line="360" w:lineRule="auto"/>
        <w:jc w:val="both"/>
        <w:rPr>
          <w:rFonts w:cstheme="minorHAnsi"/>
          <w:sz w:val="24"/>
          <w:szCs w:val="24"/>
        </w:rPr>
      </w:pPr>
    </w:p>
    <w:p w14:paraId="357486F1"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Obwieszczenie nastąpiło w dniach: od………………….do…………………</w:t>
      </w:r>
    </w:p>
    <w:p w14:paraId="5269AE88" w14:textId="77777777" w:rsidR="000F59ED" w:rsidRPr="000F59ED" w:rsidRDefault="000F59ED" w:rsidP="000F59ED">
      <w:pPr>
        <w:spacing w:after="0" w:line="360" w:lineRule="auto"/>
        <w:jc w:val="both"/>
        <w:rPr>
          <w:rFonts w:cstheme="minorHAnsi"/>
          <w:iCs/>
          <w:sz w:val="24"/>
          <w:szCs w:val="24"/>
        </w:rPr>
      </w:pPr>
    </w:p>
    <w:p w14:paraId="3B596F39" w14:textId="5EF436EF" w:rsidR="000F59ED" w:rsidRPr="000F59ED" w:rsidRDefault="000F59ED" w:rsidP="000F59ED">
      <w:pPr>
        <w:spacing w:after="0" w:line="360" w:lineRule="auto"/>
        <w:jc w:val="both"/>
        <w:rPr>
          <w:rFonts w:cstheme="minorHAnsi"/>
          <w:iCs/>
          <w:sz w:val="24"/>
          <w:szCs w:val="24"/>
        </w:rPr>
      </w:pPr>
      <w:r w:rsidRPr="000F59ED">
        <w:rPr>
          <w:rFonts w:cstheme="minorHAnsi"/>
          <w:iCs/>
          <w:sz w:val="24"/>
          <w:szCs w:val="24"/>
        </w:rPr>
        <w:t xml:space="preserve">Sprawę prowadzi: </w:t>
      </w:r>
      <w:r w:rsidR="00B51ADA" w:rsidRPr="00B51ADA">
        <w:rPr>
          <w:rFonts w:cstheme="minorHAnsi"/>
          <w:iCs/>
          <w:sz w:val="24"/>
          <w:szCs w:val="24"/>
        </w:rPr>
        <w:t>Kinga Cieplicka-Pawlik</w:t>
      </w:r>
    </w:p>
    <w:p w14:paraId="710CB30C" w14:textId="5CBD049D" w:rsidR="000F59ED" w:rsidRPr="000F59ED" w:rsidRDefault="000F59ED" w:rsidP="000F59ED">
      <w:pPr>
        <w:spacing w:after="0" w:line="360" w:lineRule="auto"/>
        <w:jc w:val="both"/>
        <w:rPr>
          <w:rFonts w:cstheme="minorHAnsi"/>
          <w:iCs/>
          <w:sz w:val="24"/>
          <w:szCs w:val="24"/>
        </w:rPr>
      </w:pPr>
      <w:r w:rsidRPr="000F59ED">
        <w:rPr>
          <w:rFonts w:cstheme="minorHAnsi"/>
          <w:iCs/>
          <w:sz w:val="24"/>
          <w:szCs w:val="24"/>
        </w:rPr>
        <w:t>Telefon kontaktowy:</w:t>
      </w:r>
      <w:r w:rsidRPr="000F59ED">
        <w:rPr>
          <w:rFonts w:cstheme="minorHAnsi"/>
          <w:b/>
          <w:iCs/>
          <w:sz w:val="24"/>
          <w:szCs w:val="24"/>
          <w:lang w:val="en-US"/>
        </w:rPr>
        <w:t xml:space="preserve"> </w:t>
      </w:r>
      <w:r w:rsidRPr="000F59ED">
        <w:rPr>
          <w:rFonts w:cstheme="minorHAnsi"/>
          <w:iCs/>
          <w:sz w:val="24"/>
          <w:szCs w:val="24"/>
          <w:lang w:val="en-US"/>
        </w:rPr>
        <w:t>(41)3435361 lub (41)343536</w:t>
      </w:r>
      <w:r w:rsidR="00B51ADA">
        <w:rPr>
          <w:rFonts w:cstheme="minorHAnsi"/>
          <w:iCs/>
          <w:sz w:val="24"/>
          <w:szCs w:val="24"/>
          <w:lang w:val="en-US"/>
        </w:rPr>
        <w:t>2</w:t>
      </w:r>
    </w:p>
    <w:p w14:paraId="0F3DCF4B" w14:textId="77777777" w:rsidR="000F59ED" w:rsidRPr="000F59ED" w:rsidRDefault="000F59ED" w:rsidP="000F59ED">
      <w:pPr>
        <w:spacing w:after="0" w:line="360" w:lineRule="auto"/>
        <w:jc w:val="both"/>
        <w:rPr>
          <w:rFonts w:cstheme="minorHAnsi"/>
          <w:b/>
          <w:sz w:val="24"/>
          <w:szCs w:val="24"/>
          <w:u w:val="single"/>
        </w:rPr>
      </w:pPr>
    </w:p>
    <w:p w14:paraId="0D5924EA" w14:textId="77777777" w:rsidR="000F59ED" w:rsidRPr="000F59ED" w:rsidRDefault="000F59ED" w:rsidP="000F59ED">
      <w:pPr>
        <w:spacing w:after="0" w:line="360" w:lineRule="auto"/>
        <w:jc w:val="both"/>
        <w:rPr>
          <w:rFonts w:cstheme="minorHAnsi"/>
          <w:sz w:val="24"/>
          <w:szCs w:val="24"/>
          <w:u w:val="single"/>
        </w:rPr>
      </w:pPr>
      <w:r w:rsidRPr="000F59ED">
        <w:rPr>
          <w:rFonts w:cstheme="minorHAnsi"/>
          <w:b/>
          <w:bCs/>
          <w:sz w:val="24"/>
          <w:szCs w:val="24"/>
          <w:u w:val="single"/>
        </w:rPr>
        <w:t xml:space="preserve">Otrzymują: </w:t>
      </w:r>
    </w:p>
    <w:p w14:paraId="36FE1F98" w14:textId="77777777" w:rsidR="00B51ADA" w:rsidRPr="00EC23D8" w:rsidRDefault="00B51ADA" w:rsidP="00B51ADA">
      <w:pPr>
        <w:numPr>
          <w:ilvl w:val="0"/>
          <w:numId w:val="29"/>
        </w:numPr>
        <w:spacing w:after="0"/>
        <w:rPr>
          <w:rFonts w:cstheme="minorHAnsi"/>
        </w:rPr>
      </w:pPr>
      <w:r w:rsidRPr="00EC23D8">
        <w:rPr>
          <w:rFonts w:cstheme="minorHAnsi"/>
          <w:bCs/>
        </w:rPr>
        <w:t>Wójt Gminy Bodzechów – przedłożenie elektroniczne ePUAP</w:t>
      </w:r>
    </w:p>
    <w:p w14:paraId="4E0ECBEE" w14:textId="77777777" w:rsidR="00B51ADA" w:rsidRPr="00EC23D8" w:rsidRDefault="00B51ADA" w:rsidP="00B51ADA">
      <w:pPr>
        <w:numPr>
          <w:ilvl w:val="0"/>
          <w:numId w:val="29"/>
        </w:numPr>
        <w:spacing w:after="0"/>
        <w:rPr>
          <w:rFonts w:cstheme="minorHAnsi"/>
        </w:rPr>
      </w:pPr>
      <w:r w:rsidRPr="00EC23D8">
        <w:rPr>
          <w:rFonts w:cstheme="minorHAnsi"/>
          <w:bCs/>
        </w:rPr>
        <w:t>Inwestor – EPLANT 43 Sp. z o.o., ul. Zakliki z Mydlnik 14A, 30-198 Kraków</w:t>
      </w:r>
    </w:p>
    <w:p w14:paraId="28B24EC4" w14:textId="77777777" w:rsidR="00B51ADA" w:rsidRPr="00EC23D8" w:rsidRDefault="00B51ADA" w:rsidP="00B51ADA">
      <w:pPr>
        <w:numPr>
          <w:ilvl w:val="0"/>
          <w:numId w:val="29"/>
        </w:numPr>
        <w:spacing w:after="0"/>
        <w:rPr>
          <w:rFonts w:cstheme="minorHAnsi"/>
        </w:rPr>
      </w:pPr>
      <w:r w:rsidRPr="00EC23D8">
        <w:rPr>
          <w:rFonts w:cstheme="minorHAnsi"/>
        </w:rPr>
        <w:t>Pozostałe strony poprzez obwieszczenie wywieszone na tablicach ogłoszeń:</w:t>
      </w:r>
    </w:p>
    <w:p w14:paraId="5B847EDB" w14:textId="77777777" w:rsidR="00B51ADA" w:rsidRPr="00EC23D8" w:rsidRDefault="00B51ADA" w:rsidP="00B51ADA">
      <w:pPr>
        <w:numPr>
          <w:ilvl w:val="0"/>
          <w:numId w:val="12"/>
        </w:numPr>
        <w:spacing w:after="0"/>
        <w:ind w:left="1069"/>
        <w:rPr>
          <w:rFonts w:cstheme="minorHAnsi"/>
        </w:rPr>
      </w:pPr>
      <w:r w:rsidRPr="00EC23D8">
        <w:rPr>
          <w:rFonts w:cstheme="minorHAnsi"/>
        </w:rPr>
        <w:t>UG Bodzechów</w:t>
      </w:r>
    </w:p>
    <w:p w14:paraId="0503869B" w14:textId="77777777" w:rsidR="00B51ADA" w:rsidRPr="00EC23D8" w:rsidRDefault="00B51ADA" w:rsidP="00B51ADA">
      <w:pPr>
        <w:numPr>
          <w:ilvl w:val="0"/>
          <w:numId w:val="12"/>
        </w:numPr>
        <w:spacing w:after="0"/>
        <w:ind w:left="1069"/>
        <w:rPr>
          <w:rFonts w:cstheme="minorHAnsi"/>
        </w:rPr>
      </w:pPr>
      <w:r w:rsidRPr="00EC23D8">
        <w:rPr>
          <w:rFonts w:cstheme="minorHAnsi"/>
        </w:rPr>
        <w:t>w siedzibie Regionalnej Dyrekcji Ochrony Środowiska w Kielcach</w:t>
      </w:r>
    </w:p>
    <w:p w14:paraId="734FA320" w14:textId="77777777" w:rsidR="00B51ADA" w:rsidRPr="00EC23D8" w:rsidRDefault="00B51ADA" w:rsidP="00B51ADA">
      <w:pPr>
        <w:numPr>
          <w:ilvl w:val="0"/>
          <w:numId w:val="12"/>
        </w:numPr>
        <w:spacing w:after="0"/>
        <w:ind w:left="1069"/>
        <w:rPr>
          <w:rFonts w:cstheme="minorHAnsi"/>
        </w:rPr>
      </w:pPr>
      <w:r w:rsidRPr="00EC23D8">
        <w:rPr>
          <w:rFonts w:cstheme="minorHAnsi"/>
        </w:rPr>
        <w:t>w Biuletynie Informacji Publicznej Regionalnej Dyrekcji Ochrony Środowiska w Kielcach</w:t>
      </w:r>
    </w:p>
    <w:p w14:paraId="5131F304" w14:textId="77777777" w:rsidR="00B51ADA" w:rsidRPr="00EC23D8" w:rsidRDefault="00B51ADA" w:rsidP="00B51ADA">
      <w:pPr>
        <w:numPr>
          <w:ilvl w:val="0"/>
          <w:numId w:val="29"/>
        </w:numPr>
        <w:spacing w:after="0"/>
        <w:rPr>
          <w:rFonts w:cstheme="minorHAnsi"/>
        </w:rPr>
      </w:pPr>
      <w:r w:rsidRPr="00EC23D8">
        <w:rPr>
          <w:rFonts w:cstheme="minorHAnsi"/>
          <w:bCs/>
        </w:rPr>
        <w:t>aa</w:t>
      </w:r>
    </w:p>
    <w:p w14:paraId="5F8A4F28" w14:textId="77777777" w:rsidR="000F59ED" w:rsidRPr="000F59ED" w:rsidRDefault="000F59ED" w:rsidP="000F59ED">
      <w:pPr>
        <w:spacing w:after="0" w:line="360" w:lineRule="auto"/>
        <w:jc w:val="both"/>
        <w:rPr>
          <w:rFonts w:cstheme="minorHAnsi"/>
          <w:b/>
          <w:sz w:val="24"/>
          <w:szCs w:val="24"/>
          <w:u w:val="single"/>
        </w:rPr>
      </w:pPr>
    </w:p>
    <w:p w14:paraId="4F24FF37"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Art. 74 ust. 3 UUOŚ „Jeżeli liczba stron postępowania w sprawie wydania decyzji o środowiskowych uwarunkowaniach lub innego postępowania dotyczącego tej decyzji przekracza 10, stosuje się art. 49 Kodeksu postępowania administracyjnego”. </w:t>
      </w:r>
    </w:p>
    <w:p w14:paraId="595FC9A7"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Art. 39</w:t>
      </w:r>
      <w:r w:rsidRPr="000F59ED">
        <w:rPr>
          <w:rFonts w:cstheme="minorHAnsi"/>
          <w:sz w:val="24"/>
          <w:szCs w:val="24"/>
          <w:vertAlign w:val="superscript"/>
        </w:rPr>
        <w:t>3</w:t>
      </w:r>
      <w:r w:rsidRPr="000F59ED">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4AC8025B"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w:t>
      </w:r>
      <w:r w:rsidRPr="000F59ED">
        <w:rPr>
          <w:rFonts w:cstheme="minorHAnsi"/>
          <w:sz w:val="24"/>
          <w:szCs w:val="24"/>
        </w:rPr>
        <w:lastRenderedPageBreak/>
        <w:t xml:space="preserve">miejscowości lub przez udostępnienie pisma w Biuletynie Informacji Publicznej na stronie podmiotowej właściwego organu administracji publicznej”. </w:t>
      </w:r>
    </w:p>
    <w:p w14:paraId="760F2C1B" w14:textId="77777777" w:rsidR="000F59ED" w:rsidRPr="000F59ED" w:rsidRDefault="000F59ED" w:rsidP="000F59ED">
      <w:pPr>
        <w:spacing w:after="0" w:line="360" w:lineRule="auto"/>
        <w:jc w:val="both"/>
        <w:rPr>
          <w:rFonts w:cstheme="minorHAnsi"/>
          <w:sz w:val="24"/>
          <w:szCs w:val="24"/>
        </w:rPr>
      </w:pPr>
      <w:r w:rsidRPr="000F59ED">
        <w:rPr>
          <w:rFonts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sectPr w:rsidR="000F59ED" w:rsidRPr="000F59ED"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A294" w14:textId="77777777" w:rsidR="00E23F4A" w:rsidRDefault="00E23F4A" w:rsidP="00263043">
      <w:pPr>
        <w:spacing w:after="0" w:line="240" w:lineRule="auto"/>
      </w:pPr>
      <w:r>
        <w:separator/>
      </w:r>
    </w:p>
  </w:endnote>
  <w:endnote w:type="continuationSeparator" w:id="0">
    <w:p w14:paraId="36028CEB" w14:textId="77777777" w:rsidR="00E23F4A" w:rsidRDefault="00E23F4A"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D9D1" w14:textId="77777777" w:rsidR="00E23F4A" w:rsidRDefault="00E23F4A" w:rsidP="00263043">
      <w:pPr>
        <w:spacing w:after="0" w:line="240" w:lineRule="auto"/>
      </w:pPr>
      <w:r>
        <w:separator/>
      </w:r>
    </w:p>
  </w:footnote>
  <w:footnote w:type="continuationSeparator" w:id="0">
    <w:p w14:paraId="34BBC1E4" w14:textId="77777777" w:rsidR="00E23F4A" w:rsidRDefault="00E23F4A"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8" name="Obraz 8"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7734A86A"/>
    <w:name w:val="WW8Num21"/>
    <w:lvl w:ilvl="0">
      <w:start w:val="1"/>
      <w:numFmt w:val="decimal"/>
      <w:lvlText w:val="%1."/>
      <w:lvlJc w:val="left"/>
      <w:pPr>
        <w:tabs>
          <w:tab w:val="num" w:pos="0"/>
        </w:tabs>
        <w:ind w:left="360" w:hanging="360"/>
      </w:pPr>
      <w:rPr>
        <w:rFonts w:ascii="Garamond" w:hAnsi="Garamond" w:cs="Symbol" w:hint="default"/>
        <w:b/>
        <w:color w:val="auto"/>
        <w:sz w:val="22"/>
        <w:szCs w:val="16"/>
      </w:rPr>
    </w:lvl>
  </w:abstractNum>
  <w:abstractNum w:abstractNumId="1"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8"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F790DED"/>
    <w:multiLevelType w:val="hybridMultilevel"/>
    <w:tmpl w:val="02E2DC08"/>
    <w:lvl w:ilvl="0" w:tplc="2570C222">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0858531">
    <w:abstractNumId w:val="2"/>
  </w:num>
  <w:num w:numId="2" w16cid:durableId="362940796">
    <w:abstractNumId w:val="26"/>
  </w:num>
  <w:num w:numId="3" w16cid:durableId="552087064">
    <w:abstractNumId w:val="8"/>
  </w:num>
  <w:num w:numId="4" w16cid:durableId="1445686538">
    <w:abstractNumId w:val="10"/>
  </w:num>
  <w:num w:numId="5" w16cid:durableId="811672862">
    <w:abstractNumId w:val="13"/>
  </w:num>
  <w:num w:numId="6" w16cid:durableId="1493907644">
    <w:abstractNumId w:val="15"/>
  </w:num>
  <w:num w:numId="7" w16cid:durableId="49038634">
    <w:abstractNumId w:val="20"/>
  </w:num>
  <w:num w:numId="8" w16cid:durableId="1432967803">
    <w:abstractNumId w:val="11"/>
  </w:num>
  <w:num w:numId="9" w16cid:durableId="1166239526">
    <w:abstractNumId w:val="7"/>
  </w:num>
  <w:num w:numId="10" w16cid:durableId="275018998">
    <w:abstractNumId w:val="18"/>
  </w:num>
  <w:num w:numId="11" w16cid:durableId="1989239173">
    <w:abstractNumId w:val="1"/>
  </w:num>
  <w:num w:numId="12" w16cid:durableId="1131174663">
    <w:abstractNumId w:val="19"/>
  </w:num>
  <w:num w:numId="13" w16cid:durableId="786000414">
    <w:abstractNumId w:val="4"/>
  </w:num>
  <w:num w:numId="14" w16cid:durableId="1611204665">
    <w:abstractNumId w:val="5"/>
  </w:num>
  <w:num w:numId="15" w16cid:durableId="2110881017">
    <w:abstractNumId w:val="14"/>
  </w:num>
  <w:num w:numId="16" w16cid:durableId="773593892">
    <w:abstractNumId w:val="24"/>
  </w:num>
  <w:num w:numId="17" w16cid:durableId="368845863">
    <w:abstractNumId w:val="22"/>
  </w:num>
  <w:num w:numId="18" w16cid:durableId="370149602">
    <w:abstractNumId w:val="12"/>
  </w:num>
  <w:num w:numId="19" w16cid:durableId="1191408383">
    <w:abstractNumId w:val="16"/>
  </w:num>
  <w:num w:numId="20" w16cid:durableId="389578570">
    <w:abstractNumId w:val="23"/>
  </w:num>
  <w:num w:numId="21" w16cid:durableId="1419717017">
    <w:abstractNumId w:val="9"/>
  </w:num>
  <w:num w:numId="22" w16cid:durableId="546187262">
    <w:abstractNumId w:val="21"/>
  </w:num>
  <w:num w:numId="23" w16cid:durableId="2095399351">
    <w:abstractNumId w:val="17"/>
  </w:num>
  <w:num w:numId="24" w16cid:durableId="1683700552">
    <w:abstractNumId w:val="3"/>
  </w:num>
  <w:num w:numId="25" w16cid:durableId="11416486">
    <w:abstractNumId w:val="27"/>
  </w:num>
  <w:num w:numId="26" w16cid:durableId="821889903">
    <w:abstractNumId w:val="6"/>
  </w:num>
  <w:num w:numId="27" w16cid:durableId="17756346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307910">
    <w:abstractNumId w:val="28"/>
  </w:num>
  <w:num w:numId="29" w16cid:durableId="194892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25B67"/>
    <w:rsid w:val="000301A4"/>
    <w:rsid w:val="000307AE"/>
    <w:rsid w:val="000337A0"/>
    <w:rsid w:val="00035D00"/>
    <w:rsid w:val="000371F7"/>
    <w:rsid w:val="000403F8"/>
    <w:rsid w:val="0004178A"/>
    <w:rsid w:val="00041C9B"/>
    <w:rsid w:val="00046A05"/>
    <w:rsid w:val="00046B29"/>
    <w:rsid w:val="000556E7"/>
    <w:rsid w:val="00055D84"/>
    <w:rsid w:val="000601CF"/>
    <w:rsid w:val="000618FD"/>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59ED"/>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54A0E"/>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1F31B6"/>
    <w:rsid w:val="00202794"/>
    <w:rsid w:val="00215C5A"/>
    <w:rsid w:val="0023477A"/>
    <w:rsid w:val="0024518F"/>
    <w:rsid w:val="00247287"/>
    <w:rsid w:val="00247937"/>
    <w:rsid w:val="00260622"/>
    <w:rsid w:val="00261A4B"/>
    <w:rsid w:val="00261E4B"/>
    <w:rsid w:val="00263043"/>
    <w:rsid w:val="002644DC"/>
    <w:rsid w:val="00264618"/>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0F2A"/>
    <w:rsid w:val="0033428A"/>
    <w:rsid w:val="003408C5"/>
    <w:rsid w:val="003429B6"/>
    <w:rsid w:val="00342D15"/>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585C"/>
    <w:rsid w:val="004A4D60"/>
    <w:rsid w:val="004A79B2"/>
    <w:rsid w:val="004C0EF7"/>
    <w:rsid w:val="004C4BEC"/>
    <w:rsid w:val="004C60D2"/>
    <w:rsid w:val="004C7C92"/>
    <w:rsid w:val="004D2C9B"/>
    <w:rsid w:val="004F2411"/>
    <w:rsid w:val="004F36AB"/>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D1F5C"/>
    <w:rsid w:val="005F231C"/>
    <w:rsid w:val="005F275C"/>
    <w:rsid w:val="005F45F3"/>
    <w:rsid w:val="005F4DB4"/>
    <w:rsid w:val="005F7138"/>
    <w:rsid w:val="00605756"/>
    <w:rsid w:val="0062797F"/>
    <w:rsid w:val="0063371E"/>
    <w:rsid w:val="00633C6F"/>
    <w:rsid w:val="0063551A"/>
    <w:rsid w:val="00636326"/>
    <w:rsid w:val="006432BA"/>
    <w:rsid w:val="0064396E"/>
    <w:rsid w:val="00644F5A"/>
    <w:rsid w:val="0064534E"/>
    <w:rsid w:val="006564F1"/>
    <w:rsid w:val="00656B07"/>
    <w:rsid w:val="00660B0A"/>
    <w:rsid w:val="006642C2"/>
    <w:rsid w:val="0066434F"/>
    <w:rsid w:val="00665DC6"/>
    <w:rsid w:val="0066613F"/>
    <w:rsid w:val="0066651C"/>
    <w:rsid w:val="00676816"/>
    <w:rsid w:val="00685A71"/>
    <w:rsid w:val="006921FB"/>
    <w:rsid w:val="006A4C2A"/>
    <w:rsid w:val="006A55EC"/>
    <w:rsid w:val="006C54D8"/>
    <w:rsid w:val="006F28B4"/>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673C4"/>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5138A"/>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51ADA"/>
    <w:rsid w:val="00B51C73"/>
    <w:rsid w:val="00B61545"/>
    <w:rsid w:val="00B67CB9"/>
    <w:rsid w:val="00B82FB7"/>
    <w:rsid w:val="00B8333F"/>
    <w:rsid w:val="00B85EE1"/>
    <w:rsid w:val="00B87034"/>
    <w:rsid w:val="00B871CD"/>
    <w:rsid w:val="00B93313"/>
    <w:rsid w:val="00B9460B"/>
    <w:rsid w:val="00BA02CC"/>
    <w:rsid w:val="00BA374C"/>
    <w:rsid w:val="00BA6106"/>
    <w:rsid w:val="00BC0F96"/>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56D8"/>
    <w:rsid w:val="00CF60D6"/>
    <w:rsid w:val="00D0735F"/>
    <w:rsid w:val="00D13EB0"/>
    <w:rsid w:val="00D17A11"/>
    <w:rsid w:val="00D238FF"/>
    <w:rsid w:val="00D2697E"/>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3F4A"/>
    <w:rsid w:val="00E27D09"/>
    <w:rsid w:val="00E32567"/>
    <w:rsid w:val="00E373D1"/>
    <w:rsid w:val="00E378A5"/>
    <w:rsid w:val="00E44459"/>
    <w:rsid w:val="00E514D2"/>
    <w:rsid w:val="00E5360F"/>
    <w:rsid w:val="00E56774"/>
    <w:rsid w:val="00E579DA"/>
    <w:rsid w:val="00E67C56"/>
    <w:rsid w:val="00E67C92"/>
    <w:rsid w:val="00E70EBC"/>
    <w:rsid w:val="00E839CE"/>
    <w:rsid w:val="00E85099"/>
    <w:rsid w:val="00E8602B"/>
    <w:rsid w:val="00E96269"/>
    <w:rsid w:val="00E9725A"/>
    <w:rsid w:val="00EA4546"/>
    <w:rsid w:val="00EA4ACE"/>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51B5B"/>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E4390-FA24-4752-BEDE-7D394C5B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633</Words>
  <Characters>3804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Cieplicka-Pawlik Kinga</cp:lastModifiedBy>
  <cp:revision>12</cp:revision>
  <cp:lastPrinted>2023-10-17T11:15:00Z</cp:lastPrinted>
  <dcterms:created xsi:type="dcterms:W3CDTF">2023-10-17T12:58:00Z</dcterms:created>
  <dcterms:modified xsi:type="dcterms:W3CDTF">2025-02-05T08:57:00Z</dcterms:modified>
</cp:coreProperties>
</file>