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DB4E" w14:textId="77777777" w:rsidR="00703926" w:rsidRPr="00C42F8A" w:rsidRDefault="00703926" w:rsidP="00D857BB">
      <w:pPr>
        <w:jc w:val="both"/>
        <w:rPr>
          <w:rFonts w:ascii="Arial" w:hAnsi="Arial" w:cs="Arial"/>
          <w:b/>
          <w:u w:val="single"/>
        </w:rPr>
      </w:pPr>
    </w:p>
    <w:p w14:paraId="43B51F65" w14:textId="45A1A451" w:rsidR="00703926" w:rsidRPr="00C42F8A" w:rsidRDefault="00703926" w:rsidP="00703926">
      <w:pPr>
        <w:jc w:val="right"/>
        <w:rPr>
          <w:rFonts w:ascii="Arial" w:hAnsi="Arial" w:cs="Arial"/>
          <w:u w:val="single"/>
        </w:rPr>
      </w:pPr>
      <w:r w:rsidRPr="00C42F8A">
        <w:rPr>
          <w:rFonts w:ascii="Arial" w:hAnsi="Arial" w:cs="Arial"/>
          <w:b/>
          <w:u w:val="single"/>
        </w:rPr>
        <w:t xml:space="preserve">Załącznik nr </w:t>
      </w:r>
      <w:r w:rsidR="00F761BB" w:rsidRPr="00C42F8A">
        <w:rPr>
          <w:rFonts w:ascii="Arial" w:hAnsi="Arial" w:cs="Arial"/>
          <w:b/>
          <w:u w:val="single"/>
        </w:rPr>
        <w:t>2</w:t>
      </w:r>
    </w:p>
    <w:p w14:paraId="16823A4A" w14:textId="77777777" w:rsidR="0011273B" w:rsidRPr="00C42F8A" w:rsidRDefault="0011273B" w:rsidP="0011273B">
      <w:pPr>
        <w:jc w:val="both"/>
        <w:rPr>
          <w:rFonts w:ascii="Arial" w:hAnsi="Arial" w:cs="Arial"/>
          <w:b/>
          <w:u w:val="single"/>
        </w:rPr>
      </w:pPr>
      <w:r w:rsidRPr="00C42F8A">
        <w:rPr>
          <w:rFonts w:ascii="Arial" w:hAnsi="Arial" w:cs="Arial"/>
          <w:b/>
          <w:u w:val="single"/>
        </w:rPr>
        <w:t>Szczegółowy opis przedmiotu zamówienia</w:t>
      </w:r>
    </w:p>
    <w:p w14:paraId="1D02DF22" w14:textId="77777777" w:rsidR="0011273B" w:rsidRPr="00C42F8A" w:rsidRDefault="0011273B" w:rsidP="0011273B">
      <w:p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Poniżej znajduje się szczegółowy opis przedmiotu zamówienia. Są to wymogi m</w:t>
      </w:r>
      <w:r w:rsidR="008E7A12" w:rsidRPr="00C42F8A">
        <w:rPr>
          <w:rFonts w:ascii="Arial" w:hAnsi="Arial" w:cs="Arial"/>
        </w:rPr>
        <w:t>inimalne</w:t>
      </w:r>
      <w:r w:rsidRPr="00C42F8A">
        <w:rPr>
          <w:rFonts w:ascii="Arial" w:hAnsi="Arial" w:cs="Arial"/>
        </w:rPr>
        <w:t xml:space="preserve"> dla systemu informacyjno-analitycznego zamawianego w ramach postępowania. </w:t>
      </w:r>
    </w:p>
    <w:p w14:paraId="1236E250" w14:textId="7BDCDF44" w:rsidR="0011273B" w:rsidRPr="00C42F8A" w:rsidRDefault="007215A6" w:rsidP="0011273B">
      <w:p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Przedmiotem Umowy jest usługa dostępu do gotowego, istniejącego systemu informacyjno-analitycznego, przy wykorzystaniu którego Zamawiający uzyska dostęp do informacji finansowych spółek notowanych na giełdach papierów wartościowych, notowań akcji oraz innych instrumentów finansowych, informacji z rynków surowcowych oraz informacji makroekonomicznych. </w:t>
      </w:r>
      <w:r w:rsidR="0011273B" w:rsidRPr="00C42F8A">
        <w:rPr>
          <w:rFonts w:ascii="Arial" w:hAnsi="Arial" w:cs="Arial"/>
        </w:rPr>
        <w:t xml:space="preserve">Zasięg geograficzny informacji udostępnianych przez system powinien być globalny. Przedmiotem zamówienia jest dostęp do systemu dla </w:t>
      </w:r>
      <w:r w:rsidR="000110C0" w:rsidRPr="00C42F8A">
        <w:rPr>
          <w:rFonts w:ascii="Arial" w:hAnsi="Arial" w:cs="Arial"/>
        </w:rPr>
        <w:t>dwóch</w:t>
      </w:r>
      <w:r w:rsidR="0011273B" w:rsidRPr="00C42F8A">
        <w:rPr>
          <w:rFonts w:ascii="Arial" w:hAnsi="Arial" w:cs="Arial"/>
        </w:rPr>
        <w:t xml:space="preserve"> </w:t>
      </w:r>
      <w:r w:rsidR="00F3481E" w:rsidRPr="00C42F8A">
        <w:rPr>
          <w:rFonts w:ascii="Arial" w:hAnsi="Arial" w:cs="Arial"/>
        </w:rPr>
        <w:t xml:space="preserve">niezależnych </w:t>
      </w:r>
      <w:r w:rsidR="0011273B" w:rsidRPr="00C42F8A">
        <w:rPr>
          <w:rFonts w:ascii="Arial" w:hAnsi="Arial" w:cs="Arial"/>
        </w:rPr>
        <w:t>użytkowników.</w:t>
      </w:r>
      <w:r w:rsidR="000110C0" w:rsidRPr="00C42F8A">
        <w:rPr>
          <w:rFonts w:ascii="Arial" w:hAnsi="Arial" w:cs="Arial"/>
        </w:rPr>
        <w:t xml:space="preserve"> </w:t>
      </w:r>
    </w:p>
    <w:p w14:paraId="5E94CB10" w14:textId="77777777" w:rsidR="0011273B" w:rsidRPr="00C42F8A" w:rsidRDefault="0011273B" w:rsidP="0011273B">
      <w:p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Oferowany system informacyjno-analityczny powinien posiadać poniżej wymienione funkcjonalności:</w:t>
      </w:r>
    </w:p>
    <w:p w14:paraId="45125A76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Bezpośrednie importowanie danych finansowych spółek notowanych na giełdach papierów wartościowych do MS Excel, zintegrowanego z systemem, w układzie rocznym, kwartalnym oraz TTM.</w:t>
      </w:r>
    </w:p>
    <w:p w14:paraId="6C2531B6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Informacje finansowe spółek udostępniane przez system powinny zawierać odwołanie (przekierowanie) do źródła informacji, z którego zostały importowane do systemu.</w:t>
      </w:r>
    </w:p>
    <w:p w14:paraId="69F112F1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Bezpośrednia importowanie do MS Excel, zintegrowanego z systemem, notowań akcji</w:t>
      </w:r>
      <w:r w:rsidR="00AF1076" w:rsidRPr="00C42F8A">
        <w:rPr>
          <w:rFonts w:ascii="Arial" w:hAnsi="Arial" w:cs="Arial"/>
        </w:rPr>
        <w:t>,</w:t>
      </w:r>
      <w:r w:rsidRPr="00C42F8A">
        <w:rPr>
          <w:rFonts w:ascii="Arial" w:hAnsi="Arial" w:cs="Arial"/>
        </w:rPr>
        <w:t xml:space="preserve"> wskaźników finansowych oraz mnożników wyceny dla wybranej spółki lub szeregu spółek.</w:t>
      </w:r>
    </w:p>
    <w:p w14:paraId="6070A341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Bezpośrednie importowanie do MS Excel, zintegrowanego z systemem, notowań akcji oraz indeksów. Zasięg historyczny notowań powinien obejmować minimum 20 lat, a w przypadku krótszej historii notowań danego instrumentu – od pierwszego dnia notowań.</w:t>
      </w:r>
    </w:p>
    <w:p w14:paraId="5C33F08B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Możliwość utworzenia dashboardu w systemie, w którym na bieżąco będą się aktualizowały informacje dotyczące spółek oraz indeksów giełdowych. Informacje dostępne w dashboardzie powinny obejmować co najmniej:</w:t>
      </w:r>
    </w:p>
    <w:p w14:paraId="4F9FEEF8" w14:textId="77777777" w:rsidR="0011273B" w:rsidRPr="00C42F8A" w:rsidRDefault="0011273B" w:rsidP="0011273B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notowania akcji spółek (maksymalnie 15 minut opóźnienia),</w:t>
      </w:r>
    </w:p>
    <w:p w14:paraId="459F7E34" w14:textId="77777777" w:rsidR="0011273B" w:rsidRPr="00C42F8A" w:rsidRDefault="0011273B" w:rsidP="0011273B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wolumeny obrotu (w danym dniu sesyjnym oraz średni wolumen obrotów z poprzednich okresów, np. z ostatnich 3 miesięcy),</w:t>
      </w:r>
    </w:p>
    <w:p w14:paraId="12B97021" w14:textId="77777777" w:rsidR="0011273B" w:rsidRPr="00C42F8A" w:rsidRDefault="0011273B" w:rsidP="0011273B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kapitalizacje rynkowe,</w:t>
      </w:r>
    </w:p>
    <w:p w14:paraId="6F0F504B" w14:textId="77777777" w:rsidR="0011273B" w:rsidRPr="00C42F8A" w:rsidRDefault="0011273B" w:rsidP="0011273B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dane finansowe (w układzie rocznym, kwartalnym i TTM),</w:t>
      </w:r>
    </w:p>
    <w:p w14:paraId="398830D4" w14:textId="77777777" w:rsidR="0011273B" w:rsidRPr="00C42F8A" w:rsidRDefault="0011273B" w:rsidP="0011273B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wskaźniki finansowe (w układzie rocznym, kwartalnym i TTM),</w:t>
      </w:r>
    </w:p>
    <w:p w14:paraId="38C5F7ED" w14:textId="77777777" w:rsidR="0011273B" w:rsidRPr="00C42F8A" w:rsidRDefault="0011273B" w:rsidP="0011273B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mnożniki wartości.</w:t>
      </w:r>
    </w:p>
    <w:p w14:paraId="1DC520CE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Dostęp do informacji medialnych, wraz z wyborem ich źródeł i zakresu, przykładowo:</w:t>
      </w:r>
    </w:p>
    <w:p w14:paraId="2E885348" w14:textId="77777777" w:rsidR="0011273B" w:rsidRPr="00C42F8A" w:rsidRDefault="0011273B" w:rsidP="0011273B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dla wybranej spółki,</w:t>
      </w:r>
    </w:p>
    <w:p w14:paraId="3EEFBFD5" w14:textId="77777777" w:rsidR="0011273B" w:rsidRPr="00C42F8A" w:rsidRDefault="0011273B" w:rsidP="0011273B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dla regionów geograficznych/politycznych (np. UE).</w:t>
      </w:r>
    </w:p>
    <w:p w14:paraId="0E9F1D95" w14:textId="77777777" w:rsidR="0011273B" w:rsidRPr="00C42F8A" w:rsidRDefault="0011273B" w:rsidP="0011273B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dla danego rynku (np. rynek ropy, gazu, węgla).</w:t>
      </w:r>
    </w:p>
    <w:p w14:paraId="093E9062" w14:textId="1AE8B10A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Możliwość otrzymywania tematycznych newsletterów na adres email użytkownika dotyczących danego sektora gospodarki, danego obszaru geograficznego </w:t>
      </w:r>
      <w:r w:rsidR="00C42F8A">
        <w:rPr>
          <w:rFonts w:ascii="Arial" w:hAnsi="Arial" w:cs="Arial"/>
        </w:rPr>
        <w:br/>
      </w:r>
      <w:r w:rsidRPr="00C42F8A">
        <w:rPr>
          <w:rFonts w:ascii="Arial" w:hAnsi="Arial" w:cs="Arial"/>
        </w:rPr>
        <w:t>i politycznego (np. UE).</w:t>
      </w:r>
    </w:p>
    <w:p w14:paraId="4035BC5E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lastRenderedPageBreak/>
        <w:t>Dostęp do raportów analitycznych nt. spółek tworzonych przez brokerów (za zgodą firmy brokerskiej).</w:t>
      </w:r>
    </w:p>
    <w:p w14:paraId="39DA1B17" w14:textId="77777777" w:rsidR="00F3481E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Dostęp do indeksów notowań cen surowców</w:t>
      </w:r>
      <w:r w:rsidR="00F3481E" w:rsidRPr="00C42F8A">
        <w:rPr>
          <w:rFonts w:ascii="Arial" w:hAnsi="Arial" w:cs="Arial"/>
        </w:rPr>
        <w:t>, w tym:</w:t>
      </w:r>
    </w:p>
    <w:p w14:paraId="2D4A237B" w14:textId="77777777" w:rsidR="00F3481E" w:rsidRPr="00C42F8A" w:rsidRDefault="00F3481E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cen miedzi (</w:t>
      </w:r>
      <w:r w:rsidR="0011273B" w:rsidRPr="00C42F8A">
        <w:rPr>
          <w:rFonts w:ascii="Arial" w:hAnsi="Arial" w:cs="Arial"/>
        </w:rPr>
        <w:t xml:space="preserve">LME), </w:t>
      </w:r>
    </w:p>
    <w:p w14:paraId="5E683CED" w14:textId="77777777" w:rsidR="00F3481E" w:rsidRPr="00C42F8A" w:rsidRDefault="0011273B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cen gazu ziemnego (TTF, GPW TGE), </w:t>
      </w:r>
    </w:p>
    <w:p w14:paraId="4246EC23" w14:textId="220FD90A" w:rsidR="00F3481E" w:rsidRPr="00C42F8A" w:rsidRDefault="00F3481E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cen gazu LNG (ACER),</w:t>
      </w:r>
    </w:p>
    <w:p w14:paraId="6CAF7533" w14:textId="55061093" w:rsidR="00F3481E" w:rsidRPr="00C42F8A" w:rsidRDefault="00F3481E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cena złota i srebra,</w:t>
      </w:r>
    </w:p>
    <w:p w14:paraId="5FE8CF41" w14:textId="77777777" w:rsidR="00F3481E" w:rsidRPr="00C42F8A" w:rsidRDefault="0011273B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cen węgla kamiennego (ARA), </w:t>
      </w:r>
    </w:p>
    <w:p w14:paraId="36ADF1BC" w14:textId="31F80CB6" w:rsidR="00F3481E" w:rsidRPr="00C42F8A" w:rsidRDefault="00F3481E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cen węgla koksowego (SGX TSI FOB Australia Premium Coking Coal),</w:t>
      </w:r>
    </w:p>
    <w:p w14:paraId="6DF2C372" w14:textId="2140B5F2" w:rsidR="00F3481E" w:rsidRPr="00C42F8A" w:rsidRDefault="0011273B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cen energii elektrycznej (GPW TGE), </w:t>
      </w:r>
    </w:p>
    <w:p w14:paraId="753B5845" w14:textId="77777777" w:rsidR="00F3481E" w:rsidRPr="00C42F8A" w:rsidRDefault="0011273B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cen ropy naftowej, </w:t>
      </w:r>
    </w:p>
    <w:p w14:paraId="688847E6" w14:textId="51865481" w:rsidR="0011273B" w:rsidRPr="00C42F8A" w:rsidRDefault="0011273B" w:rsidP="00F3481E">
      <w:pPr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cen uprawnień do emisji CO2 w UE</w:t>
      </w:r>
      <w:r w:rsidR="00F3481E" w:rsidRPr="00C42F8A">
        <w:rPr>
          <w:rFonts w:ascii="Arial" w:hAnsi="Arial" w:cs="Arial"/>
        </w:rPr>
        <w:t>.</w:t>
      </w:r>
    </w:p>
    <w:p w14:paraId="4F3B3605" w14:textId="6BDC96F6" w:rsidR="0011273B" w:rsidRPr="00C42F8A" w:rsidRDefault="0011273B" w:rsidP="002D4A13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>Dostęp do aktualnych i historycznych informacji makroekonomicznych</w:t>
      </w:r>
      <w:r w:rsidR="002D4A13" w:rsidRPr="00C42F8A">
        <w:rPr>
          <w:rFonts w:ascii="Arial" w:hAnsi="Arial" w:cs="Arial"/>
        </w:rPr>
        <w:t xml:space="preserve"> </w:t>
      </w:r>
      <w:r w:rsidR="00C42F8A">
        <w:rPr>
          <w:rFonts w:ascii="Arial" w:hAnsi="Arial" w:cs="Arial"/>
        </w:rPr>
        <w:br/>
      </w:r>
      <w:r w:rsidR="002D4A13" w:rsidRPr="00C42F8A">
        <w:rPr>
          <w:rFonts w:ascii="Arial" w:hAnsi="Arial" w:cs="Arial"/>
        </w:rPr>
        <w:t>z</w:t>
      </w:r>
      <w:r w:rsidRPr="00C42F8A">
        <w:rPr>
          <w:rFonts w:ascii="Arial" w:hAnsi="Arial" w:cs="Arial"/>
        </w:rPr>
        <w:t xml:space="preserve"> poszczególnych państw (w tym między innymi: inflacja CPI, produkcja przemysłowa, sprzedaż detaliczna, PKB, PMI). Dostęp do konsensusu prognoz makroekonomicznych dla poszczególnych państw z możliwością sprawdzenia </w:t>
      </w:r>
      <w:r w:rsidR="002D4A13" w:rsidRPr="00C42F8A">
        <w:rPr>
          <w:rFonts w:ascii="Arial" w:hAnsi="Arial" w:cs="Arial"/>
        </w:rPr>
        <w:t>składowych</w:t>
      </w:r>
      <w:r w:rsidRPr="00C42F8A">
        <w:rPr>
          <w:rFonts w:ascii="Arial" w:hAnsi="Arial" w:cs="Arial"/>
        </w:rPr>
        <w:t xml:space="preserve"> tych prognoz. Wyżej wymienione powinny obejmować również dane makroekonomiczne i prognozy dla Strefy Euro.</w:t>
      </w:r>
    </w:p>
    <w:p w14:paraId="2D943423" w14:textId="08983C6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Możliwość zdalnego łączenia się z bazą za pomocą wbudowanego API. Umożliwienie w ten sposób pozyskania danych ilościowych z bazy, w tym danych historycznych. Zapewnienie dokumentacji i instrukcji opisujących funkcje do połączenia </w:t>
      </w:r>
      <w:r w:rsidR="00C42F8A">
        <w:rPr>
          <w:rFonts w:ascii="Arial" w:hAnsi="Arial" w:cs="Arial"/>
        </w:rPr>
        <w:br/>
      </w:r>
      <w:r w:rsidRPr="00C42F8A">
        <w:rPr>
          <w:rFonts w:ascii="Arial" w:hAnsi="Arial" w:cs="Arial"/>
        </w:rPr>
        <w:t>i pozyskiwania danych.</w:t>
      </w:r>
    </w:p>
    <w:p w14:paraId="29A0DFC8" w14:textId="77777777" w:rsidR="0011273B" w:rsidRPr="00C42F8A" w:rsidRDefault="0011273B" w:rsidP="0011273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Dostęp do wsparcia technicznego w zakresie pozyskiwania danych i metodologii ich tworzenia. </w:t>
      </w:r>
    </w:p>
    <w:p w14:paraId="1BB5D6EC" w14:textId="7891B021" w:rsidR="0011273B" w:rsidRPr="00C42F8A" w:rsidRDefault="0011273B" w:rsidP="0011273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42F8A">
        <w:rPr>
          <w:rFonts w:ascii="Arial" w:hAnsi="Arial" w:cs="Arial"/>
        </w:rPr>
        <w:t xml:space="preserve">Dostęp do </w:t>
      </w:r>
      <w:r w:rsidR="000110C0" w:rsidRPr="00C42F8A">
        <w:rPr>
          <w:rFonts w:ascii="Arial" w:hAnsi="Arial" w:cs="Arial"/>
        </w:rPr>
        <w:t>instruktarzy</w:t>
      </w:r>
      <w:r w:rsidRPr="00C42F8A">
        <w:rPr>
          <w:rFonts w:ascii="Arial" w:hAnsi="Arial" w:cs="Arial"/>
        </w:rPr>
        <w:t xml:space="preserve"> on-line oraz podręczników w formie elektronicznej (np. pdf, video) </w:t>
      </w:r>
      <w:r w:rsidR="000110C0" w:rsidRPr="00C42F8A">
        <w:rPr>
          <w:rFonts w:ascii="Arial" w:hAnsi="Arial" w:cs="Arial"/>
        </w:rPr>
        <w:t>wyjaśniających funkcjonalności systemu.</w:t>
      </w:r>
    </w:p>
    <w:p w14:paraId="2A02D85A" w14:textId="77777777" w:rsidR="005C1F50" w:rsidRPr="00C42F8A" w:rsidRDefault="005C1F50" w:rsidP="00F4298A">
      <w:pPr>
        <w:jc w:val="both"/>
        <w:rPr>
          <w:rFonts w:ascii="Arial" w:hAnsi="Arial" w:cs="Arial"/>
        </w:rPr>
      </w:pPr>
    </w:p>
    <w:p w14:paraId="4A32CC83" w14:textId="77777777" w:rsidR="00B97BC2" w:rsidRPr="00C42F8A" w:rsidRDefault="00B97BC2" w:rsidP="00BE314C">
      <w:pPr>
        <w:pStyle w:val="Akapitzlist"/>
        <w:jc w:val="both"/>
        <w:rPr>
          <w:rFonts w:ascii="Arial" w:hAnsi="Arial" w:cs="Arial"/>
        </w:rPr>
      </w:pPr>
    </w:p>
    <w:p w14:paraId="19DC92F0" w14:textId="77777777" w:rsidR="005C1F50" w:rsidRPr="00C42F8A" w:rsidRDefault="005C1F50" w:rsidP="00F4298A">
      <w:pPr>
        <w:jc w:val="both"/>
        <w:rPr>
          <w:rFonts w:ascii="Arial" w:hAnsi="Arial" w:cs="Arial"/>
        </w:rPr>
      </w:pPr>
    </w:p>
    <w:sectPr w:rsidR="005C1F50" w:rsidRPr="00C42F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D1F9" w14:textId="77777777" w:rsidR="001308F1" w:rsidRDefault="001308F1" w:rsidP="00F146DF">
      <w:pPr>
        <w:spacing w:after="0" w:line="240" w:lineRule="auto"/>
      </w:pPr>
      <w:r>
        <w:separator/>
      </w:r>
    </w:p>
  </w:endnote>
  <w:endnote w:type="continuationSeparator" w:id="0">
    <w:p w14:paraId="65054BE2" w14:textId="77777777" w:rsidR="001308F1" w:rsidRDefault="001308F1" w:rsidP="00F146DF">
      <w:pPr>
        <w:spacing w:after="0" w:line="240" w:lineRule="auto"/>
      </w:pPr>
      <w:r>
        <w:continuationSeparator/>
      </w:r>
    </w:p>
  </w:endnote>
  <w:endnote w:type="continuationNotice" w:id="1">
    <w:p w14:paraId="1AC8B6FB" w14:textId="77777777" w:rsidR="001308F1" w:rsidRDefault="00130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435587"/>
      <w:docPartObj>
        <w:docPartGallery w:val="Page Numbers (Bottom of Page)"/>
        <w:docPartUnique/>
      </w:docPartObj>
    </w:sdtPr>
    <w:sdtContent>
      <w:p w14:paraId="6566B75C" w14:textId="77777777" w:rsidR="00D857BB" w:rsidRDefault="00D857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A12">
          <w:rPr>
            <w:noProof/>
          </w:rPr>
          <w:t>1</w:t>
        </w:r>
        <w:r>
          <w:fldChar w:fldCharType="end"/>
        </w:r>
      </w:p>
    </w:sdtContent>
  </w:sdt>
  <w:p w14:paraId="30953F75" w14:textId="77777777" w:rsidR="00D857BB" w:rsidRDefault="00D85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2588" w14:textId="77777777" w:rsidR="001308F1" w:rsidRDefault="001308F1" w:rsidP="00F146DF">
      <w:pPr>
        <w:spacing w:after="0" w:line="240" w:lineRule="auto"/>
      </w:pPr>
      <w:r>
        <w:separator/>
      </w:r>
    </w:p>
  </w:footnote>
  <w:footnote w:type="continuationSeparator" w:id="0">
    <w:p w14:paraId="153C31A1" w14:textId="77777777" w:rsidR="001308F1" w:rsidRDefault="001308F1" w:rsidP="00F146DF">
      <w:pPr>
        <w:spacing w:after="0" w:line="240" w:lineRule="auto"/>
      </w:pPr>
      <w:r>
        <w:continuationSeparator/>
      </w:r>
    </w:p>
  </w:footnote>
  <w:footnote w:type="continuationNotice" w:id="1">
    <w:p w14:paraId="1BBE251C" w14:textId="77777777" w:rsidR="001308F1" w:rsidRDefault="001308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B065" w14:textId="77777777" w:rsidR="00F146DF" w:rsidRDefault="00F146DF">
    <w:pPr>
      <w:pStyle w:val="Nagwek"/>
      <w:jc w:val="right"/>
    </w:pPr>
  </w:p>
  <w:p w14:paraId="4864D6CD" w14:textId="77777777" w:rsidR="00F146DF" w:rsidRDefault="00F14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5ED"/>
    <w:multiLevelType w:val="hybridMultilevel"/>
    <w:tmpl w:val="ACBAE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499"/>
    <w:multiLevelType w:val="hybridMultilevel"/>
    <w:tmpl w:val="6FB280A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2F6688"/>
    <w:multiLevelType w:val="hybridMultilevel"/>
    <w:tmpl w:val="6BA65AA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EE4581D"/>
    <w:multiLevelType w:val="hybridMultilevel"/>
    <w:tmpl w:val="315C1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616B"/>
    <w:multiLevelType w:val="hybridMultilevel"/>
    <w:tmpl w:val="CAE2D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D7A"/>
    <w:multiLevelType w:val="hybridMultilevel"/>
    <w:tmpl w:val="91BEB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B4F14"/>
    <w:multiLevelType w:val="hybridMultilevel"/>
    <w:tmpl w:val="092AEC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C5225"/>
    <w:multiLevelType w:val="hybridMultilevel"/>
    <w:tmpl w:val="4CD2A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45033">
    <w:abstractNumId w:val="5"/>
  </w:num>
  <w:num w:numId="2" w16cid:durableId="1024476701">
    <w:abstractNumId w:val="1"/>
  </w:num>
  <w:num w:numId="3" w16cid:durableId="2080906620">
    <w:abstractNumId w:val="2"/>
  </w:num>
  <w:num w:numId="4" w16cid:durableId="1839927644">
    <w:abstractNumId w:val="3"/>
  </w:num>
  <w:num w:numId="5" w16cid:durableId="1520374">
    <w:abstractNumId w:val="7"/>
  </w:num>
  <w:num w:numId="6" w16cid:durableId="1465662545">
    <w:abstractNumId w:val="6"/>
  </w:num>
  <w:num w:numId="7" w16cid:durableId="395476966">
    <w:abstractNumId w:val="0"/>
  </w:num>
  <w:num w:numId="8" w16cid:durableId="589387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B4"/>
    <w:rsid w:val="000044BC"/>
    <w:rsid w:val="00006B76"/>
    <w:rsid w:val="000110C0"/>
    <w:rsid w:val="0001152A"/>
    <w:rsid w:val="00025560"/>
    <w:rsid w:val="00037732"/>
    <w:rsid w:val="000555A0"/>
    <w:rsid w:val="000670FD"/>
    <w:rsid w:val="00075558"/>
    <w:rsid w:val="000959C5"/>
    <w:rsid w:val="00096FEB"/>
    <w:rsid w:val="000C0854"/>
    <w:rsid w:val="000C2408"/>
    <w:rsid w:val="000C2A47"/>
    <w:rsid w:val="0011273B"/>
    <w:rsid w:val="001308F1"/>
    <w:rsid w:val="00161220"/>
    <w:rsid w:val="001618EC"/>
    <w:rsid w:val="00167F18"/>
    <w:rsid w:val="001701E0"/>
    <w:rsid w:val="001A2A9D"/>
    <w:rsid w:val="001D19D0"/>
    <w:rsid w:val="001D7948"/>
    <w:rsid w:val="00201EE5"/>
    <w:rsid w:val="00217A0B"/>
    <w:rsid w:val="00222BB7"/>
    <w:rsid w:val="00231AE4"/>
    <w:rsid w:val="00260315"/>
    <w:rsid w:val="0027642F"/>
    <w:rsid w:val="00276ECC"/>
    <w:rsid w:val="002D4A13"/>
    <w:rsid w:val="002E54B4"/>
    <w:rsid w:val="002F6F68"/>
    <w:rsid w:val="00300EB5"/>
    <w:rsid w:val="0031018A"/>
    <w:rsid w:val="00313CF3"/>
    <w:rsid w:val="00314D06"/>
    <w:rsid w:val="003642B2"/>
    <w:rsid w:val="00394CFC"/>
    <w:rsid w:val="003B242A"/>
    <w:rsid w:val="003C5A0F"/>
    <w:rsid w:val="003D167F"/>
    <w:rsid w:val="003E20ED"/>
    <w:rsid w:val="003F3D02"/>
    <w:rsid w:val="00416BFE"/>
    <w:rsid w:val="00417D37"/>
    <w:rsid w:val="00430A12"/>
    <w:rsid w:val="00477039"/>
    <w:rsid w:val="00492E9F"/>
    <w:rsid w:val="004B629D"/>
    <w:rsid w:val="004C7745"/>
    <w:rsid w:val="004D5765"/>
    <w:rsid w:val="00506D42"/>
    <w:rsid w:val="00530F22"/>
    <w:rsid w:val="0057541C"/>
    <w:rsid w:val="0058108D"/>
    <w:rsid w:val="00586531"/>
    <w:rsid w:val="0059747F"/>
    <w:rsid w:val="005C1F50"/>
    <w:rsid w:val="005D1B49"/>
    <w:rsid w:val="005F3FFB"/>
    <w:rsid w:val="0061357A"/>
    <w:rsid w:val="0063532B"/>
    <w:rsid w:val="00652911"/>
    <w:rsid w:val="00653363"/>
    <w:rsid w:val="00677947"/>
    <w:rsid w:val="006D45E1"/>
    <w:rsid w:val="006F16DB"/>
    <w:rsid w:val="00703926"/>
    <w:rsid w:val="00707534"/>
    <w:rsid w:val="0071116C"/>
    <w:rsid w:val="0071701F"/>
    <w:rsid w:val="007215A6"/>
    <w:rsid w:val="00744D3F"/>
    <w:rsid w:val="00760C21"/>
    <w:rsid w:val="00787A44"/>
    <w:rsid w:val="007A3F28"/>
    <w:rsid w:val="007A59B1"/>
    <w:rsid w:val="007D5339"/>
    <w:rsid w:val="007E546F"/>
    <w:rsid w:val="0080466C"/>
    <w:rsid w:val="008126DB"/>
    <w:rsid w:val="0082688D"/>
    <w:rsid w:val="00847116"/>
    <w:rsid w:val="008A6F50"/>
    <w:rsid w:val="008C7EE6"/>
    <w:rsid w:val="008E7A12"/>
    <w:rsid w:val="008F1A97"/>
    <w:rsid w:val="0092217B"/>
    <w:rsid w:val="00934090"/>
    <w:rsid w:val="00935BF5"/>
    <w:rsid w:val="00967EA2"/>
    <w:rsid w:val="009840EC"/>
    <w:rsid w:val="009A40B1"/>
    <w:rsid w:val="009C64DF"/>
    <w:rsid w:val="009D1001"/>
    <w:rsid w:val="009E701A"/>
    <w:rsid w:val="00A0705A"/>
    <w:rsid w:val="00A11765"/>
    <w:rsid w:val="00A436A3"/>
    <w:rsid w:val="00A505FC"/>
    <w:rsid w:val="00AC7FD1"/>
    <w:rsid w:val="00AD7EA0"/>
    <w:rsid w:val="00AF1076"/>
    <w:rsid w:val="00B01B25"/>
    <w:rsid w:val="00B11F0E"/>
    <w:rsid w:val="00B13132"/>
    <w:rsid w:val="00B461E1"/>
    <w:rsid w:val="00B54897"/>
    <w:rsid w:val="00B92A14"/>
    <w:rsid w:val="00B97BC2"/>
    <w:rsid w:val="00BA47E6"/>
    <w:rsid w:val="00BB1CF4"/>
    <w:rsid w:val="00BE314C"/>
    <w:rsid w:val="00BE6781"/>
    <w:rsid w:val="00BF48C0"/>
    <w:rsid w:val="00C12FA4"/>
    <w:rsid w:val="00C42F8A"/>
    <w:rsid w:val="00C65D04"/>
    <w:rsid w:val="00C93D8E"/>
    <w:rsid w:val="00CA2B1E"/>
    <w:rsid w:val="00CC1911"/>
    <w:rsid w:val="00CC45B9"/>
    <w:rsid w:val="00CD5B4B"/>
    <w:rsid w:val="00D272C3"/>
    <w:rsid w:val="00D45346"/>
    <w:rsid w:val="00D71AD9"/>
    <w:rsid w:val="00D71D25"/>
    <w:rsid w:val="00D857BB"/>
    <w:rsid w:val="00DA471C"/>
    <w:rsid w:val="00DB4897"/>
    <w:rsid w:val="00DC1533"/>
    <w:rsid w:val="00DD2048"/>
    <w:rsid w:val="00DF4E50"/>
    <w:rsid w:val="00E40ABD"/>
    <w:rsid w:val="00E4389E"/>
    <w:rsid w:val="00E64030"/>
    <w:rsid w:val="00E9445D"/>
    <w:rsid w:val="00E972CC"/>
    <w:rsid w:val="00E97483"/>
    <w:rsid w:val="00ED30F3"/>
    <w:rsid w:val="00EE23CD"/>
    <w:rsid w:val="00F12D61"/>
    <w:rsid w:val="00F146DF"/>
    <w:rsid w:val="00F278CC"/>
    <w:rsid w:val="00F3481E"/>
    <w:rsid w:val="00F376EC"/>
    <w:rsid w:val="00F4298A"/>
    <w:rsid w:val="00F761BB"/>
    <w:rsid w:val="00FB4C5B"/>
    <w:rsid w:val="00FD1C8B"/>
    <w:rsid w:val="00FD5397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0F0F5"/>
  <w15:chartTrackingRefBased/>
  <w15:docId w15:val="{860C70E3-81DE-4F2D-A3F9-7D3CC55D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4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6DF"/>
  </w:style>
  <w:style w:type="paragraph" w:styleId="Stopka">
    <w:name w:val="footer"/>
    <w:basedOn w:val="Normalny"/>
    <w:link w:val="StopkaZnak"/>
    <w:uiPriority w:val="99"/>
    <w:unhideWhenUsed/>
    <w:rsid w:val="00F1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6DF"/>
  </w:style>
  <w:style w:type="table" w:styleId="Tabela-Siatka">
    <w:name w:val="Table Grid"/>
    <w:basedOn w:val="Standardowy"/>
    <w:uiPriority w:val="39"/>
    <w:rsid w:val="004C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F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2A7E-DFCA-4C52-A50B-3CB65F78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Wielgus Jakub</dc:creator>
  <cp:keywords/>
  <dc:description/>
  <cp:lastModifiedBy>Blaszczak Anna</cp:lastModifiedBy>
  <cp:revision>2</cp:revision>
  <dcterms:created xsi:type="dcterms:W3CDTF">2026-04-20T10:27:00Z</dcterms:created>
  <dcterms:modified xsi:type="dcterms:W3CDTF">2026-04-20T10:27:00Z</dcterms:modified>
</cp:coreProperties>
</file>