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4E8A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53ADDE7F" w14:textId="77777777" w:rsidR="00C93215" w:rsidRPr="006E6208" w:rsidRDefault="00F41BA5" w:rsidP="00F41BA5">
      <w:pPr>
        <w:spacing w:after="120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             </w:t>
      </w:r>
      <w:r w:rsidR="008973B1">
        <w:rPr>
          <w:rFonts w:ascii="Century Gothic" w:hAnsi="Century Gothic"/>
          <w:sz w:val="14"/>
          <w:szCs w:val="22"/>
        </w:rPr>
        <w:t>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503D8A39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63EC8F9C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054E4AE3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279B9991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175F24DF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381646A5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49A0F44B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3EC8BE9B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36452696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15E62003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3866CC90" w14:textId="77777777" w:rsidR="0021360E" w:rsidRDefault="00CD228F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 podstawie</w:t>
      </w:r>
      <w:r w:rsidR="009E26C2" w:rsidRPr="006E6208">
        <w:rPr>
          <w:rFonts w:ascii="Century Gothic" w:hAnsi="Century Gothic"/>
          <w:sz w:val="22"/>
          <w:szCs w:val="22"/>
        </w:rPr>
        <w:t xml:space="preserve"> </w:t>
      </w:r>
      <w:r w:rsidR="006E6208">
        <w:rPr>
          <w:rFonts w:ascii="Century Gothic" w:hAnsi="Century Gothic"/>
          <w:sz w:val="22"/>
          <w:szCs w:val="22"/>
        </w:rPr>
        <w:t>a</w:t>
      </w:r>
      <w:r w:rsidR="00D4743D" w:rsidRPr="006E6208">
        <w:rPr>
          <w:rFonts w:ascii="Century Gothic" w:hAnsi="Century Gothic"/>
          <w:bCs/>
          <w:sz w:val="22"/>
          <w:szCs w:val="22"/>
        </w:rPr>
        <w:t>rt.</w:t>
      </w:r>
      <w:r w:rsidR="006E6208">
        <w:rPr>
          <w:rFonts w:ascii="Century Gothic" w:hAnsi="Century Gothic"/>
          <w:bCs/>
          <w:sz w:val="22"/>
          <w:szCs w:val="22"/>
        </w:rPr>
        <w:t xml:space="preserve"> </w:t>
      </w:r>
      <w:r w:rsidR="00CB7437" w:rsidRPr="006E6208">
        <w:rPr>
          <w:rFonts w:ascii="Century Gothic" w:hAnsi="Century Gothic"/>
          <w:bCs/>
          <w:sz w:val="22"/>
          <w:szCs w:val="22"/>
        </w:rPr>
        <w:t>25</w:t>
      </w:r>
      <w:r w:rsidR="009E26C2" w:rsidRPr="006E6208">
        <w:rPr>
          <w:rFonts w:ascii="Century Gothic" w:hAnsi="Century Gothic"/>
          <w:sz w:val="22"/>
          <w:szCs w:val="22"/>
        </w:rPr>
        <w:t> </w:t>
      </w:r>
      <w:r w:rsidR="00EE0A5B">
        <w:rPr>
          <w:rFonts w:ascii="Century Gothic" w:hAnsi="Century Gothic"/>
          <w:sz w:val="22"/>
          <w:szCs w:val="22"/>
        </w:rPr>
        <w:t xml:space="preserve">ust. 1 pkt 2 </w:t>
      </w:r>
      <w:r w:rsidR="008202EA">
        <w:rPr>
          <w:rFonts w:ascii="Century Gothic" w:hAnsi="Century Gothic"/>
          <w:bCs/>
          <w:sz w:val="22"/>
          <w:szCs w:val="22"/>
        </w:rPr>
        <w:t>U</w:t>
      </w:r>
      <w:r w:rsidR="004476BB" w:rsidRPr="006E6208">
        <w:rPr>
          <w:rFonts w:ascii="Century Gothic" w:hAnsi="Century Gothic"/>
          <w:bCs/>
          <w:sz w:val="22"/>
          <w:szCs w:val="22"/>
        </w:rPr>
        <w:t>stawy</w:t>
      </w:r>
      <w:r w:rsidR="00CB7437" w:rsidRPr="006E6208">
        <w:rPr>
          <w:rFonts w:ascii="Century Gothic" w:hAnsi="Century Gothic"/>
          <w:bCs/>
          <w:sz w:val="22"/>
          <w:szCs w:val="22"/>
        </w:rPr>
        <w:t xml:space="preserve"> </w:t>
      </w:r>
      <w:r w:rsidR="008973B1">
        <w:rPr>
          <w:rFonts w:ascii="Century Gothic" w:hAnsi="Century Gothic"/>
          <w:sz w:val="22"/>
          <w:szCs w:val="22"/>
        </w:rPr>
        <w:t>z dnia 20 marca 2009</w:t>
      </w:r>
      <w:r w:rsidR="008202EA">
        <w:rPr>
          <w:rFonts w:ascii="Century Gothic" w:hAnsi="Century Gothic"/>
          <w:sz w:val="22"/>
          <w:szCs w:val="22"/>
        </w:rPr>
        <w:t xml:space="preserve"> </w:t>
      </w:r>
      <w:r w:rsidR="00CB7437" w:rsidRPr="006E6208">
        <w:rPr>
          <w:rFonts w:ascii="Century Gothic" w:hAnsi="Century Gothic"/>
          <w:sz w:val="22"/>
          <w:szCs w:val="22"/>
        </w:rPr>
        <w:t xml:space="preserve">r. </w:t>
      </w:r>
      <w:r w:rsidR="00CB7437" w:rsidRPr="006E6208">
        <w:rPr>
          <w:rFonts w:ascii="Century Gothic" w:hAnsi="Century Gothic"/>
          <w:bCs/>
          <w:sz w:val="22"/>
          <w:szCs w:val="22"/>
        </w:rPr>
        <w:t>o bezpieczeństwie imprez masowych (</w:t>
      </w:r>
      <w:r w:rsidR="00CB7437" w:rsidRPr="006E6208">
        <w:rPr>
          <w:rFonts w:ascii="Century Gothic" w:hAnsi="Century Gothic" w:cs="Arial"/>
          <w:bCs/>
          <w:sz w:val="22"/>
          <w:szCs w:val="22"/>
        </w:rPr>
        <w:t xml:space="preserve">Dz. U. z </w:t>
      </w:r>
      <w:r w:rsidR="006E6208">
        <w:rPr>
          <w:rFonts w:ascii="Century Gothic" w:hAnsi="Century Gothic" w:cs="Arial"/>
          <w:bCs/>
          <w:sz w:val="22"/>
          <w:szCs w:val="22"/>
        </w:rPr>
        <w:t>201</w:t>
      </w:r>
      <w:r w:rsidR="008202EA">
        <w:rPr>
          <w:rFonts w:ascii="Century Gothic" w:hAnsi="Century Gothic" w:cs="Arial"/>
          <w:bCs/>
          <w:sz w:val="22"/>
          <w:szCs w:val="22"/>
        </w:rPr>
        <w:t xml:space="preserve">9 </w:t>
      </w:r>
      <w:r w:rsidR="006E6208">
        <w:rPr>
          <w:rFonts w:ascii="Century Gothic" w:hAnsi="Century Gothic" w:cs="Arial"/>
          <w:bCs/>
          <w:sz w:val="22"/>
          <w:szCs w:val="22"/>
        </w:rPr>
        <w:t>r.</w:t>
      </w:r>
      <w:r w:rsidR="00CB7437" w:rsidRPr="006E6208">
        <w:rPr>
          <w:rFonts w:ascii="Century Gothic" w:hAnsi="Century Gothic" w:cs="Arial"/>
          <w:bCs/>
          <w:sz w:val="22"/>
          <w:szCs w:val="22"/>
        </w:rPr>
        <w:t xml:space="preserve"> poz. </w:t>
      </w:r>
      <w:r w:rsidR="008202EA">
        <w:rPr>
          <w:rFonts w:ascii="Century Gothic" w:hAnsi="Century Gothic" w:cs="Arial"/>
          <w:bCs/>
          <w:sz w:val="22"/>
          <w:szCs w:val="22"/>
        </w:rPr>
        <w:t>2171)</w:t>
      </w:r>
      <w:r w:rsidR="00CB7437" w:rsidRPr="006E6208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6E6208">
        <w:rPr>
          <w:rFonts w:ascii="Century Gothic" w:hAnsi="Century Gothic"/>
          <w:sz w:val="22"/>
          <w:szCs w:val="22"/>
        </w:rPr>
        <w:t>z</w:t>
      </w:r>
      <w:r w:rsidR="00FC57D8" w:rsidRPr="006E6208">
        <w:rPr>
          <w:rFonts w:ascii="Century Gothic" w:hAnsi="Century Gothic"/>
          <w:sz w:val="22"/>
          <w:szCs w:val="22"/>
        </w:rPr>
        <w:t>wracam się z prośbą</w:t>
      </w:r>
      <w:r w:rsidR="00156F53" w:rsidRPr="006E6208">
        <w:rPr>
          <w:rFonts w:ascii="Century Gothic" w:hAnsi="Century Gothic"/>
          <w:sz w:val="22"/>
          <w:szCs w:val="22"/>
        </w:rPr>
        <w:t xml:space="preserve"> o </w:t>
      </w:r>
      <w:r w:rsidR="005B4B88" w:rsidRPr="006E6208">
        <w:rPr>
          <w:rFonts w:ascii="Century Gothic" w:hAnsi="Century Gothic"/>
          <w:sz w:val="22"/>
          <w:szCs w:val="22"/>
        </w:rPr>
        <w:t xml:space="preserve">wydanie opinii dot. spełnienia wymogów ochrony przeciwpożarowej </w:t>
      </w:r>
      <w:r w:rsidR="00CB7437" w:rsidRPr="006E6208">
        <w:rPr>
          <w:rFonts w:ascii="Century Gothic" w:hAnsi="Century Gothic"/>
          <w:sz w:val="22"/>
          <w:szCs w:val="22"/>
        </w:rPr>
        <w:t>na przeprowadzenie imprezy masowej</w:t>
      </w:r>
      <w:r w:rsidR="00283588" w:rsidRPr="006E6208">
        <w:rPr>
          <w:rFonts w:ascii="Century Gothic" w:hAnsi="Century Gothic"/>
          <w:sz w:val="22"/>
          <w:szCs w:val="22"/>
        </w:rPr>
        <w:t>, która odbędzie się</w:t>
      </w:r>
      <w:r w:rsidR="00CB7437" w:rsidRPr="006E6208">
        <w:rPr>
          <w:rFonts w:ascii="Century Gothic" w:hAnsi="Century Gothic"/>
          <w:sz w:val="22"/>
          <w:szCs w:val="22"/>
        </w:rPr>
        <w:t xml:space="preserve"> (</w:t>
      </w:r>
      <w:r w:rsidR="008202EA">
        <w:rPr>
          <w:rFonts w:ascii="Century Gothic" w:hAnsi="Century Gothic"/>
          <w:sz w:val="22"/>
          <w:szCs w:val="22"/>
        </w:rPr>
        <w:t>podać datę oraz miejsce przeprowadzenia imprezy</w:t>
      </w:r>
      <w:r w:rsidR="006E6208">
        <w:rPr>
          <w:rFonts w:ascii="Century Gothic" w:hAnsi="Century Gothic"/>
          <w:sz w:val="22"/>
          <w:szCs w:val="22"/>
        </w:rPr>
        <w:t>)</w:t>
      </w:r>
    </w:p>
    <w:p w14:paraId="5AC27000" w14:textId="77777777" w:rsidR="008202EA" w:rsidRPr="006E6208" w:rsidRDefault="008202EA" w:rsidP="002136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704F98F9" w14:textId="77777777" w:rsidR="00C3162A" w:rsidRPr="006E6208" w:rsidRDefault="00CB7437" w:rsidP="001E2F33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Jednocześnie informuję, że do wniosku dołączona zost</w:t>
      </w:r>
      <w:r w:rsidR="008973B1">
        <w:rPr>
          <w:rFonts w:ascii="Century Gothic" w:hAnsi="Century Gothic"/>
          <w:sz w:val="22"/>
          <w:szCs w:val="22"/>
        </w:rPr>
        <w:t>ała dokumentacja wynikająca z w</w:t>
      </w:r>
      <w:r w:rsidRPr="006E6208">
        <w:rPr>
          <w:rFonts w:ascii="Century Gothic" w:hAnsi="Century Gothic"/>
          <w:sz w:val="22"/>
          <w:szCs w:val="22"/>
        </w:rPr>
        <w:t>w</w:t>
      </w:r>
      <w:r w:rsidR="008973B1">
        <w:rPr>
          <w:rFonts w:ascii="Century Gothic" w:hAnsi="Century Gothic"/>
          <w:sz w:val="22"/>
          <w:szCs w:val="22"/>
        </w:rPr>
        <w:t>.</w:t>
      </w:r>
      <w:r w:rsidRPr="006E6208">
        <w:rPr>
          <w:rFonts w:ascii="Century Gothic" w:hAnsi="Century Gothic"/>
          <w:sz w:val="22"/>
          <w:szCs w:val="22"/>
        </w:rPr>
        <w:t xml:space="preserve"> </w:t>
      </w:r>
      <w:r w:rsidR="008202EA">
        <w:rPr>
          <w:rFonts w:ascii="Century Gothic" w:hAnsi="Century Gothic"/>
          <w:sz w:val="22"/>
          <w:szCs w:val="22"/>
        </w:rPr>
        <w:t>U</w:t>
      </w:r>
      <w:r w:rsidRPr="006E6208">
        <w:rPr>
          <w:rFonts w:ascii="Century Gothic" w:hAnsi="Century Gothic"/>
          <w:sz w:val="22"/>
          <w:szCs w:val="22"/>
        </w:rPr>
        <w:t xml:space="preserve">stawy </w:t>
      </w:r>
      <w:r w:rsidR="001E2F33" w:rsidRPr="006E6208">
        <w:rPr>
          <w:rFonts w:ascii="Century Gothic" w:hAnsi="Century Gothic"/>
          <w:sz w:val="22"/>
          <w:szCs w:val="22"/>
        </w:rPr>
        <w:t>i R</w:t>
      </w:r>
      <w:r w:rsidRPr="006E6208">
        <w:rPr>
          <w:rFonts w:ascii="Century Gothic" w:hAnsi="Century Gothic"/>
          <w:sz w:val="22"/>
          <w:szCs w:val="22"/>
        </w:rPr>
        <w:t>ozporządzenia</w:t>
      </w:r>
      <w:r w:rsidR="001E2F33" w:rsidRPr="006E6208">
        <w:rPr>
          <w:rFonts w:ascii="Century Gothic" w:hAnsi="Century Gothic"/>
          <w:sz w:val="22"/>
          <w:szCs w:val="22"/>
        </w:rPr>
        <w:t xml:space="preserve"> M</w:t>
      </w:r>
      <w:r w:rsidRPr="006E6208">
        <w:rPr>
          <w:rFonts w:ascii="Century Gothic" w:hAnsi="Century Gothic"/>
          <w:sz w:val="22"/>
          <w:szCs w:val="22"/>
        </w:rPr>
        <w:t xml:space="preserve">inistra Spraw </w:t>
      </w:r>
      <w:r w:rsidR="001E2F33" w:rsidRPr="006E6208">
        <w:rPr>
          <w:rFonts w:ascii="Century Gothic" w:hAnsi="Century Gothic"/>
          <w:sz w:val="22"/>
          <w:szCs w:val="22"/>
        </w:rPr>
        <w:t>W</w:t>
      </w:r>
      <w:r w:rsidRPr="006E6208">
        <w:rPr>
          <w:rFonts w:ascii="Century Gothic" w:hAnsi="Century Gothic"/>
          <w:sz w:val="22"/>
          <w:szCs w:val="22"/>
        </w:rPr>
        <w:t>ewnętrznych i Administracji z dnia 13 sierpnia 2009 r., w sprawie zakresu instrukcji postępowania w przypadku powstania pożaru lub innego miejscowego zagrożenia w miejscu i w czasie imprezy masowej (Dz. U. z 2009</w:t>
      </w:r>
      <w:r w:rsidR="008202EA">
        <w:rPr>
          <w:rFonts w:ascii="Century Gothic" w:hAnsi="Century Gothic"/>
          <w:sz w:val="22"/>
          <w:szCs w:val="22"/>
        </w:rPr>
        <w:t xml:space="preserve"> r.</w:t>
      </w:r>
      <w:r w:rsidRPr="006E6208">
        <w:rPr>
          <w:rFonts w:ascii="Century Gothic" w:hAnsi="Century Gothic"/>
          <w:sz w:val="22"/>
          <w:szCs w:val="22"/>
        </w:rPr>
        <w:t xml:space="preserve"> </w:t>
      </w:r>
      <w:r w:rsidR="008202EA">
        <w:rPr>
          <w:rFonts w:ascii="Century Gothic" w:hAnsi="Century Gothic"/>
          <w:sz w:val="22"/>
          <w:szCs w:val="22"/>
        </w:rPr>
        <w:t>n</w:t>
      </w:r>
      <w:r w:rsidRPr="006E6208">
        <w:rPr>
          <w:rFonts w:ascii="Century Gothic" w:hAnsi="Century Gothic"/>
          <w:sz w:val="22"/>
          <w:szCs w:val="22"/>
        </w:rPr>
        <w:t>r 135, poz. 1113).</w:t>
      </w:r>
    </w:p>
    <w:p w14:paraId="38AC74A7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4B040F99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75D72DC1" w14:textId="77777777" w:rsidR="005B4B88" w:rsidRDefault="00671C95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  <w:t xml:space="preserve">   </w:t>
      </w:r>
      <w:r w:rsidR="00414BFA" w:rsidRPr="006E6208">
        <w:rPr>
          <w:rFonts w:ascii="Century Gothic" w:hAnsi="Century Gothic"/>
          <w:sz w:val="22"/>
          <w:szCs w:val="22"/>
        </w:rPr>
        <w:t xml:space="preserve">  </w:t>
      </w:r>
      <w:r w:rsidR="00222B5D" w:rsidRPr="006E6208">
        <w:rPr>
          <w:rFonts w:ascii="Century Gothic" w:hAnsi="Century Gothic"/>
          <w:sz w:val="22"/>
          <w:szCs w:val="22"/>
        </w:rPr>
        <w:t xml:space="preserve"> </w:t>
      </w:r>
      <w:r w:rsidR="0021360E">
        <w:rPr>
          <w:rFonts w:ascii="Century Gothic" w:hAnsi="Century Gothic"/>
          <w:sz w:val="22"/>
          <w:szCs w:val="22"/>
        </w:rPr>
        <w:t>p</w:t>
      </w:r>
      <w:r w:rsidR="001E2F33" w:rsidRPr="006E6208">
        <w:rPr>
          <w:rFonts w:ascii="Century Gothic" w:hAnsi="Century Gothic"/>
          <w:sz w:val="22"/>
          <w:szCs w:val="22"/>
        </w:rPr>
        <w:t>odpis</w:t>
      </w:r>
    </w:p>
    <w:p w14:paraId="5B0348C3" w14:textId="77777777" w:rsidR="0021360E" w:rsidRPr="006E6208" w:rsidRDefault="0021360E" w:rsidP="0021360E">
      <w:pPr>
        <w:ind w:firstLine="708"/>
        <w:jc w:val="center"/>
        <w:rPr>
          <w:rFonts w:ascii="Century Gothic" w:hAnsi="Century Gothic"/>
          <w:sz w:val="22"/>
          <w:szCs w:val="22"/>
        </w:rPr>
      </w:pPr>
    </w:p>
    <w:p w14:paraId="280B403A" w14:textId="77777777" w:rsidR="00012EFF" w:rsidRDefault="00012EFF" w:rsidP="00BD5091">
      <w:pPr>
        <w:spacing w:line="276" w:lineRule="auto"/>
        <w:jc w:val="both"/>
        <w:rPr>
          <w:rFonts w:ascii="Calibri" w:hAnsi="Calibri" w:cs="Arial"/>
          <w:color w:val="000000"/>
          <w:sz w:val="16"/>
          <w:szCs w:val="16"/>
        </w:rPr>
      </w:pPr>
    </w:p>
    <w:p w14:paraId="52ABAD50" w14:textId="77777777" w:rsidR="00BD5091" w:rsidRDefault="00BD5091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F24B167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5DB68000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3D597A0F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2CAC672B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6CFEAEAA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017FABFE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9F5E90C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09FA2690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5CA61FF1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6C243687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444CD69F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52D27C16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6FEF282A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44E4BABC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5DC924B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49E51279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740293E1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21F01C78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380F9A5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55F5DE72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54639B65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0C4D65AF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042A4F2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67BE9E7F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6D34C06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43184C82" w14:textId="77777777" w:rsidR="00A36C9C" w:rsidRDefault="00A36C9C" w:rsidP="0021360E">
      <w:pPr>
        <w:rPr>
          <w:rFonts w:ascii="Calibri" w:hAnsi="Calibri" w:cs="Calibri"/>
          <w:color w:val="000000"/>
          <w:sz w:val="16"/>
          <w:szCs w:val="16"/>
        </w:rPr>
      </w:pPr>
    </w:p>
    <w:p w14:paraId="163BF843" w14:textId="77777777" w:rsidR="00883832" w:rsidRPr="00015FB4" w:rsidRDefault="00883832" w:rsidP="00883832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15AFDE6F" w14:textId="77777777" w:rsidR="00A36C9C" w:rsidRPr="00A36C9C" w:rsidRDefault="00A36C9C" w:rsidP="00A36C9C">
      <w:pPr>
        <w:ind w:firstLine="708"/>
        <w:rPr>
          <w:rFonts w:ascii="Calibri" w:hAnsi="Calibri" w:cs="Calibri"/>
          <w:sz w:val="16"/>
          <w:szCs w:val="16"/>
        </w:rPr>
      </w:pPr>
    </w:p>
    <w:p w14:paraId="16F515BA" w14:textId="6D27F077" w:rsidR="00A36C9C" w:rsidRPr="0021360E" w:rsidRDefault="00C50457" w:rsidP="0021360E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F4C66" wp14:editId="20AB7804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41821224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C9B4C3" w14:textId="77777777" w:rsidR="00A36C9C" w:rsidRPr="007731AA" w:rsidRDefault="00A36C9C" w:rsidP="00A36C9C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7D2871BB" w14:textId="77777777" w:rsidR="00FE5731" w:rsidRDefault="00A36C9C" w:rsidP="00FE5731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FE5731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FE5731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13A00B6C" w14:textId="77777777" w:rsidR="00A36C9C" w:rsidRPr="007731AA" w:rsidRDefault="00A36C9C" w:rsidP="00FE5731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7DE2E4B4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046CCF9F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5D65AE8C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20E61C02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36CD48D3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7C6FA728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626CA7EF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7D736625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4F228FFA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7BFA5171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4D136445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7BFA8D98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5616FAF3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4AA62A7F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63B92B64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51C292B0" w14:textId="77777777" w:rsidR="00A36C9C" w:rsidRPr="007731AA" w:rsidRDefault="00A36C9C" w:rsidP="00A36C9C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30825157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1277438F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04678D55" w14:textId="77777777" w:rsidR="00A36C9C" w:rsidRPr="007731AA" w:rsidRDefault="00A36C9C" w:rsidP="00A36C9C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F4C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48C9B4C3" w14:textId="77777777" w:rsidR="00A36C9C" w:rsidRPr="007731AA" w:rsidRDefault="00A36C9C" w:rsidP="00A36C9C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7D2871BB" w14:textId="77777777" w:rsidR="00FE5731" w:rsidRDefault="00A36C9C" w:rsidP="00FE5731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FE5731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FE5731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13A00B6C" w14:textId="77777777" w:rsidR="00A36C9C" w:rsidRPr="007731AA" w:rsidRDefault="00A36C9C" w:rsidP="00FE5731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7DE2E4B4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046CCF9F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5D65AE8C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20E61C02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36CD48D3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7C6FA728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626CA7EF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7D736625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4F228FFA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7BFA5171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4D136445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7BFA8D98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5616FAF3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4AA62A7F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63B92B64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51C292B0" w14:textId="77777777" w:rsidR="00A36C9C" w:rsidRPr="007731AA" w:rsidRDefault="00A36C9C" w:rsidP="00A36C9C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30825157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1277438F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04678D55" w14:textId="77777777" w:rsidR="00A36C9C" w:rsidRPr="007731AA" w:rsidRDefault="00A36C9C" w:rsidP="00A36C9C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6C9C" w:rsidRPr="0021360E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61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12EFF"/>
    <w:rsid w:val="00034912"/>
    <w:rsid w:val="00035A7E"/>
    <w:rsid w:val="00047B12"/>
    <w:rsid w:val="000D5F1C"/>
    <w:rsid w:val="00120F3B"/>
    <w:rsid w:val="00156F53"/>
    <w:rsid w:val="001E2F33"/>
    <w:rsid w:val="001E55FD"/>
    <w:rsid w:val="0021360E"/>
    <w:rsid w:val="00220398"/>
    <w:rsid w:val="00222B5D"/>
    <w:rsid w:val="00283588"/>
    <w:rsid w:val="002A49E3"/>
    <w:rsid w:val="002F6558"/>
    <w:rsid w:val="00414BFA"/>
    <w:rsid w:val="004327A6"/>
    <w:rsid w:val="004354EB"/>
    <w:rsid w:val="004476BB"/>
    <w:rsid w:val="00447B27"/>
    <w:rsid w:val="00475213"/>
    <w:rsid w:val="004E2994"/>
    <w:rsid w:val="00546D09"/>
    <w:rsid w:val="00551123"/>
    <w:rsid w:val="0059665C"/>
    <w:rsid w:val="005B4B88"/>
    <w:rsid w:val="005D28A4"/>
    <w:rsid w:val="00665B0E"/>
    <w:rsid w:val="00671C95"/>
    <w:rsid w:val="006E6208"/>
    <w:rsid w:val="0072418B"/>
    <w:rsid w:val="00736751"/>
    <w:rsid w:val="00775F15"/>
    <w:rsid w:val="007D53F1"/>
    <w:rsid w:val="007F4E8C"/>
    <w:rsid w:val="008202EA"/>
    <w:rsid w:val="00846F98"/>
    <w:rsid w:val="00883832"/>
    <w:rsid w:val="00896141"/>
    <w:rsid w:val="008973B1"/>
    <w:rsid w:val="008C480B"/>
    <w:rsid w:val="00932BCF"/>
    <w:rsid w:val="009A0D27"/>
    <w:rsid w:val="009E128A"/>
    <w:rsid w:val="009E26C2"/>
    <w:rsid w:val="00A36C9C"/>
    <w:rsid w:val="00AC71DF"/>
    <w:rsid w:val="00B17CC5"/>
    <w:rsid w:val="00BC653C"/>
    <w:rsid w:val="00BD5091"/>
    <w:rsid w:val="00BE35DD"/>
    <w:rsid w:val="00BF237A"/>
    <w:rsid w:val="00C3162A"/>
    <w:rsid w:val="00C50457"/>
    <w:rsid w:val="00C617A2"/>
    <w:rsid w:val="00C66B2F"/>
    <w:rsid w:val="00C93215"/>
    <w:rsid w:val="00CB7437"/>
    <w:rsid w:val="00CD12B2"/>
    <w:rsid w:val="00CD228F"/>
    <w:rsid w:val="00D4743D"/>
    <w:rsid w:val="00D57046"/>
    <w:rsid w:val="00DE488F"/>
    <w:rsid w:val="00E37AC2"/>
    <w:rsid w:val="00E441B2"/>
    <w:rsid w:val="00E57722"/>
    <w:rsid w:val="00EE0A5B"/>
    <w:rsid w:val="00F0482B"/>
    <w:rsid w:val="00F41BA5"/>
    <w:rsid w:val="00F60DE9"/>
    <w:rsid w:val="00FC57D8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AC32A4"/>
  <w15:chartTrackingRefBased/>
  <w15:docId w15:val="{94E0A12A-1E2F-4874-A1B6-F86B9C63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E4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2025-06-20T07:36:00Z</dcterms:created>
  <dcterms:modified xsi:type="dcterms:W3CDTF">2025-06-20T07:36:00Z</dcterms:modified>
</cp:coreProperties>
</file>