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CA03F" w14:textId="566355D9" w:rsidR="00562D73" w:rsidRDefault="000E0672" w:rsidP="000E0672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Załącznik</w:t>
      </w:r>
      <w:r w:rsidR="0051799C">
        <w:rPr>
          <w:sz w:val="22"/>
        </w:rPr>
        <w:t xml:space="preserve"> </w:t>
      </w:r>
      <w:r w:rsidR="00562D73">
        <w:rPr>
          <w:sz w:val="22"/>
        </w:rPr>
        <w:t>B.19</w:t>
      </w:r>
      <w:r w:rsidR="007B66BD">
        <w:rPr>
          <w:sz w:val="22"/>
        </w:rPr>
        <w:t>.</w:t>
      </w:r>
    </w:p>
    <w:p w14:paraId="345C418A" w14:textId="77777777" w:rsidR="000E0672" w:rsidRDefault="000E0672" w:rsidP="000E0672">
      <w:pPr>
        <w:autoSpaceDE w:val="0"/>
        <w:autoSpaceDN w:val="0"/>
        <w:adjustRightInd w:val="0"/>
        <w:rPr>
          <w:sz w:val="22"/>
        </w:rPr>
      </w:pPr>
    </w:p>
    <w:p w14:paraId="524B12EA" w14:textId="15113398" w:rsidR="005A0CC9" w:rsidRPr="005A0CC9" w:rsidRDefault="005A0CC9" w:rsidP="00E651DD">
      <w:pPr>
        <w:spacing w:after="240"/>
        <w:rPr>
          <w:b/>
          <w:sz w:val="28"/>
          <w:szCs w:val="28"/>
        </w:rPr>
      </w:pPr>
      <w:r w:rsidRPr="005A0CC9">
        <w:rPr>
          <w:b/>
          <w:sz w:val="28"/>
          <w:szCs w:val="28"/>
        </w:rPr>
        <w:t>LECZENIE</w:t>
      </w:r>
      <w:r w:rsidR="0051799C">
        <w:rPr>
          <w:b/>
          <w:sz w:val="28"/>
          <w:szCs w:val="28"/>
        </w:rPr>
        <w:t xml:space="preserve"> </w:t>
      </w:r>
      <w:r w:rsidRPr="005A0CC9">
        <w:rPr>
          <w:b/>
          <w:sz w:val="28"/>
          <w:szCs w:val="28"/>
        </w:rPr>
        <w:t>NISKOROSŁYCH</w:t>
      </w:r>
      <w:r w:rsidR="0051799C">
        <w:rPr>
          <w:b/>
          <w:sz w:val="28"/>
          <w:szCs w:val="28"/>
        </w:rPr>
        <w:t xml:space="preserve"> </w:t>
      </w:r>
      <w:r w:rsidRPr="005A0CC9">
        <w:rPr>
          <w:b/>
          <w:sz w:val="28"/>
          <w:szCs w:val="28"/>
        </w:rPr>
        <w:t>DZIECI</w:t>
      </w:r>
      <w:r w:rsidR="0051799C">
        <w:rPr>
          <w:b/>
          <w:sz w:val="28"/>
          <w:szCs w:val="28"/>
        </w:rPr>
        <w:t xml:space="preserve"> </w:t>
      </w:r>
      <w:r w:rsidRPr="005A0CC9">
        <w:rPr>
          <w:b/>
          <w:sz w:val="28"/>
          <w:szCs w:val="28"/>
        </w:rPr>
        <w:t>Z</w:t>
      </w:r>
      <w:r w:rsidR="0051799C">
        <w:rPr>
          <w:b/>
          <w:sz w:val="28"/>
          <w:szCs w:val="28"/>
        </w:rPr>
        <w:t xml:space="preserve"> </w:t>
      </w:r>
      <w:r w:rsidRPr="005A0CC9">
        <w:rPr>
          <w:b/>
          <w:sz w:val="28"/>
          <w:szCs w:val="28"/>
        </w:rPr>
        <w:t>SOMAT</w:t>
      </w:r>
      <w:r w:rsidR="005460BB">
        <w:rPr>
          <w:b/>
          <w:sz w:val="28"/>
          <w:szCs w:val="28"/>
        </w:rPr>
        <w:t>OT</w:t>
      </w:r>
      <w:r w:rsidRPr="005A0CC9">
        <w:rPr>
          <w:b/>
          <w:sz w:val="28"/>
          <w:szCs w:val="28"/>
        </w:rPr>
        <w:t>ROPINOWĄ</w:t>
      </w:r>
      <w:r w:rsidR="0051799C">
        <w:rPr>
          <w:b/>
          <w:sz w:val="28"/>
          <w:szCs w:val="28"/>
        </w:rPr>
        <w:t xml:space="preserve"> </w:t>
      </w:r>
      <w:r w:rsidRPr="005A0CC9">
        <w:rPr>
          <w:b/>
          <w:sz w:val="28"/>
          <w:szCs w:val="28"/>
        </w:rPr>
        <w:t>NIEDOCZYNNOŚCIĄ</w:t>
      </w:r>
      <w:r w:rsidR="0051799C">
        <w:rPr>
          <w:b/>
          <w:sz w:val="28"/>
          <w:szCs w:val="28"/>
        </w:rPr>
        <w:t xml:space="preserve"> </w:t>
      </w:r>
      <w:r w:rsidRPr="005A0CC9">
        <w:rPr>
          <w:b/>
          <w:sz w:val="28"/>
          <w:szCs w:val="28"/>
        </w:rPr>
        <w:t>PRZYSADKI</w:t>
      </w:r>
      <w:r w:rsidR="0051799C">
        <w:rPr>
          <w:b/>
          <w:sz w:val="28"/>
          <w:szCs w:val="28"/>
        </w:rPr>
        <w:t xml:space="preserve"> </w:t>
      </w:r>
      <w:r w:rsidRPr="008B7348">
        <w:rPr>
          <w:b/>
          <w:sz w:val="28"/>
          <w:szCs w:val="28"/>
        </w:rPr>
        <w:t>(ICD-10</w:t>
      </w:r>
      <w:r w:rsidR="007B66BD">
        <w:rPr>
          <w:b/>
          <w:sz w:val="28"/>
          <w:szCs w:val="28"/>
        </w:rPr>
        <w:t>:</w:t>
      </w:r>
      <w:r w:rsidR="005179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E23</w:t>
      </w:r>
      <w:r w:rsidRPr="008B7348">
        <w:rPr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2"/>
        <w:gridCol w:w="4084"/>
        <w:gridCol w:w="5636"/>
      </w:tblGrid>
      <w:tr w:rsidR="001D71C6" w:rsidRPr="004E1D2A" w14:paraId="0F9DB9BB" w14:textId="77777777" w:rsidTr="0051799C">
        <w:trPr>
          <w:trHeight w:val="567"/>
        </w:trPr>
        <w:tc>
          <w:tcPr>
            <w:tcW w:w="15382" w:type="dxa"/>
            <w:gridSpan w:val="3"/>
            <w:vAlign w:val="center"/>
          </w:tcPr>
          <w:p w14:paraId="2521754C" w14:textId="3EED065D" w:rsidR="001D71C6" w:rsidRPr="004E1D2A" w:rsidRDefault="001D71C6" w:rsidP="007B66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D2A">
              <w:rPr>
                <w:b/>
                <w:bCs/>
                <w:sz w:val="20"/>
                <w:szCs w:val="20"/>
              </w:rPr>
              <w:t>ZAKRES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4E1D2A">
              <w:rPr>
                <w:b/>
                <w:bCs/>
                <w:sz w:val="20"/>
                <w:szCs w:val="20"/>
              </w:rPr>
              <w:t>ŚWIADCZENIA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4E1D2A">
              <w:rPr>
                <w:b/>
                <w:bCs/>
                <w:sz w:val="20"/>
                <w:szCs w:val="20"/>
              </w:rPr>
              <w:t>GWARANTOWANEGO</w:t>
            </w:r>
          </w:p>
        </w:tc>
      </w:tr>
      <w:tr w:rsidR="0051799C" w:rsidRPr="004E1D2A" w14:paraId="63F2ABC5" w14:textId="77777777" w:rsidTr="0051799C">
        <w:trPr>
          <w:trHeight w:val="567"/>
        </w:trPr>
        <w:tc>
          <w:tcPr>
            <w:tcW w:w="5662" w:type="dxa"/>
            <w:vAlign w:val="center"/>
          </w:tcPr>
          <w:p w14:paraId="11D755E6" w14:textId="77777777" w:rsidR="00EF398F" w:rsidRPr="004E1D2A" w:rsidRDefault="00EF398F" w:rsidP="00582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D2A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4084" w:type="dxa"/>
            <w:vAlign w:val="center"/>
          </w:tcPr>
          <w:p w14:paraId="0D0717F3" w14:textId="7596AB33" w:rsidR="00EF398F" w:rsidRPr="004E1D2A" w:rsidRDefault="00EF398F" w:rsidP="00582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D2A">
              <w:rPr>
                <w:b/>
                <w:bCs/>
                <w:sz w:val="20"/>
                <w:szCs w:val="20"/>
              </w:rPr>
              <w:t>SCHEMAT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4E1D2A">
              <w:rPr>
                <w:b/>
                <w:bCs/>
                <w:sz w:val="20"/>
                <w:szCs w:val="20"/>
              </w:rPr>
              <w:t>DAWKOWANIA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4E1D2A">
              <w:rPr>
                <w:b/>
                <w:bCs/>
                <w:sz w:val="20"/>
                <w:szCs w:val="20"/>
              </w:rPr>
              <w:t>LEKÓW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="0051799C">
              <w:rPr>
                <w:b/>
                <w:bCs/>
                <w:sz w:val="20"/>
                <w:szCs w:val="20"/>
              </w:rPr>
              <w:br/>
            </w:r>
            <w:r w:rsidRPr="004E1D2A">
              <w:rPr>
                <w:b/>
                <w:bCs/>
                <w:sz w:val="20"/>
                <w:szCs w:val="20"/>
              </w:rPr>
              <w:t>W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4E1D2A">
              <w:rPr>
                <w:b/>
                <w:bCs/>
                <w:sz w:val="20"/>
                <w:szCs w:val="20"/>
              </w:rPr>
              <w:t>PROGRAMIE</w:t>
            </w:r>
          </w:p>
        </w:tc>
        <w:tc>
          <w:tcPr>
            <w:tcW w:w="5636" w:type="dxa"/>
            <w:vAlign w:val="center"/>
          </w:tcPr>
          <w:p w14:paraId="642E6C03" w14:textId="3032C1C8" w:rsidR="00EF398F" w:rsidRPr="004E1D2A" w:rsidRDefault="00EF398F" w:rsidP="00582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D2A">
              <w:rPr>
                <w:b/>
                <w:bCs/>
                <w:sz w:val="20"/>
                <w:szCs w:val="20"/>
              </w:rPr>
              <w:t>BADANIA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4E1D2A">
              <w:rPr>
                <w:b/>
                <w:bCs/>
                <w:sz w:val="20"/>
                <w:szCs w:val="20"/>
              </w:rPr>
              <w:t>DIAGNOSTYCZNE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4E1D2A">
              <w:rPr>
                <w:b/>
                <w:bCs/>
                <w:sz w:val="20"/>
                <w:szCs w:val="20"/>
              </w:rPr>
              <w:t>WYKONYWANE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="0051799C">
              <w:rPr>
                <w:b/>
                <w:bCs/>
                <w:sz w:val="20"/>
                <w:szCs w:val="20"/>
              </w:rPr>
              <w:br/>
            </w:r>
            <w:r w:rsidRPr="004E1D2A">
              <w:rPr>
                <w:b/>
                <w:bCs/>
                <w:sz w:val="20"/>
                <w:szCs w:val="20"/>
              </w:rPr>
              <w:t>W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4E1D2A">
              <w:rPr>
                <w:b/>
                <w:bCs/>
                <w:sz w:val="20"/>
                <w:szCs w:val="20"/>
              </w:rPr>
              <w:t>RAMACH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4E1D2A">
              <w:rPr>
                <w:b/>
                <w:bCs/>
                <w:sz w:val="20"/>
                <w:szCs w:val="20"/>
              </w:rPr>
              <w:t>PROGRAMU</w:t>
            </w:r>
          </w:p>
        </w:tc>
      </w:tr>
      <w:tr w:rsidR="0051799C" w:rsidRPr="004E1D2A" w14:paraId="621DF31C" w14:textId="77777777" w:rsidTr="0051799C">
        <w:trPr>
          <w:trHeight w:val="20"/>
        </w:trPr>
        <w:tc>
          <w:tcPr>
            <w:tcW w:w="5662" w:type="dxa"/>
          </w:tcPr>
          <w:p w14:paraId="59D78E19" w14:textId="2C835FAA" w:rsidR="00EF398F" w:rsidRPr="00EF398F" w:rsidRDefault="00EF398F" w:rsidP="00EF398F">
            <w:pPr>
              <w:autoSpaceDE w:val="0"/>
              <w:autoSpaceDN w:val="0"/>
              <w:adjustRightInd w:val="0"/>
              <w:spacing w:before="120" w:after="60" w:line="276" w:lineRule="auto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Do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programu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kwalifikuje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Zespół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Koordynacyjny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ds.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Stosowania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Hormonu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Wzrostu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powoływany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przez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Prezesa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Narodowego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Funduszu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Zdrowia.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przypadku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stanów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zagrożenia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życia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następstwie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trudnych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opanowania,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nawracających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stanów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hipoglikemii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noworodków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lub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niemowląt,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świadczeniobiorca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kwalifikowany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jest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terapii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niezwłocznie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jego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zgłoszeniu.</w:t>
            </w:r>
          </w:p>
          <w:p w14:paraId="3D7336CA" w14:textId="78574C83" w:rsidR="00EF398F" w:rsidRPr="00663B4F" w:rsidRDefault="00EF398F" w:rsidP="00EF398F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663B4F">
              <w:rPr>
                <w:b/>
                <w:bCs/>
                <w:sz w:val="20"/>
                <w:szCs w:val="20"/>
              </w:rPr>
              <w:t>Kryteria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663B4F">
              <w:rPr>
                <w:b/>
                <w:bCs/>
                <w:sz w:val="20"/>
                <w:szCs w:val="20"/>
              </w:rPr>
              <w:t>kwalifikacji</w:t>
            </w:r>
          </w:p>
          <w:p w14:paraId="0809B7D5" w14:textId="293B2339" w:rsidR="00EF398F" w:rsidRPr="00EF398F" w:rsidRDefault="00EF398F" w:rsidP="00663B4F">
            <w:pPr>
              <w:pStyle w:val="Akapitzlist"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nawracające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stany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hipoglikemii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okresie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niemowlęcym</w:t>
            </w:r>
            <w:r w:rsidR="0051799C">
              <w:rPr>
                <w:sz w:val="20"/>
                <w:szCs w:val="20"/>
              </w:rPr>
              <w:t xml:space="preserve"> </w:t>
            </w:r>
            <w:r w:rsidR="00944FDB">
              <w:rPr>
                <w:sz w:val="20"/>
                <w:szCs w:val="20"/>
              </w:rPr>
              <w:t>i/</w:t>
            </w:r>
            <w:r w:rsidRPr="00EF398F">
              <w:rPr>
                <w:sz w:val="20"/>
                <w:szCs w:val="20"/>
              </w:rPr>
              <w:t>lub</w:t>
            </w:r>
            <w:r w:rsidR="0051799C">
              <w:rPr>
                <w:sz w:val="20"/>
                <w:szCs w:val="20"/>
              </w:rPr>
              <w:t xml:space="preserve"> </w:t>
            </w:r>
            <w:proofErr w:type="spellStart"/>
            <w:r w:rsidRPr="00EF398F">
              <w:rPr>
                <w:sz w:val="20"/>
                <w:szCs w:val="20"/>
              </w:rPr>
              <w:t>poniemowlęcym</w:t>
            </w:r>
            <w:proofErr w:type="spellEnd"/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(po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wykluczeniu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częstych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przyczyn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hipoglikemii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oraz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wykluczeniu</w:t>
            </w:r>
            <w:r w:rsidR="0051799C">
              <w:rPr>
                <w:sz w:val="20"/>
                <w:szCs w:val="20"/>
              </w:rPr>
              <w:t xml:space="preserve"> </w:t>
            </w:r>
            <w:proofErr w:type="spellStart"/>
            <w:r w:rsidRPr="00EF398F">
              <w:rPr>
                <w:sz w:val="20"/>
                <w:szCs w:val="20"/>
              </w:rPr>
              <w:t>hiperinsulinizmu</w:t>
            </w:r>
            <w:proofErr w:type="spellEnd"/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wrodzonego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pierwotnego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niedoboru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glikokortykosteroidów),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szczególnie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dzieci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współistniejącymi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wadami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linii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pośrodkowej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ciała,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przede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wszystkim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obrębie</w:t>
            </w:r>
            <w:r w:rsidR="0051799C">
              <w:rPr>
                <w:sz w:val="20"/>
                <w:szCs w:val="20"/>
              </w:rPr>
              <w:t xml:space="preserve"> </w:t>
            </w:r>
            <w:proofErr w:type="spellStart"/>
            <w:r w:rsidRPr="00EF398F">
              <w:rPr>
                <w:sz w:val="20"/>
                <w:szCs w:val="20"/>
              </w:rPr>
              <w:t>twarzo</w:t>
            </w:r>
            <w:proofErr w:type="spellEnd"/>
            <w:r w:rsidRPr="00EF398F">
              <w:rPr>
                <w:sz w:val="20"/>
                <w:szCs w:val="20"/>
              </w:rPr>
              <w:t>-czaszki;</w:t>
            </w:r>
          </w:p>
          <w:p w14:paraId="77DE0EB0" w14:textId="571B9443" w:rsidR="00EF398F" w:rsidRPr="00EF398F" w:rsidRDefault="00EF398F" w:rsidP="00663B4F">
            <w:pPr>
              <w:pStyle w:val="Akapitzlist"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niskorosłość,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tj.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wysokość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ciała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poniżej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3</w:t>
            </w:r>
            <w:r w:rsidR="0051799C">
              <w:rPr>
                <w:sz w:val="20"/>
                <w:szCs w:val="20"/>
              </w:rPr>
              <w:t xml:space="preserve"> </w:t>
            </w:r>
            <w:proofErr w:type="spellStart"/>
            <w:r w:rsidRPr="00EF398F">
              <w:rPr>
                <w:sz w:val="20"/>
                <w:szCs w:val="20"/>
              </w:rPr>
              <w:t>centyla</w:t>
            </w:r>
            <w:proofErr w:type="spellEnd"/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dla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płci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wieku,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siatkach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centylowych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dla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populacji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dzieci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polskich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(nie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dotyczy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dzieci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</w:t>
            </w:r>
            <w:r w:rsidR="0051799C">
              <w:rPr>
                <w:sz w:val="20"/>
                <w:szCs w:val="20"/>
              </w:rPr>
              <w:t xml:space="preserve"> </w:t>
            </w:r>
            <w:proofErr w:type="spellStart"/>
            <w:r w:rsidRPr="00EF398F">
              <w:rPr>
                <w:sz w:val="20"/>
                <w:szCs w:val="20"/>
              </w:rPr>
              <w:t>wielohormonalną</w:t>
            </w:r>
            <w:proofErr w:type="spellEnd"/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niedoczynnością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przysadki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(WNP)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oraz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dzieci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udokumentowanymi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mutacjami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związanymi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niedoborem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hormonu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wzrostu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(SNP)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oraz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dzieci,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których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terapię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rozpoczęto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okresie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niemowlęcym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lub</w:t>
            </w:r>
            <w:r w:rsidR="0051799C">
              <w:rPr>
                <w:sz w:val="20"/>
                <w:szCs w:val="20"/>
              </w:rPr>
              <w:t xml:space="preserve"> </w:t>
            </w:r>
            <w:proofErr w:type="spellStart"/>
            <w:r w:rsidRPr="00EF398F">
              <w:rPr>
                <w:sz w:val="20"/>
                <w:szCs w:val="20"/>
              </w:rPr>
              <w:t>poniemowlęcym</w:t>
            </w:r>
            <w:proofErr w:type="spellEnd"/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dzieci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terapii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chorób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rozrostowych);</w:t>
            </w:r>
            <w:r w:rsidR="0051799C">
              <w:rPr>
                <w:sz w:val="20"/>
                <w:szCs w:val="20"/>
              </w:rPr>
              <w:t xml:space="preserve"> </w:t>
            </w:r>
          </w:p>
          <w:p w14:paraId="1CE66B81" w14:textId="27EF74A5" w:rsidR="00EF398F" w:rsidRPr="00EF398F" w:rsidRDefault="00EF398F" w:rsidP="00663B4F">
            <w:pPr>
              <w:pStyle w:val="Akapitzlist"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opóźniony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wiek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kostny,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oceniany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metodą</w:t>
            </w:r>
            <w:r w:rsidR="0051799C">
              <w:rPr>
                <w:sz w:val="20"/>
                <w:szCs w:val="20"/>
              </w:rPr>
              <w:t xml:space="preserve"> </w:t>
            </w:r>
            <w:proofErr w:type="spellStart"/>
            <w:r w:rsidRPr="00EF398F">
              <w:rPr>
                <w:sz w:val="20"/>
                <w:szCs w:val="20"/>
              </w:rPr>
              <w:t>Greulich'a</w:t>
            </w:r>
            <w:proofErr w:type="spellEnd"/>
            <w:r w:rsidRPr="00EF398F">
              <w:rPr>
                <w:sz w:val="20"/>
                <w:szCs w:val="20"/>
              </w:rPr>
              <w:t>-Pyle;</w:t>
            </w:r>
          </w:p>
          <w:p w14:paraId="4EB6E730" w14:textId="3F73F324" w:rsidR="00EF398F" w:rsidRPr="00EF398F" w:rsidRDefault="00EF398F" w:rsidP="00663B4F">
            <w:pPr>
              <w:pStyle w:val="Akapitzlist"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lastRenderedPageBreak/>
              <w:t>wykluczenie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innych,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aniżeli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SNP,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przyczyn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niskorosłości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lub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wyrównanie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tych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chorób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(np.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niedokrwistość,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niedoczynność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tarczycy,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zaburzenia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wchłaniania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trawienia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jelitowego,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itp.);</w:t>
            </w:r>
          </w:p>
          <w:p w14:paraId="59D00689" w14:textId="297D71A7" w:rsidR="00EF398F" w:rsidRPr="00EF398F" w:rsidRDefault="00EF398F" w:rsidP="00663B4F">
            <w:pPr>
              <w:pStyle w:val="Akapitzlist"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obniżony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wyrzut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hormonu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wzrostu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(poniżej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10</w:t>
            </w:r>
            <w:r w:rsidR="0051799C">
              <w:rPr>
                <w:sz w:val="20"/>
                <w:szCs w:val="20"/>
              </w:rPr>
              <w:t xml:space="preserve"> </w:t>
            </w:r>
            <w:proofErr w:type="spellStart"/>
            <w:r w:rsidRPr="00EF398F">
              <w:rPr>
                <w:sz w:val="20"/>
                <w:szCs w:val="20"/>
              </w:rPr>
              <w:t>ng</w:t>
            </w:r>
            <w:proofErr w:type="spellEnd"/>
            <w:r w:rsidRPr="00EF398F">
              <w:rPr>
                <w:sz w:val="20"/>
                <w:szCs w:val="20"/>
              </w:rPr>
              <w:t>/ml)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dwóch,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niezależnych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testach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stymulacji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sekrecji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tego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hormonu,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przypadku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dzieci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</w:t>
            </w:r>
            <w:r w:rsidR="0051799C">
              <w:rPr>
                <w:sz w:val="20"/>
                <w:szCs w:val="20"/>
              </w:rPr>
              <w:t xml:space="preserve"> </w:t>
            </w:r>
            <w:proofErr w:type="spellStart"/>
            <w:r w:rsidRPr="00EF398F">
              <w:rPr>
                <w:sz w:val="20"/>
                <w:szCs w:val="20"/>
              </w:rPr>
              <w:t>wielohormonalną</w:t>
            </w:r>
            <w:proofErr w:type="spellEnd"/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niedoczynnością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przysadki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oraz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dzieci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udokumentowanymi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mutacjami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związanymi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niedoborem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hormonu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wzrostu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jednego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testu,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(z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uwagi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ryzyko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powikłań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testy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można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wykonywać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jedynie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dzieci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powyżej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2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roku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życia,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test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insulinowy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ukończeniu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5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roku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życia);</w:t>
            </w:r>
          </w:p>
          <w:p w14:paraId="1C979767" w14:textId="3D48A466" w:rsidR="00EF398F" w:rsidRPr="00663B4F" w:rsidRDefault="00EF398F" w:rsidP="00663B4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663B4F">
              <w:rPr>
                <w:sz w:val="20"/>
                <w:szCs w:val="20"/>
              </w:rPr>
              <w:t>Do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programu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mogą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być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także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włączone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dzieci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leczone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hormonem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wzrostu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z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innych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źródeł,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które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przy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rozpoczęciu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terapii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spełniały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kryteria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programu</w:t>
            </w:r>
          </w:p>
          <w:p w14:paraId="7E9817E4" w14:textId="77777777" w:rsidR="00EF398F" w:rsidRPr="00EF398F" w:rsidRDefault="00EF398F" w:rsidP="00EF398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2BD97EFD" w14:textId="262F918B" w:rsidR="00EF398F" w:rsidRPr="00663B4F" w:rsidRDefault="00EF398F" w:rsidP="00EF398F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663B4F">
              <w:rPr>
                <w:b/>
                <w:bCs/>
                <w:sz w:val="20"/>
                <w:szCs w:val="20"/>
              </w:rPr>
              <w:t>Określenie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663B4F">
              <w:rPr>
                <w:b/>
                <w:bCs/>
                <w:sz w:val="20"/>
                <w:szCs w:val="20"/>
              </w:rPr>
              <w:t>czasu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663B4F">
              <w:rPr>
                <w:b/>
                <w:bCs/>
                <w:sz w:val="20"/>
                <w:szCs w:val="20"/>
              </w:rPr>
              <w:t>leczenia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663B4F">
              <w:rPr>
                <w:b/>
                <w:bCs/>
                <w:sz w:val="20"/>
                <w:szCs w:val="20"/>
              </w:rPr>
              <w:t>w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663B4F">
              <w:rPr>
                <w:b/>
                <w:bCs/>
                <w:sz w:val="20"/>
                <w:szCs w:val="20"/>
              </w:rPr>
              <w:t>programie</w:t>
            </w:r>
          </w:p>
          <w:p w14:paraId="51E97ECF" w14:textId="60FAC3AB" w:rsidR="00EF398F" w:rsidRPr="00663B4F" w:rsidRDefault="00EF398F" w:rsidP="00663B4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663B4F">
              <w:rPr>
                <w:sz w:val="20"/>
                <w:szCs w:val="20"/>
              </w:rPr>
              <w:t>Leczenie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trwa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do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czasu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podjęcia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przez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Zespół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Koordynacyjny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ds.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Stosowania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Hormonu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Wzrostu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lub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lekarza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prowadzącego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decyzji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o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wyłączeniu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świadczeniobiorcy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z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programu,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zgodnie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z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kryteriami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wyłączenia.</w:t>
            </w:r>
          </w:p>
          <w:p w14:paraId="05B2AF4F" w14:textId="77777777" w:rsidR="00EF398F" w:rsidRPr="00EF398F" w:rsidRDefault="00EF398F" w:rsidP="00EF398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32FC1097" w14:textId="64F197B3" w:rsidR="00EF398F" w:rsidRPr="00663B4F" w:rsidRDefault="00EF398F" w:rsidP="00EF398F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663B4F">
              <w:rPr>
                <w:b/>
                <w:bCs/>
                <w:sz w:val="20"/>
                <w:szCs w:val="20"/>
              </w:rPr>
              <w:t>Kryteria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663B4F">
              <w:rPr>
                <w:b/>
                <w:bCs/>
                <w:sz w:val="20"/>
                <w:szCs w:val="20"/>
              </w:rPr>
              <w:t>wyłączenia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663B4F">
              <w:rPr>
                <w:b/>
                <w:bCs/>
                <w:sz w:val="20"/>
                <w:szCs w:val="20"/>
              </w:rPr>
              <w:t>z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663B4F">
              <w:rPr>
                <w:b/>
                <w:bCs/>
                <w:sz w:val="20"/>
                <w:szCs w:val="20"/>
              </w:rPr>
              <w:t>programu</w:t>
            </w:r>
          </w:p>
          <w:p w14:paraId="0B152EC0" w14:textId="4D9EFBE0" w:rsidR="00EF398F" w:rsidRPr="00EF398F" w:rsidRDefault="00EF398F" w:rsidP="00663B4F">
            <w:pPr>
              <w:pStyle w:val="Akapitzlist"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złuszczenie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głowy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kości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udowej;</w:t>
            </w:r>
          </w:p>
          <w:p w14:paraId="46AF3093" w14:textId="42237B13" w:rsidR="00EF398F" w:rsidRPr="00EF398F" w:rsidRDefault="00EF398F" w:rsidP="00663B4F">
            <w:pPr>
              <w:pStyle w:val="Akapitzlist"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ujawnienie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lub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wznowa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choroby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rozrostowej;</w:t>
            </w:r>
          </w:p>
          <w:p w14:paraId="49E7536A" w14:textId="61C9AB78" w:rsidR="00EF398F" w:rsidRPr="00EF398F" w:rsidRDefault="00EF398F" w:rsidP="00663B4F">
            <w:pPr>
              <w:pStyle w:val="Akapitzlist"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brak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zgody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pacjenta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kontynuację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leczenia;</w:t>
            </w:r>
          </w:p>
          <w:p w14:paraId="4A77E572" w14:textId="59543DDC" w:rsidR="00EF398F" w:rsidRPr="00EF398F" w:rsidRDefault="00EF398F" w:rsidP="00663B4F">
            <w:pPr>
              <w:pStyle w:val="Akapitzlist"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niezadowalający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efekt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leczenia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hormonem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wzrostu,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tj.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przyrost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wysokości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ciała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poniżej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2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cm/rok;</w:t>
            </w:r>
          </w:p>
          <w:p w14:paraId="74AA1B61" w14:textId="6C602534" w:rsidR="00EF398F" w:rsidRPr="00EF398F" w:rsidRDefault="00EF398F" w:rsidP="00663B4F">
            <w:pPr>
              <w:pStyle w:val="Akapitzlist"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osiągnięcie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wieku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kostnego:</w:t>
            </w:r>
          </w:p>
          <w:p w14:paraId="3CE957B1" w14:textId="2EF5B739" w:rsidR="00EF398F" w:rsidRPr="00EF398F" w:rsidRDefault="00EF398F" w:rsidP="00663B4F">
            <w:pPr>
              <w:pStyle w:val="Akapitzlist"/>
              <w:numPr>
                <w:ilvl w:val="4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powyżej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14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lat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przez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dziewczynkę,</w:t>
            </w:r>
          </w:p>
          <w:p w14:paraId="5ED5FA17" w14:textId="364E5B90" w:rsidR="00EF398F" w:rsidRPr="00EF398F" w:rsidRDefault="00EF398F" w:rsidP="00663B4F">
            <w:pPr>
              <w:pStyle w:val="Akapitzlist"/>
              <w:numPr>
                <w:ilvl w:val="4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powyżej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16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lat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przez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chłopca.</w:t>
            </w:r>
          </w:p>
          <w:p w14:paraId="51E8278F" w14:textId="77777777" w:rsidR="00EF398F" w:rsidRPr="00EF398F" w:rsidRDefault="00EF398F" w:rsidP="00EF398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524285AB" w14:textId="1D9B2E1C" w:rsidR="00EF398F" w:rsidRPr="00663B4F" w:rsidRDefault="00EF398F" w:rsidP="00EF398F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663B4F">
              <w:rPr>
                <w:b/>
                <w:bCs/>
                <w:sz w:val="20"/>
                <w:szCs w:val="20"/>
              </w:rPr>
              <w:t>Kryteria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663B4F">
              <w:rPr>
                <w:b/>
                <w:bCs/>
                <w:sz w:val="20"/>
                <w:szCs w:val="20"/>
              </w:rPr>
              <w:t>czasowego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663B4F">
              <w:rPr>
                <w:b/>
                <w:bCs/>
                <w:sz w:val="20"/>
                <w:szCs w:val="20"/>
              </w:rPr>
              <w:t>wyłączenia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663B4F">
              <w:rPr>
                <w:b/>
                <w:bCs/>
                <w:sz w:val="20"/>
                <w:szCs w:val="20"/>
              </w:rPr>
              <w:t>z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663B4F">
              <w:rPr>
                <w:b/>
                <w:bCs/>
                <w:sz w:val="20"/>
                <w:szCs w:val="20"/>
              </w:rPr>
              <w:t>programu</w:t>
            </w:r>
          </w:p>
          <w:p w14:paraId="5D0EE077" w14:textId="3FABCCA6" w:rsidR="00EF398F" w:rsidRPr="00EF398F" w:rsidRDefault="00EF398F" w:rsidP="00663B4F">
            <w:pPr>
              <w:pStyle w:val="Akapitzlist"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utrzymywanie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się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ponadnormatywnych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stężeń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IGF-I,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pomimo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zmniejszenia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dawki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hormonu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wzrostu;</w:t>
            </w:r>
          </w:p>
          <w:p w14:paraId="1EC60BED" w14:textId="65236781" w:rsidR="00EF398F" w:rsidRPr="00EF398F" w:rsidRDefault="00EF398F" w:rsidP="00663B4F">
            <w:pPr>
              <w:pStyle w:val="Akapitzlist"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objawy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pseudo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–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tumor</w:t>
            </w:r>
            <w:r w:rsidR="0051799C">
              <w:rPr>
                <w:sz w:val="20"/>
                <w:szCs w:val="20"/>
              </w:rPr>
              <w:t xml:space="preserve"> </w:t>
            </w:r>
            <w:proofErr w:type="spellStart"/>
            <w:r w:rsidRPr="00EF398F">
              <w:rPr>
                <w:sz w:val="20"/>
                <w:szCs w:val="20"/>
              </w:rPr>
              <w:t>cerebri</w:t>
            </w:r>
            <w:proofErr w:type="spellEnd"/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(do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wykluczenia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organicznych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uwarunkowań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stwierdzanych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objawów);</w:t>
            </w:r>
          </w:p>
          <w:p w14:paraId="3D5ACD67" w14:textId="241FF3A8" w:rsidR="00EF398F" w:rsidRPr="00EF398F" w:rsidRDefault="00EF398F" w:rsidP="00663B4F">
            <w:pPr>
              <w:pStyle w:val="Akapitzlist"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źle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wyrównana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cukrzyca</w:t>
            </w:r>
            <w:r w:rsidR="00663B4F">
              <w:rPr>
                <w:sz w:val="20"/>
                <w:szCs w:val="20"/>
              </w:rPr>
              <w:t>.</w:t>
            </w:r>
          </w:p>
        </w:tc>
        <w:tc>
          <w:tcPr>
            <w:tcW w:w="4084" w:type="dxa"/>
          </w:tcPr>
          <w:p w14:paraId="0E94BABE" w14:textId="77777777" w:rsidR="00EF398F" w:rsidRPr="00663B4F" w:rsidRDefault="00EF398F" w:rsidP="00663B4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663B4F">
              <w:rPr>
                <w:b/>
                <w:bCs/>
                <w:sz w:val="20"/>
                <w:szCs w:val="20"/>
              </w:rPr>
              <w:lastRenderedPageBreak/>
              <w:t>Dawkowanie</w:t>
            </w:r>
          </w:p>
          <w:p w14:paraId="5F86BC7C" w14:textId="32758CC9" w:rsidR="00EF398F" w:rsidRPr="00663B4F" w:rsidRDefault="00EF398F" w:rsidP="00663B4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663B4F">
              <w:rPr>
                <w:sz w:val="20"/>
                <w:szCs w:val="20"/>
              </w:rPr>
              <w:t>Somatotropina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podawana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codziennie,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wieczorem,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w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dawce: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0,1–0,33</w:t>
            </w:r>
            <w:r w:rsidR="0051799C">
              <w:rPr>
                <w:sz w:val="20"/>
                <w:szCs w:val="20"/>
              </w:rPr>
              <w:t> </w:t>
            </w:r>
            <w:r w:rsidRPr="00663B4F">
              <w:rPr>
                <w:sz w:val="20"/>
                <w:szCs w:val="20"/>
              </w:rPr>
              <w:t>mg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(0,3–1,0</w:t>
            </w:r>
            <w:r w:rsidR="0051799C">
              <w:rPr>
                <w:sz w:val="20"/>
                <w:szCs w:val="20"/>
              </w:rPr>
              <w:t> </w:t>
            </w:r>
            <w:r w:rsidRPr="00663B4F">
              <w:rPr>
                <w:sz w:val="20"/>
                <w:szCs w:val="20"/>
              </w:rPr>
              <w:t>IU)/kg</w:t>
            </w:r>
            <w:r w:rsidR="0051799C">
              <w:rPr>
                <w:sz w:val="20"/>
                <w:szCs w:val="20"/>
              </w:rPr>
              <w:t xml:space="preserve"> </w:t>
            </w:r>
            <w:proofErr w:type="spellStart"/>
            <w:r w:rsidRPr="00663B4F">
              <w:rPr>
                <w:sz w:val="20"/>
                <w:szCs w:val="20"/>
              </w:rPr>
              <w:t>m.c</w:t>
            </w:r>
            <w:proofErr w:type="spellEnd"/>
            <w:r w:rsidRPr="00663B4F">
              <w:rPr>
                <w:sz w:val="20"/>
                <w:szCs w:val="20"/>
              </w:rPr>
              <w:t>./tydzień.</w:t>
            </w:r>
          </w:p>
        </w:tc>
        <w:tc>
          <w:tcPr>
            <w:tcW w:w="5636" w:type="dxa"/>
          </w:tcPr>
          <w:p w14:paraId="6F1A9761" w14:textId="3AB5E962" w:rsidR="00EF398F" w:rsidRPr="00663B4F" w:rsidRDefault="00EF398F" w:rsidP="00663B4F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663B4F">
              <w:rPr>
                <w:b/>
                <w:bCs/>
                <w:sz w:val="20"/>
                <w:szCs w:val="20"/>
              </w:rPr>
              <w:t>Badania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663B4F">
              <w:rPr>
                <w:b/>
                <w:bCs/>
                <w:sz w:val="20"/>
                <w:szCs w:val="20"/>
              </w:rPr>
              <w:t>przy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663B4F">
              <w:rPr>
                <w:b/>
                <w:bCs/>
                <w:sz w:val="20"/>
                <w:szCs w:val="20"/>
              </w:rPr>
              <w:t>kwalifikacji</w:t>
            </w:r>
          </w:p>
          <w:p w14:paraId="6A2E6111" w14:textId="080EF1AC" w:rsidR="00EF398F" w:rsidRPr="00EF398F" w:rsidRDefault="00EF398F" w:rsidP="00663B4F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niemowląt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dzieci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okresie</w:t>
            </w:r>
            <w:r w:rsidR="0051799C">
              <w:rPr>
                <w:sz w:val="20"/>
                <w:szCs w:val="20"/>
              </w:rPr>
              <w:t xml:space="preserve"> </w:t>
            </w:r>
            <w:proofErr w:type="spellStart"/>
            <w:r w:rsidRPr="00EF398F">
              <w:rPr>
                <w:sz w:val="20"/>
                <w:szCs w:val="20"/>
              </w:rPr>
              <w:t>poniemowlęcym</w:t>
            </w:r>
            <w:proofErr w:type="spellEnd"/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nawracającymi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stanami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hipoglikemii:</w:t>
            </w:r>
          </w:p>
          <w:p w14:paraId="104EBAB2" w14:textId="7A703A76" w:rsidR="00EF398F" w:rsidRPr="00EF398F" w:rsidRDefault="00EF398F" w:rsidP="00663B4F">
            <w:pPr>
              <w:pStyle w:val="Akapitzlist"/>
              <w:numPr>
                <w:ilvl w:val="4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długość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(z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określeniem</w:t>
            </w:r>
            <w:r w:rsidR="0051799C">
              <w:rPr>
                <w:sz w:val="20"/>
                <w:szCs w:val="20"/>
              </w:rPr>
              <w:t xml:space="preserve"> </w:t>
            </w:r>
            <w:proofErr w:type="spellStart"/>
            <w:r w:rsidRPr="00EF398F">
              <w:rPr>
                <w:sz w:val="20"/>
                <w:szCs w:val="20"/>
              </w:rPr>
              <w:t>centyla</w:t>
            </w:r>
            <w:proofErr w:type="spellEnd"/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SDS)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masa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ciała</w:t>
            </w:r>
            <w:r w:rsidR="00663B4F">
              <w:rPr>
                <w:sz w:val="20"/>
                <w:szCs w:val="20"/>
              </w:rPr>
              <w:t>,</w:t>
            </w:r>
          </w:p>
          <w:p w14:paraId="375CF942" w14:textId="069554EB" w:rsidR="00EF398F" w:rsidRPr="00EF398F" w:rsidRDefault="00EF398F" w:rsidP="00663B4F">
            <w:pPr>
              <w:pStyle w:val="Akapitzlist"/>
              <w:numPr>
                <w:ilvl w:val="4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USG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przezciemiączkowe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lub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obrazowanie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OUN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pomocą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MRI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lub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TK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kontrastem,</w:t>
            </w:r>
          </w:p>
          <w:p w14:paraId="04D33478" w14:textId="63A200A4" w:rsidR="00EF398F" w:rsidRPr="00EF398F" w:rsidRDefault="00EF398F" w:rsidP="00663B4F">
            <w:pPr>
              <w:pStyle w:val="Akapitzlist"/>
              <w:numPr>
                <w:ilvl w:val="4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co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najmniej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5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–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krotny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pomiar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stężenia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hormonu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wzrostu,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optymalnie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śnie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(stężenia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GH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≥10</w:t>
            </w:r>
            <w:r w:rsidR="0051799C">
              <w:rPr>
                <w:sz w:val="20"/>
                <w:szCs w:val="20"/>
              </w:rPr>
              <w:t xml:space="preserve"> </w:t>
            </w:r>
            <w:proofErr w:type="spellStart"/>
            <w:r w:rsidRPr="00EF398F">
              <w:rPr>
                <w:sz w:val="20"/>
                <w:szCs w:val="20"/>
              </w:rPr>
              <w:t>ng</w:t>
            </w:r>
            <w:proofErr w:type="spellEnd"/>
            <w:r w:rsidRPr="00EF398F">
              <w:rPr>
                <w:sz w:val="20"/>
                <w:szCs w:val="20"/>
              </w:rPr>
              <w:t>/ml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stanowią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przy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tym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podstawy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odstąpienia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od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terapii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hormonem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wzrostu)</w:t>
            </w:r>
            <w:r w:rsidR="00663B4F">
              <w:rPr>
                <w:sz w:val="20"/>
                <w:szCs w:val="20"/>
              </w:rPr>
              <w:t>,</w:t>
            </w:r>
          </w:p>
          <w:p w14:paraId="35908AC1" w14:textId="25257E39" w:rsidR="00EF398F" w:rsidRPr="00EF398F" w:rsidRDefault="00EF398F" w:rsidP="00663B4F">
            <w:pPr>
              <w:pStyle w:val="Akapitzlist"/>
              <w:numPr>
                <w:ilvl w:val="4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stężenie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IGF-I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IGFBP3,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(należy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podać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normę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laboratorium,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którym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mierzono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stężenie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tych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związków)</w:t>
            </w:r>
            <w:r w:rsidR="00663B4F">
              <w:rPr>
                <w:sz w:val="20"/>
                <w:szCs w:val="20"/>
              </w:rPr>
              <w:t>,</w:t>
            </w:r>
          </w:p>
          <w:p w14:paraId="0527D992" w14:textId="37C551B4" w:rsidR="00EF398F" w:rsidRPr="00EF398F" w:rsidRDefault="00EF398F" w:rsidP="00663B4F">
            <w:pPr>
              <w:pStyle w:val="Akapitzlist"/>
              <w:numPr>
                <w:ilvl w:val="4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kilkukrotny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pomiar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glikemii,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kilkugodzinnej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przerwie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od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ostatniego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posiłku</w:t>
            </w:r>
            <w:r w:rsidR="00663B4F">
              <w:rPr>
                <w:sz w:val="20"/>
                <w:szCs w:val="20"/>
              </w:rPr>
              <w:t>,</w:t>
            </w:r>
          </w:p>
          <w:p w14:paraId="64D26624" w14:textId="3C8686B2" w:rsidR="00EF398F" w:rsidRPr="00EF398F" w:rsidRDefault="00EF398F" w:rsidP="00663B4F">
            <w:pPr>
              <w:pStyle w:val="Akapitzlist"/>
              <w:numPr>
                <w:ilvl w:val="4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inne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badania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konsultacje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zależności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od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potrzeb</w:t>
            </w:r>
            <w:r w:rsidR="00663B4F">
              <w:rPr>
                <w:sz w:val="20"/>
                <w:szCs w:val="20"/>
              </w:rPr>
              <w:t>;</w:t>
            </w:r>
          </w:p>
          <w:p w14:paraId="76A56471" w14:textId="334F83F8" w:rsidR="00EF398F" w:rsidRPr="00EF398F" w:rsidRDefault="00EF398F" w:rsidP="00663B4F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pozostałych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dzieci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—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pomiary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antropometryczne: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wysokość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(z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określeniem</w:t>
            </w:r>
            <w:r w:rsidR="0051799C">
              <w:rPr>
                <w:sz w:val="20"/>
                <w:szCs w:val="20"/>
              </w:rPr>
              <w:t xml:space="preserve"> </w:t>
            </w:r>
            <w:proofErr w:type="spellStart"/>
            <w:r w:rsidRPr="00EF398F">
              <w:rPr>
                <w:sz w:val="20"/>
                <w:szCs w:val="20"/>
              </w:rPr>
              <w:t>centyla</w:t>
            </w:r>
            <w:proofErr w:type="spellEnd"/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SDS)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masa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ciała,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tempo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wzrastania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(w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cm/rok)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oraz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BMI;</w:t>
            </w:r>
          </w:p>
          <w:p w14:paraId="420B3C6F" w14:textId="7D80C9A2" w:rsidR="00EF398F" w:rsidRPr="00EF398F" w:rsidRDefault="00EF398F" w:rsidP="00663B4F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dojrzałość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płciowa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podstawie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skali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Tannera;</w:t>
            </w:r>
          </w:p>
          <w:p w14:paraId="441A520E" w14:textId="178825F3" w:rsidR="00EF398F" w:rsidRPr="00EF398F" w:rsidRDefault="00EF398F" w:rsidP="00663B4F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stężenia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hormonu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wzrostu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dwóch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niezależnych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testach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stymulacji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sekrecji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tego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hormonu;</w:t>
            </w:r>
          </w:p>
          <w:p w14:paraId="40CAB3DC" w14:textId="311AF545" w:rsidR="00EF398F" w:rsidRPr="00EF398F" w:rsidRDefault="00EF398F" w:rsidP="00663B4F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lastRenderedPageBreak/>
              <w:t>stężenie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IGF-1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IGFBP3,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określeniem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proporcji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stężeń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obu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tych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związków;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(należy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podać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normę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laboratorium,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którym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mierzono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stężenie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tych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związków);</w:t>
            </w:r>
          </w:p>
          <w:p w14:paraId="3B62D16B" w14:textId="00CFAD33" w:rsidR="00EF398F" w:rsidRPr="00EF398F" w:rsidRDefault="00663B4F" w:rsidP="00663B4F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RTG</w:t>
            </w:r>
            <w:r w:rsidR="0051799C">
              <w:rPr>
                <w:sz w:val="20"/>
                <w:szCs w:val="20"/>
              </w:rPr>
              <w:t xml:space="preserve"> </w:t>
            </w:r>
            <w:r w:rsidR="00EF398F" w:rsidRPr="00EF398F">
              <w:rPr>
                <w:sz w:val="20"/>
                <w:szCs w:val="20"/>
              </w:rPr>
              <w:t>śródręcza</w:t>
            </w:r>
            <w:r w:rsidR="0051799C">
              <w:rPr>
                <w:sz w:val="20"/>
                <w:szCs w:val="20"/>
              </w:rPr>
              <w:t xml:space="preserve"> </w:t>
            </w:r>
            <w:r w:rsidR="00EF398F"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="00EF398F" w:rsidRPr="00EF398F">
              <w:rPr>
                <w:sz w:val="20"/>
                <w:szCs w:val="20"/>
              </w:rPr>
              <w:t>nadgarstka</w:t>
            </w:r>
            <w:r w:rsidR="0051799C">
              <w:rPr>
                <w:sz w:val="20"/>
                <w:szCs w:val="20"/>
              </w:rPr>
              <w:t xml:space="preserve"> </w:t>
            </w:r>
            <w:r w:rsidR="00EF398F" w:rsidRPr="00EF398F">
              <w:rPr>
                <w:sz w:val="20"/>
                <w:szCs w:val="20"/>
              </w:rPr>
              <w:t>ręki</w:t>
            </w:r>
            <w:r w:rsidR="0051799C">
              <w:rPr>
                <w:sz w:val="20"/>
                <w:szCs w:val="20"/>
              </w:rPr>
              <w:t xml:space="preserve"> </w:t>
            </w:r>
            <w:r w:rsidR="00EF398F" w:rsidRPr="00EF398F">
              <w:rPr>
                <w:sz w:val="20"/>
                <w:szCs w:val="20"/>
              </w:rPr>
              <w:t>niedominującej,</w:t>
            </w:r>
            <w:r w:rsidR="0051799C">
              <w:rPr>
                <w:sz w:val="20"/>
                <w:szCs w:val="20"/>
              </w:rPr>
              <w:t xml:space="preserve"> </w:t>
            </w:r>
            <w:r w:rsidR="00EF398F" w:rsidRPr="00EF398F">
              <w:rPr>
                <w:sz w:val="20"/>
                <w:szCs w:val="20"/>
              </w:rPr>
              <w:t>z</w:t>
            </w:r>
            <w:r w:rsidR="0051799C">
              <w:rPr>
                <w:sz w:val="20"/>
                <w:szCs w:val="20"/>
              </w:rPr>
              <w:t xml:space="preserve"> </w:t>
            </w:r>
            <w:r w:rsidR="00EF398F" w:rsidRPr="00EF398F">
              <w:rPr>
                <w:sz w:val="20"/>
                <w:szCs w:val="20"/>
              </w:rPr>
              <w:t>bliższą</w:t>
            </w:r>
            <w:r w:rsidR="0051799C">
              <w:rPr>
                <w:sz w:val="20"/>
                <w:szCs w:val="20"/>
              </w:rPr>
              <w:t xml:space="preserve"> </w:t>
            </w:r>
            <w:proofErr w:type="spellStart"/>
            <w:r w:rsidR="00EF398F" w:rsidRPr="00EF398F">
              <w:rPr>
                <w:sz w:val="20"/>
                <w:szCs w:val="20"/>
              </w:rPr>
              <w:t>przynasadą</w:t>
            </w:r>
            <w:proofErr w:type="spellEnd"/>
            <w:r w:rsidR="0051799C">
              <w:rPr>
                <w:sz w:val="20"/>
                <w:szCs w:val="20"/>
              </w:rPr>
              <w:t xml:space="preserve"> </w:t>
            </w:r>
            <w:r w:rsidR="00EF398F" w:rsidRPr="00EF398F">
              <w:rPr>
                <w:sz w:val="20"/>
                <w:szCs w:val="20"/>
              </w:rPr>
              <w:t>kości</w:t>
            </w:r>
            <w:r w:rsidR="0051799C">
              <w:rPr>
                <w:sz w:val="20"/>
                <w:szCs w:val="20"/>
              </w:rPr>
              <w:t xml:space="preserve"> </w:t>
            </w:r>
            <w:r w:rsidR="00EF398F" w:rsidRPr="00EF398F">
              <w:rPr>
                <w:sz w:val="20"/>
                <w:szCs w:val="20"/>
              </w:rPr>
              <w:t>przedramienia;</w:t>
            </w:r>
          </w:p>
          <w:p w14:paraId="5908CF2F" w14:textId="6C8B5BB6" w:rsidR="00EF398F" w:rsidRPr="00EF398F" w:rsidRDefault="00EF398F" w:rsidP="00663B4F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MRI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lub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TK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kontrastem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OUN,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szczególnym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uwzględnieniem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okolicy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podwzgórzowo-przysadkowej;</w:t>
            </w:r>
            <w:r w:rsidR="0051799C">
              <w:rPr>
                <w:sz w:val="20"/>
                <w:szCs w:val="20"/>
              </w:rPr>
              <w:t xml:space="preserve"> </w:t>
            </w:r>
          </w:p>
          <w:p w14:paraId="42012BB2" w14:textId="2119C4B8" w:rsidR="00EF398F" w:rsidRPr="00EF398F" w:rsidRDefault="00EF398F" w:rsidP="00663B4F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jonogram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surowicy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krwi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(co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najmniej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stężenie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Na+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Ca++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całkowitego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zjonizowanego);</w:t>
            </w:r>
          </w:p>
          <w:p w14:paraId="41F61B8A" w14:textId="3071141D" w:rsidR="00EF398F" w:rsidRPr="00EF398F" w:rsidRDefault="00EF398F" w:rsidP="00663B4F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morfologia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krwi,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rozmazem;</w:t>
            </w:r>
          </w:p>
          <w:p w14:paraId="198B48BD" w14:textId="47372834" w:rsidR="00EF398F" w:rsidRPr="00EF398F" w:rsidRDefault="00EF398F" w:rsidP="00663B4F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ocena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przemian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węglowodanowych: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stężenie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glukozy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czczo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odsetek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hemoglobiny</w:t>
            </w:r>
            <w:r w:rsidR="0051799C">
              <w:rPr>
                <w:sz w:val="20"/>
                <w:szCs w:val="20"/>
              </w:rPr>
              <w:t xml:space="preserve"> </w:t>
            </w:r>
            <w:proofErr w:type="spellStart"/>
            <w:r w:rsidRPr="00EF398F">
              <w:rPr>
                <w:sz w:val="20"/>
                <w:szCs w:val="20"/>
              </w:rPr>
              <w:t>glikowanej</w:t>
            </w:r>
            <w:proofErr w:type="spellEnd"/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(HbA1c)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lub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test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doustnego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obciążenia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glukozą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(OGTT),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oceną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glikemii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proofErr w:type="spellStart"/>
            <w:r w:rsidRPr="00EF398F">
              <w:rPr>
                <w:sz w:val="20"/>
                <w:szCs w:val="20"/>
              </w:rPr>
              <w:t>insulinemii</w:t>
            </w:r>
            <w:proofErr w:type="spellEnd"/>
            <w:r w:rsidRPr="00EF398F">
              <w:rPr>
                <w:sz w:val="20"/>
                <w:szCs w:val="20"/>
              </w:rPr>
              <w:t>;</w:t>
            </w:r>
          </w:p>
          <w:p w14:paraId="0F7238B4" w14:textId="0DD6DCB4" w:rsidR="00EF398F" w:rsidRPr="00EF398F" w:rsidRDefault="00EF398F" w:rsidP="00663B4F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ocena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przemian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lipidowych: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stężenia</w:t>
            </w:r>
            <w:r w:rsidR="0051799C">
              <w:rPr>
                <w:sz w:val="20"/>
                <w:szCs w:val="20"/>
              </w:rPr>
              <w:t xml:space="preserve"> </w:t>
            </w:r>
            <w:proofErr w:type="spellStart"/>
            <w:r w:rsidRPr="00EF398F">
              <w:rPr>
                <w:sz w:val="20"/>
                <w:szCs w:val="20"/>
              </w:rPr>
              <w:t>triglicerydów</w:t>
            </w:r>
            <w:proofErr w:type="spellEnd"/>
            <w:r w:rsidRPr="00EF398F">
              <w:rPr>
                <w:sz w:val="20"/>
                <w:szCs w:val="20"/>
              </w:rPr>
              <w:t>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całkowitego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cholesterolu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oraz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frakcji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HDL-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LDL-cholesterolu;</w:t>
            </w:r>
          </w:p>
          <w:p w14:paraId="2BF61427" w14:textId="798C5D89" w:rsidR="00EF398F" w:rsidRPr="00EF398F" w:rsidRDefault="00EF398F" w:rsidP="00663B4F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ocena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czynności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wątroby: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AIAT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AspAT;</w:t>
            </w:r>
          </w:p>
          <w:p w14:paraId="1A6FEFF1" w14:textId="5D7DC777" w:rsidR="00EF398F" w:rsidRPr="00EF398F" w:rsidRDefault="00EF398F" w:rsidP="00663B4F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ocena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czynności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tarczycy: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TSH,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fT4,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fT3;</w:t>
            </w:r>
          </w:p>
          <w:p w14:paraId="5354A6DF" w14:textId="073A908F" w:rsidR="00EF398F" w:rsidRPr="00EF398F" w:rsidRDefault="00EF398F" w:rsidP="00663B4F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stężenie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kortyzolu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godzinach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rannych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wieczornych;</w:t>
            </w:r>
          </w:p>
          <w:p w14:paraId="7192AD4C" w14:textId="6169ED68" w:rsidR="00EF398F" w:rsidRPr="00EF398F" w:rsidRDefault="00EF398F" w:rsidP="00663B4F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stężenie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25OH</w:t>
            </w:r>
            <w:r w:rsidR="0051799C">
              <w:rPr>
                <w:sz w:val="20"/>
                <w:szCs w:val="20"/>
              </w:rPr>
              <w:t xml:space="preserve"> </w:t>
            </w:r>
            <w:proofErr w:type="spellStart"/>
            <w:r w:rsidRPr="00EF398F">
              <w:rPr>
                <w:sz w:val="20"/>
                <w:szCs w:val="20"/>
              </w:rPr>
              <w:t>wit</w:t>
            </w:r>
            <w:proofErr w:type="spellEnd"/>
            <w:r w:rsidRPr="00EF398F">
              <w:rPr>
                <w:sz w:val="20"/>
                <w:szCs w:val="20"/>
              </w:rPr>
              <w:t>.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D;</w:t>
            </w:r>
          </w:p>
          <w:p w14:paraId="230F3938" w14:textId="3F701FF1" w:rsidR="00EF398F" w:rsidRPr="00EF398F" w:rsidRDefault="00EF398F" w:rsidP="00663B4F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p/ciała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przeciw</w:t>
            </w:r>
            <w:r w:rsidR="0051799C">
              <w:rPr>
                <w:sz w:val="20"/>
                <w:szCs w:val="20"/>
              </w:rPr>
              <w:t xml:space="preserve"> </w:t>
            </w:r>
            <w:proofErr w:type="spellStart"/>
            <w:r w:rsidRPr="00EF398F">
              <w:rPr>
                <w:sz w:val="20"/>
                <w:szCs w:val="20"/>
              </w:rPr>
              <w:t>transglutaminazie</w:t>
            </w:r>
            <w:proofErr w:type="spellEnd"/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tkankowej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(anty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–</w:t>
            </w:r>
            <w:r w:rsidR="0051799C">
              <w:rPr>
                <w:sz w:val="20"/>
                <w:szCs w:val="20"/>
              </w:rPr>
              <w:t xml:space="preserve"> </w:t>
            </w:r>
            <w:proofErr w:type="spellStart"/>
            <w:r w:rsidRPr="00EF398F">
              <w:rPr>
                <w:sz w:val="20"/>
                <w:szCs w:val="20"/>
              </w:rPr>
              <w:t>tGT</w:t>
            </w:r>
            <w:proofErr w:type="spellEnd"/>
            <w:r w:rsidRPr="00EF398F">
              <w:rPr>
                <w:sz w:val="20"/>
                <w:szCs w:val="20"/>
              </w:rPr>
              <w:t>)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klasie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IGA</w:t>
            </w:r>
            <w:r w:rsidR="00663B4F">
              <w:rPr>
                <w:sz w:val="20"/>
                <w:szCs w:val="20"/>
              </w:rPr>
              <w:t>;</w:t>
            </w:r>
          </w:p>
          <w:p w14:paraId="1A12CF85" w14:textId="3526BB5C" w:rsidR="00EF398F" w:rsidRPr="00EF398F" w:rsidRDefault="00EF398F" w:rsidP="00663B4F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konsultacja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okulistyczna,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oceną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dna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oka;</w:t>
            </w:r>
          </w:p>
          <w:p w14:paraId="5EAFE14E" w14:textId="392DA392" w:rsidR="00EF398F" w:rsidRPr="00EF398F" w:rsidRDefault="00EF398F" w:rsidP="00663B4F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test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stymulacji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wydzielania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gonadotropin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(w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uzasadnionych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przypadkach);</w:t>
            </w:r>
          </w:p>
          <w:p w14:paraId="1C634BD3" w14:textId="58FF6F4A" w:rsidR="00EF398F" w:rsidRPr="00EF398F" w:rsidRDefault="00EF398F" w:rsidP="00663B4F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konsultacja</w:t>
            </w:r>
            <w:r w:rsidR="0051799C">
              <w:rPr>
                <w:sz w:val="20"/>
                <w:szCs w:val="20"/>
              </w:rPr>
              <w:t xml:space="preserve"> </w:t>
            </w:r>
            <w:proofErr w:type="spellStart"/>
            <w:r w:rsidRPr="00EF398F">
              <w:rPr>
                <w:sz w:val="20"/>
                <w:szCs w:val="20"/>
              </w:rPr>
              <w:t>hematoonkologa</w:t>
            </w:r>
            <w:proofErr w:type="spellEnd"/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dziecięcego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—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dotyczy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dzieci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terapii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chorób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rozrostowych;</w:t>
            </w:r>
          </w:p>
          <w:p w14:paraId="28609301" w14:textId="62619E9C" w:rsidR="00EF398F" w:rsidRPr="00EF398F" w:rsidRDefault="00EF398F" w:rsidP="00663B4F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konsultacja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neurologa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dziecięcego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neurochirurgiczna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przypadku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uprzednich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zabiegów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neurochirurgicznych,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przede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lastRenderedPageBreak/>
              <w:t>wszystkim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powodu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uprzednich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procesów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rozrostowych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obrębie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OUN;</w:t>
            </w:r>
            <w:r w:rsidR="0051799C">
              <w:rPr>
                <w:sz w:val="20"/>
                <w:szCs w:val="20"/>
              </w:rPr>
              <w:t xml:space="preserve"> </w:t>
            </w:r>
          </w:p>
          <w:p w14:paraId="1BF44D6E" w14:textId="207D10D2" w:rsidR="00EF398F" w:rsidRPr="00EF398F" w:rsidRDefault="00EF398F" w:rsidP="00663B4F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inne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badania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konsultacje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zależności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od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potrzeb,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np.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etiologii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SNP/WNP.</w:t>
            </w:r>
          </w:p>
          <w:p w14:paraId="064B340E" w14:textId="572B6689" w:rsidR="00EF398F" w:rsidRPr="00663B4F" w:rsidRDefault="00EF398F" w:rsidP="00663B4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663B4F">
              <w:rPr>
                <w:sz w:val="20"/>
                <w:szCs w:val="20"/>
              </w:rPr>
              <w:t>Badania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wykonywane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według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standardów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diagnozowania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świadczeniobiorców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z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somatotropinową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lub</w:t>
            </w:r>
            <w:r w:rsidR="0051799C">
              <w:rPr>
                <w:sz w:val="20"/>
                <w:szCs w:val="20"/>
              </w:rPr>
              <w:t xml:space="preserve"> </w:t>
            </w:r>
            <w:proofErr w:type="spellStart"/>
            <w:r w:rsidRPr="00663B4F">
              <w:rPr>
                <w:sz w:val="20"/>
                <w:szCs w:val="20"/>
              </w:rPr>
              <w:t>wielohormonalną</w:t>
            </w:r>
            <w:proofErr w:type="spellEnd"/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niedoczynnością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przysadki</w:t>
            </w:r>
            <w:r w:rsidR="0051799C">
              <w:rPr>
                <w:sz w:val="20"/>
                <w:szCs w:val="20"/>
              </w:rPr>
              <w:t xml:space="preserve"> </w:t>
            </w:r>
            <w:r w:rsidRPr="00663B4F">
              <w:rPr>
                <w:sz w:val="20"/>
                <w:szCs w:val="20"/>
              </w:rPr>
              <w:t>(SNP/WNP).</w:t>
            </w:r>
          </w:p>
          <w:p w14:paraId="0E18AE51" w14:textId="77777777" w:rsidR="00EF398F" w:rsidRPr="00EF398F" w:rsidRDefault="00EF398F" w:rsidP="00EF398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63E419DD" w14:textId="02AC2716" w:rsidR="00EF398F" w:rsidRPr="00663B4F" w:rsidRDefault="00EF398F" w:rsidP="00663B4F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663B4F">
              <w:rPr>
                <w:b/>
                <w:bCs/>
                <w:sz w:val="20"/>
                <w:szCs w:val="20"/>
              </w:rPr>
              <w:t>Monitorowanie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663B4F">
              <w:rPr>
                <w:b/>
                <w:bCs/>
                <w:sz w:val="20"/>
                <w:szCs w:val="20"/>
              </w:rPr>
              <w:t>leczenia</w:t>
            </w:r>
          </w:p>
          <w:p w14:paraId="40C11537" w14:textId="38F1FCAF" w:rsidR="00EF398F" w:rsidRPr="00663B4F" w:rsidRDefault="00EF398F" w:rsidP="00663B4F">
            <w:pPr>
              <w:pStyle w:val="Akapitzlist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663B4F">
              <w:rPr>
                <w:b/>
                <w:bCs/>
                <w:sz w:val="20"/>
                <w:szCs w:val="20"/>
              </w:rPr>
              <w:t>Po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663B4F">
              <w:rPr>
                <w:b/>
                <w:bCs/>
                <w:sz w:val="20"/>
                <w:szCs w:val="20"/>
              </w:rPr>
              <w:t>90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663B4F">
              <w:rPr>
                <w:b/>
                <w:bCs/>
                <w:sz w:val="20"/>
                <w:szCs w:val="20"/>
              </w:rPr>
              <w:t>dniach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663B4F">
              <w:rPr>
                <w:b/>
                <w:bCs/>
                <w:sz w:val="20"/>
                <w:szCs w:val="20"/>
              </w:rPr>
              <w:t>od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663B4F">
              <w:rPr>
                <w:b/>
                <w:bCs/>
                <w:sz w:val="20"/>
                <w:szCs w:val="20"/>
              </w:rPr>
              <w:t>rozpoczęcia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663B4F">
              <w:rPr>
                <w:b/>
                <w:bCs/>
                <w:sz w:val="20"/>
                <w:szCs w:val="20"/>
              </w:rPr>
              <w:t>terapii</w:t>
            </w:r>
            <w:r w:rsidR="00D851B9">
              <w:rPr>
                <w:b/>
                <w:bCs/>
                <w:sz w:val="20"/>
                <w:szCs w:val="20"/>
              </w:rPr>
              <w:t>:</w:t>
            </w:r>
          </w:p>
          <w:p w14:paraId="4A57C854" w14:textId="028C7841" w:rsidR="00EF398F" w:rsidRPr="00EF398F" w:rsidRDefault="00EF398F" w:rsidP="00663B4F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niemowlęta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dzieci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okresie</w:t>
            </w:r>
            <w:r w:rsidR="0051799C">
              <w:rPr>
                <w:sz w:val="20"/>
                <w:szCs w:val="20"/>
              </w:rPr>
              <w:t xml:space="preserve"> </w:t>
            </w:r>
            <w:proofErr w:type="spellStart"/>
            <w:r w:rsidRPr="00EF398F">
              <w:rPr>
                <w:sz w:val="20"/>
                <w:szCs w:val="20"/>
              </w:rPr>
              <w:t>poniemowlęcym</w:t>
            </w:r>
            <w:proofErr w:type="spellEnd"/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nawracającymi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stanami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hipoglikemii:</w:t>
            </w:r>
          </w:p>
          <w:p w14:paraId="24AD2731" w14:textId="0FD08BC8" w:rsidR="00EF398F" w:rsidRPr="00EF398F" w:rsidRDefault="00EF398F" w:rsidP="00663B4F">
            <w:pPr>
              <w:pStyle w:val="Akapitzlist"/>
              <w:numPr>
                <w:ilvl w:val="4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ocena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czy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ustąpiły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stany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hipoglikemii</w:t>
            </w:r>
            <w:r w:rsidR="00663B4F">
              <w:rPr>
                <w:sz w:val="20"/>
                <w:szCs w:val="20"/>
              </w:rPr>
              <w:t>,</w:t>
            </w:r>
          </w:p>
          <w:p w14:paraId="21C55320" w14:textId="040C9FC0" w:rsidR="00EF398F" w:rsidRPr="00EF398F" w:rsidRDefault="00EF398F" w:rsidP="00663B4F">
            <w:pPr>
              <w:pStyle w:val="Akapitzlist"/>
              <w:numPr>
                <w:ilvl w:val="4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długość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(z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określeniem</w:t>
            </w:r>
            <w:r w:rsidR="0051799C">
              <w:rPr>
                <w:sz w:val="20"/>
                <w:szCs w:val="20"/>
              </w:rPr>
              <w:t xml:space="preserve"> </w:t>
            </w:r>
            <w:proofErr w:type="spellStart"/>
            <w:r w:rsidRPr="00EF398F">
              <w:rPr>
                <w:sz w:val="20"/>
                <w:szCs w:val="20"/>
              </w:rPr>
              <w:t>centyla</w:t>
            </w:r>
            <w:proofErr w:type="spellEnd"/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SDS)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masa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ciała</w:t>
            </w:r>
            <w:r w:rsidR="00663B4F">
              <w:rPr>
                <w:sz w:val="20"/>
                <w:szCs w:val="20"/>
              </w:rPr>
              <w:t>,</w:t>
            </w:r>
          </w:p>
          <w:p w14:paraId="2A12C1AD" w14:textId="4FD5E71E" w:rsidR="00EF398F" w:rsidRPr="00EF398F" w:rsidRDefault="00EF398F" w:rsidP="00663B4F">
            <w:pPr>
              <w:pStyle w:val="Akapitzlist"/>
              <w:numPr>
                <w:ilvl w:val="4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stężenie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IGF-I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IGFBP3,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określeniem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proporcji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stężeń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obu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tych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związków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(należy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podać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normę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laboratorium,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którym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mierzono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stężenie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tych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związków)</w:t>
            </w:r>
            <w:r w:rsidR="00663B4F">
              <w:rPr>
                <w:sz w:val="20"/>
                <w:szCs w:val="20"/>
              </w:rPr>
              <w:t>,</w:t>
            </w:r>
          </w:p>
          <w:p w14:paraId="2C9CD587" w14:textId="44E33662" w:rsidR="00EF398F" w:rsidRPr="00EF398F" w:rsidRDefault="00EF398F" w:rsidP="00663B4F">
            <w:pPr>
              <w:pStyle w:val="Akapitzlist"/>
              <w:numPr>
                <w:ilvl w:val="4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kilkukrotny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pomiar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glikemii,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kilkugodzinnej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przerwie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od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ostatniego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posiłku,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odsetek</w:t>
            </w:r>
            <w:r w:rsidR="0051799C">
              <w:rPr>
                <w:sz w:val="20"/>
                <w:szCs w:val="20"/>
              </w:rPr>
              <w:t xml:space="preserve"> </w:t>
            </w:r>
            <w:proofErr w:type="spellStart"/>
            <w:r w:rsidRPr="00EF398F">
              <w:rPr>
                <w:sz w:val="20"/>
                <w:szCs w:val="20"/>
              </w:rPr>
              <w:t>glikowanej</w:t>
            </w:r>
            <w:proofErr w:type="spellEnd"/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hemoglobiny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(HbA1c)</w:t>
            </w:r>
            <w:r w:rsidR="00663B4F">
              <w:rPr>
                <w:sz w:val="20"/>
                <w:szCs w:val="20"/>
              </w:rPr>
              <w:t>,</w:t>
            </w:r>
          </w:p>
          <w:p w14:paraId="17B8610E" w14:textId="47E32021" w:rsidR="00EF398F" w:rsidRPr="00EF398F" w:rsidRDefault="00EF398F" w:rsidP="00663B4F">
            <w:pPr>
              <w:pStyle w:val="Akapitzlist"/>
              <w:numPr>
                <w:ilvl w:val="4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inne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badania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konsultacje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zależności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od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potrzeb</w:t>
            </w:r>
            <w:r w:rsidR="00663B4F">
              <w:rPr>
                <w:sz w:val="20"/>
                <w:szCs w:val="20"/>
              </w:rPr>
              <w:t>;</w:t>
            </w:r>
          </w:p>
          <w:p w14:paraId="177014BB" w14:textId="528D5DDD" w:rsidR="00EF398F" w:rsidRPr="00EF398F" w:rsidRDefault="00EF398F" w:rsidP="00663B4F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pozostałych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dzieci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—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pomiary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antropometryczne: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wysokość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(z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określeniem</w:t>
            </w:r>
            <w:r w:rsidR="0051799C">
              <w:rPr>
                <w:sz w:val="20"/>
                <w:szCs w:val="20"/>
              </w:rPr>
              <w:t xml:space="preserve"> </w:t>
            </w:r>
            <w:proofErr w:type="spellStart"/>
            <w:r w:rsidRPr="00EF398F">
              <w:rPr>
                <w:sz w:val="20"/>
                <w:szCs w:val="20"/>
              </w:rPr>
              <w:t>centyla</w:t>
            </w:r>
            <w:proofErr w:type="spellEnd"/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SDS)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masa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ciała,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tempo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wzrastania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(w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cm/rok)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oraz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BMI;</w:t>
            </w:r>
          </w:p>
          <w:p w14:paraId="41D7F7B7" w14:textId="44859631" w:rsidR="00EF398F" w:rsidRPr="00EF398F" w:rsidRDefault="00EF398F" w:rsidP="00663B4F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pomiar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stężenia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IGF-1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stężenia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IGFBP3,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określeniem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proporcji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stężeń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obu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tych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związków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(należy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podać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normę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laboratorium,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którym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mierzono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stężenie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tych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związków)</w:t>
            </w:r>
            <w:r w:rsidR="00D851B9">
              <w:rPr>
                <w:sz w:val="20"/>
                <w:szCs w:val="20"/>
              </w:rPr>
              <w:t>;</w:t>
            </w:r>
          </w:p>
          <w:p w14:paraId="154700A6" w14:textId="43D704FC" w:rsidR="00EF398F" w:rsidRPr="00EF398F" w:rsidRDefault="00EF398F" w:rsidP="00663B4F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glikemia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czczo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odsetek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hemoglobiny</w:t>
            </w:r>
            <w:r w:rsidR="0051799C">
              <w:rPr>
                <w:sz w:val="20"/>
                <w:szCs w:val="20"/>
              </w:rPr>
              <w:t xml:space="preserve"> </w:t>
            </w:r>
            <w:proofErr w:type="spellStart"/>
            <w:r w:rsidRPr="00EF398F">
              <w:rPr>
                <w:sz w:val="20"/>
                <w:szCs w:val="20"/>
              </w:rPr>
              <w:t>glikowanej</w:t>
            </w:r>
            <w:proofErr w:type="spellEnd"/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(HbA1c)</w:t>
            </w:r>
            <w:r w:rsidR="00D851B9">
              <w:rPr>
                <w:sz w:val="20"/>
                <w:szCs w:val="20"/>
              </w:rPr>
              <w:t>;</w:t>
            </w:r>
          </w:p>
          <w:p w14:paraId="5FF099A0" w14:textId="63679311" w:rsidR="00EF398F" w:rsidRPr="00EF398F" w:rsidRDefault="00EF398F" w:rsidP="00663B4F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inne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badania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konsultacje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zależności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od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potrzeb</w:t>
            </w:r>
            <w:r w:rsidR="00D851B9">
              <w:rPr>
                <w:sz w:val="20"/>
                <w:szCs w:val="20"/>
              </w:rPr>
              <w:t>;</w:t>
            </w:r>
          </w:p>
          <w:p w14:paraId="2C42673E" w14:textId="69569574" w:rsidR="00EF398F" w:rsidRDefault="00EF398F" w:rsidP="00D851B9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lastRenderedPageBreak/>
              <w:t>dojrzałość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płciowa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podstawie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skali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Tannera</w:t>
            </w:r>
            <w:r w:rsidR="00D851B9">
              <w:rPr>
                <w:sz w:val="20"/>
                <w:szCs w:val="20"/>
              </w:rPr>
              <w:t>.</w:t>
            </w:r>
          </w:p>
          <w:p w14:paraId="500742AE" w14:textId="77777777" w:rsidR="00D851B9" w:rsidRPr="00EF398F" w:rsidRDefault="00D851B9" w:rsidP="00D851B9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0A7F8061" w14:textId="7D99B8D5" w:rsidR="00EF398F" w:rsidRPr="00D851B9" w:rsidRDefault="00EF398F" w:rsidP="00D851B9">
            <w:pPr>
              <w:pStyle w:val="Akapitzlist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D851B9">
              <w:rPr>
                <w:b/>
                <w:bCs/>
                <w:sz w:val="20"/>
                <w:szCs w:val="20"/>
              </w:rPr>
              <w:t>Co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D851B9">
              <w:rPr>
                <w:b/>
                <w:bCs/>
                <w:sz w:val="20"/>
                <w:szCs w:val="20"/>
              </w:rPr>
              <w:t>180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D851B9">
              <w:rPr>
                <w:b/>
                <w:bCs/>
                <w:sz w:val="20"/>
                <w:szCs w:val="20"/>
              </w:rPr>
              <w:t>dni</w:t>
            </w:r>
            <w:r w:rsidR="00D851B9">
              <w:rPr>
                <w:b/>
                <w:bCs/>
                <w:sz w:val="20"/>
                <w:szCs w:val="20"/>
              </w:rPr>
              <w:t>:</w:t>
            </w:r>
          </w:p>
          <w:p w14:paraId="586CCE52" w14:textId="5DBA8BA0" w:rsidR="00EF398F" w:rsidRPr="00EF398F" w:rsidRDefault="00EF398F" w:rsidP="00D851B9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pomiary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antropometryczne: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wysokość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(z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określeniem</w:t>
            </w:r>
            <w:r w:rsidR="0051799C">
              <w:rPr>
                <w:sz w:val="20"/>
                <w:szCs w:val="20"/>
              </w:rPr>
              <w:t xml:space="preserve"> </w:t>
            </w:r>
            <w:proofErr w:type="spellStart"/>
            <w:r w:rsidRPr="00EF398F">
              <w:rPr>
                <w:sz w:val="20"/>
                <w:szCs w:val="20"/>
              </w:rPr>
              <w:t>centyla</w:t>
            </w:r>
            <w:proofErr w:type="spellEnd"/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SDS)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masa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ciała,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tempo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wzrastania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(w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cm/rok)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oraz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BMI;</w:t>
            </w:r>
          </w:p>
          <w:p w14:paraId="61340BC2" w14:textId="3DE599BA" w:rsidR="00EF398F" w:rsidRPr="00EF398F" w:rsidRDefault="00EF398F" w:rsidP="00D851B9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dojrzałość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płciowa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podstawie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skali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Tannera;</w:t>
            </w:r>
          </w:p>
          <w:p w14:paraId="24B407DE" w14:textId="2759ACF1" w:rsidR="00EF398F" w:rsidRPr="00EF398F" w:rsidRDefault="00EF398F" w:rsidP="00D851B9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pomiar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stężenia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glukozy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krwi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pomiarem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odsetka</w:t>
            </w:r>
            <w:r w:rsidR="0051799C">
              <w:rPr>
                <w:sz w:val="20"/>
                <w:szCs w:val="20"/>
              </w:rPr>
              <w:t xml:space="preserve"> </w:t>
            </w:r>
            <w:proofErr w:type="spellStart"/>
            <w:r w:rsidRPr="00EF398F">
              <w:rPr>
                <w:sz w:val="20"/>
                <w:szCs w:val="20"/>
              </w:rPr>
              <w:t>glikowanej</w:t>
            </w:r>
            <w:proofErr w:type="spellEnd"/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hemoglobiny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HbA1C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lub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co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365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dni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test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obciążenia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glukozą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pomiarem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glikemii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proofErr w:type="spellStart"/>
            <w:r w:rsidRPr="00EF398F">
              <w:rPr>
                <w:sz w:val="20"/>
                <w:szCs w:val="20"/>
              </w:rPr>
              <w:t>insulinemii</w:t>
            </w:r>
            <w:proofErr w:type="spellEnd"/>
            <w:r w:rsidR="00D851B9">
              <w:rPr>
                <w:sz w:val="20"/>
                <w:szCs w:val="20"/>
              </w:rPr>
              <w:t>;</w:t>
            </w:r>
          </w:p>
          <w:p w14:paraId="299E82D3" w14:textId="674208DB" w:rsidR="00EF398F" w:rsidRPr="00EF398F" w:rsidRDefault="00EF398F" w:rsidP="00D851B9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pomiar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stężenia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TSH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fT4;</w:t>
            </w:r>
            <w:r w:rsidR="0051799C">
              <w:rPr>
                <w:sz w:val="20"/>
                <w:szCs w:val="20"/>
              </w:rPr>
              <w:t xml:space="preserve"> </w:t>
            </w:r>
          </w:p>
          <w:p w14:paraId="410DB4D0" w14:textId="7478FD5C" w:rsidR="00EF398F" w:rsidRPr="00EF398F" w:rsidRDefault="00EF398F" w:rsidP="00D851B9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pomiar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stężenia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IGF-1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stężenia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IGFBP3,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określeniem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proporcji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stężeń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obu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tych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związków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(należy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podać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normę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laboratorium,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którym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mierzono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stężenie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tych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związków)</w:t>
            </w:r>
            <w:r w:rsidR="00D851B9">
              <w:rPr>
                <w:sz w:val="20"/>
                <w:szCs w:val="20"/>
              </w:rPr>
              <w:t>;</w:t>
            </w:r>
          </w:p>
          <w:p w14:paraId="45DE7970" w14:textId="5EE7709D" w:rsidR="00EF398F" w:rsidRDefault="00EF398F" w:rsidP="00D851B9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Inne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badania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konsultacje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zależności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od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potrzeb</w:t>
            </w:r>
            <w:r w:rsidR="00D851B9">
              <w:rPr>
                <w:sz w:val="20"/>
                <w:szCs w:val="20"/>
              </w:rPr>
              <w:t>.</w:t>
            </w:r>
          </w:p>
          <w:p w14:paraId="322648DB" w14:textId="77777777" w:rsidR="00D851B9" w:rsidRPr="00EF398F" w:rsidRDefault="00D851B9" w:rsidP="00D851B9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02E58A6B" w14:textId="1A861467" w:rsidR="00EF398F" w:rsidRPr="00D851B9" w:rsidRDefault="00EF398F" w:rsidP="00D851B9">
            <w:pPr>
              <w:pStyle w:val="Akapitzlist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D851B9">
              <w:rPr>
                <w:b/>
                <w:bCs/>
                <w:sz w:val="20"/>
                <w:szCs w:val="20"/>
              </w:rPr>
              <w:t>Co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D851B9">
              <w:rPr>
                <w:b/>
                <w:bCs/>
                <w:sz w:val="20"/>
                <w:szCs w:val="20"/>
              </w:rPr>
              <w:t>365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D851B9">
              <w:rPr>
                <w:b/>
                <w:bCs/>
                <w:sz w:val="20"/>
                <w:szCs w:val="20"/>
              </w:rPr>
              <w:t>dni</w:t>
            </w:r>
            <w:r w:rsidR="00D851B9" w:rsidRPr="00D851B9">
              <w:rPr>
                <w:b/>
                <w:bCs/>
                <w:sz w:val="20"/>
                <w:szCs w:val="20"/>
              </w:rPr>
              <w:t>:</w:t>
            </w:r>
          </w:p>
          <w:p w14:paraId="3AFBDE59" w14:textId="4239CD8C" w:rsidR="00EF398F" w:rsidRPr="00EF398F" w:rsidRDefault="00D851B9" w:rsidP="00D851B9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RTG</w:t>
            </w:r>
            <w:r w:rsidR="0051799C">
              <w:rPr>
                <w:sz w:val="20"/>
                <w:szCs w:val="20"/>
              </w:rPr>
              <w:t xml:space="preserve"> </w:t>
            </w:r>
            <w:r w:rsidR="00EF398F" w:rsidRPr="00EF398F">
              <w:rPr>
                <w:sz w:val="20"/>
                <w:szCs w:val="20"/>
              </w:rPr>
              <w:t>śródręcza</w:t>
            </w:r>
            <w:r w:rsidR="0051799C">
              <w:rPr>
                <w:sz w:val="20"/>
                <w:szCs w:val="20"/>
              </w:rPr>
              <w:t xml:space="preserve"> </w:t>
            </w:r>
            <w:r w:rsidR="00EF398F"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="00EF398F" w:rsidRPr="00EF398F">
              <w:rPr>
                <w:sz w:val="20"/>
                <w:szCs w:val="20"/>
              </w:rPr>
              <w:t>nadgarstka</w:t>
            </w:r>
            <w:r w:rsidR="0051799C">
              <w:rPr>
                <w:sz w:val="20"/>
                <w:szCs w:val="20"/>
              </w:rPr>
              <w:t xml:space="preserve"> </w:t>
            </w:r>
            <w:r w:rsidR="00EF398F" w:rsidRPr="00EF398F">
              <w:rPr>
                <w:sz w:val="20"/>
                <w:szCs w:val="20"/>
              </w:rPr>
              <w:t>ręki</w:t>
            </w:r>
            <w:r w:rsidR="0051799C">
              <w:rPr>
                <w:sz w:val="20"/>
                <w:szCs w:val="20"/>
              </w:rPr>
              <w:t xml:space="preserve"> </w:t>
            </w:r>
            <w:r w:rsidR="00EF398F" w:rsidRPr="00EF398F">
              <w:rPr>
                <w:sz w:val="20"/>
                <w:szCs w:val="20"/>
              </w:rPr>
              <w:t>niedominującej</w:t>
            </w:r>
            <w:r w:rsidR="0051799C">
              <w:rPr>
                <w:sz w:val="20"/>
                <w:szCs w:val="20"/>
              </w:rPr>
              <w:t xml:space="preserve"> </w:t>
            </w:r>
            <w:r w:rsidR="00EF398F" w:rsidRPr="00EF398F">
              <w:rPr>
                <w:sz w:val="20"/>
                <w:szCs w:val="20"/>
              </w:rPr>
              <w:t>z</w:t>
            </w:r>
            <w:r w:rsidR="0051799C">
              <w:rPr>
                <w:sz w:val="20"/>
                <w:szCs w:val="20"/>
              </w:rPr>
              <w:t xml:space="preserve"> </w:t>
            </w:r>
            <w:r w:rsidR="00EF398F" w:rsidRPr="00EF398F">
              <w:rPr>
                <w:sz w:val="20"/>
                <w:szCs w:val="20"/>
              </w:rPr>
              <w:t>bliższą</w:t>
            </w:r>
            <w:r w:rsidR="0051799C">
              <w:rPr>
                <w:sz w:val="20"/>
                <w:szCs w:val="20"/>
              </w:rPr>
              <w:t xml:space="preserve"> </w:t>
            </w:r>
            <w:proofErr w:type="spellStart"/>
            <w:r w:rsidR="00EF398F" w:rsidRPr="00EF398F">
              <w:rPr>
                <w:sz w:val="20"/>
                <w:szCs w:val="20"/>
              </w:rPr>
              <w:t>przynasadą</w:t>
            </w:r>
            <w:proofErr w:type="spellEnd"/>
            <w:r w:rsidR="0051799C">
              <w:rPr>
                <w:sz w:val="20"/>
                <w:szCs w:val="20"/>
              </w:rPr>
              <w:t xml:space="preserve"> </w:t>
            </w:r>
            <w:r w:rsidR="00EF398F" w:rsidRPr="00EF398F">
              <w:rPr>
                <w:sz w:val="20"/>
                <w:szCs w:val="20"/>
              </w:rPr>
              <w:t>kości</w:t>
            </w:r>
            <w:r w:rsidR="0051799C">
              <w:rPr>
                <w:sz w:val="20"/>
                <w:szCs w:val="20"/>
              </w:rPr>
              <w:t xml:space="preserve"> </w:t>
            </w:r>
            <w:r w:rsidR="00EF398F" w:rsidRPr="00EF398F">
              <w:rPr>
                <w:sz w:val="20"/>
                <w:szCs w:val="20"/>
              </w:rPr>
              <w:t>przedramienia</w:t>
            </w:r>
            <w:r w:rsidR="0051799C">
              <w:rPr>
                <w:sz w:val="20"/>
                <w:szCs w:val="20"/>
              </w:rPr>
              <w:t xml:space="preserve"> </w:t>
            </w:r>
            <w:r w:rsidR="00EF398F" w:rsidRPr="00EF398F">
              <w:rPr>
                <w:sz w:val="20"/>
                <w:szCs w:val="20"/>
              </w:rPr>
              <w:t>(do</w:t>
            </w:r>
            <w:r w:rsidR="0051799C">
              <w:rPr>
                <w:sz w:val="20"/>
                <w:szCs w:val="20"/>
              </w:rPr>
              <w:t xml:space="preserve"> </w:t>
            </w:r>
            <w:r w:rsidR="00EF398F" w:rsidRPr="00EF398F">
              <w:rPr>
                <w:sz w:val="20"/>
                <w:szCs w:val="20"/>
              </w:rPr>
              <w:t>oceny</w:t>
            </w:r>
            <w:r w:rsidR="0051799C">
              <w:rPr>
                <w:sz w:val="20"/>
                <w:szCs w:val="20"/>
              </w:rPr>
              <w:t xml:space="preserve"> </w:t>
            </w:r>
            <w:r w:rsidR="00EF398F" w:rsidRPr="00EF398F">
              <w:rPr>
                <w:sz w:val="20"/>
                <w:szCs w:val="20"/>
              </w:rPr>
              <w:t>wieku</w:t>
            </w:r>
            <w:r w:rsidR="0051799C">
              <w:rPr>
                <w:sz w:val="20"/>
                <w:szCs w:val="20"/>
              </w:rPr>
              <w:t xml:space="preserve"> </w:t>
            </w:r>
            <w:r w:rsidR="00EF398F" w:rsidRPr="00EF398F">
              <w:rPr>
                <w:sz w:val="20"/>
                <w:szCs w:val="20"/>
              </w:rPr>
              <w:t>kostnego);</w:t>
            </w:r>
          </w:p>
          <w:p w14:paraId="6B8DCE01" w14:textId="1B58F535" w:rsidR="00EF398F" w:rsidRPr="00EF398F" w:rsidRDefault="00EF398F" w:rsidP="00D851B9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jonogram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surowicy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krwi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(co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najmniej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stężenie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Na+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Ca++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całkowitego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zjonizowanego);</w:t>
            </w:r>
          </w:p>
          <w:p w14:paraId="3A24ECC2" w14:textId="6AB6796E" w:rsidR="00EF398F" w:rsidRPr="00EF398F" w:rsidRDefault="00EF398F" w:rsidP="00D851B9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ocena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przemian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lipidowych: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stężenia</w:t>
            </w:r>
            <w:r w:rsidR="0051799C">
              <w:rPr>
                <w:sz w:val="20"/>
                <w:szCs w:val="20"/>
              </w:rPr>
              <w:t xml:space="preserve"> </w:t>
            </w:r>
            <w:proofErr w:type="spellStart"/>
            <w:r w:rsidRPr="00EF398F">
              <w:rPr>
                <w:sz w:val="20"/>
                <w:szCs w:val="20"/>
              </w:rPr>
              <w:t>triglicerydów</w:t>
            </w:r>
            <w:proofErr w:type="spellEnd"/>
            <w:r w:rsidRPr="00EF398F">
              <w:rPr>
                <w:sz w:val="20"/>
                <w:szCs w:val="20"/>
              </w:rPr>
              <w:t>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całkowitego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cholesterolu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oraz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frakcji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HDL-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LDL-cholesterolu;</w:t>
            </w:r>
          </w:p>
          <w:p w14:paraId="359B93A3" w14:textId="4646021E" w:rsidR="00EF398F" w:rsidRPr="00EF398F" w:rsidRDefault="00EF398F" w:rsidP="00D851B9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ocena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czynności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wątroby: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AIAT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AspAT;</w:t>
            </w:r>
          </w:p>
          <w:p w14:paraId="2C7BA0CB" w14:textId="281C481D" w:rsidR="00EF398F" w:rsidRPr="00EF398F" w:rsidRDefault="00EF398F" w:rsidP="00D851B9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stężenie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25(OH)</w:t>
            </w:r>
            <w:r w:rsidR="0051799C">
              <w:rPr>
                <w:sz w:val="20"/>
                <w:szCs w:val="20"/>
              </w:rPr>
              <w:t xml:space="preserve"> </w:t>
            </w:r>
            <w:proofErr w:type="spellStart"/>
            <w:r w:rsidRPr="00EF398F">
              <w:rPr>
                <w:sz w:val="20"/>
                <w:szCs w:val="20"/>
              </w:rPr>
              <w:t>wit</w:t>
            </w:r>
            <w:proofErr w:type="spellEnd"/>
            <w:r w:rsidRPr="00EF398F">
              <w:rPr>
                <w:sz w:val="20"/>
                <w:szCs w:val="20"/>
              </w:rPr>
              <w:t>.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(w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uzasadnionych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przypadkach);</w:t>
            </w:r>
          </w:p>
          <w:p w14:paraId="1DD457A7" w14:textId="6AF466D3" w:rsidR="00EF398F" w:rsidRPr="00EF398F" w:rsidRDefault="00EF398F" w:rsidP="00D851B9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konsultacja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okulistyczna,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oceną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dna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oka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(w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uzasadnionych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przypadkach)</w:t>
            </w:r>
            <w:r w:rsidR="00D851B9">
              <w:rPr>
                <w:sz w:val="20"/>
                <w:szCs w:val="20"/>
              </w:rPr>
              <w:t>;</w:t>
            </w:r>
          </w:p>
          <w:p w14:paraId="76335537" w14:textId="3E22C147" w:rsidR="00EF398F" w:rsidRPr="00EF398F" w:rsidRDefault="00EF398F" w:rsidP="00D851B9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morfologia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krwi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rozmazem</w:t>
            </w:r>
            <w:r w:rsidR="00D851B9">
              <w:rPr>
                <w:sz w:val="20"/>
                <w:szCs w:val="20"/>
              </w:rPr>
              <w:t>;</w:t>
            </w:r>
          </w:p>
          <w:p w14:paraId="2A591DFC" w14:textId="79DB8BC8" w:rsidR="00EF398F" w:rsidRDefault="00EF398F" w:rsidP="00D851B9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inne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konsultacje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badania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zależności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od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potrzeb</w:t>
            </w:r>
            <w:r w:rsidR="00D851B9">
              <w:rPr>
                <w:sz w:val="20"/>
                <w:szCs w:val="20"/>
              </w:rPr>
              <w:t>.</w:t>
            </w:r>
          </w:p>
          <w:p w14:paraId="1D294348" w14:textId="77777777" w:rsidR="00D851B9" w:rsidRPr="00EF398F" w:rsidRDefault="00D851B9" w:rsidP="00D851B9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37E021E4" w14:textId="5F0F2999" w:rsidR="00EF398F" w:rsidRPr="00D851B9" w:rsidRDefault="00EF398F" w:rsidP="00D851B9">
            <w:pPr>
              <w:pStyle w:val="Akapitzlist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D851B9">
              <w:rPr>
                <w:b/>
                <w:bCs/>
                <w:sz w:val="20"/>
                <w:szCs w:val="20"/>
              </w:rPr>
              <w:t>Badania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D851B9">
              <w:rPr>
                <w:b/>
                <w:bCs/>
                <w:sz w:val="20"/>
                <w:szCs w:val="20"/>
              </w:rPr>
              <w:t>po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D851B9">
              <w:rPr>
                <w:b/>
                <w:bCs/>
                <w:sz w:val="20"/>
                <w:szCs w:val="20"/>
              </w:rPr>
              <w:t>zakończeniu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D851B9">
              <w:rPr>
                <w:b/>
                <w:bCs/>
                <w:sz w:val="20"/>
                <w:szCs w:val="20"/>
              </w:rPr>
              <w:t>terapii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D851B9">
              <w:rPr>
                <w:b/>
                <w:bCs/>
                <w:sz w:val="20"/>
                <w:szCs w:val="20"/>
              </w:rPr>
              <w:t>hormonem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D851B9">
              <w:rPr>
                <w:b/>
                <w:bCs/>
                <w:sz w:val="20"/>
                <w:szCs w:val="20"/>
              </w:rPr>
              <w:t>wzrostu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D851B9">
              <w:rPr>
                <w:b/>
                <w:bCs/>
                <w:sz w:val="20"/>
                <w:szCs w:val="20"/>
              </w:rPr>
              <w:t>promującej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D851B9">
              <w:rPr>
                <w:b/>
                <w:bCs/>
                <w:sz w:val="20"/>
                <w:szCs w:val="20"/>
              </w:rPr>
              <w:t>wzrastanie</w:t>
            </w:r>
            <w:r w:rsidR="00D851B9" w:rsidRPr="00D851B9">
              <w:rPr>
                <w:b/>
                <w:bCs/>
                <w:sz w:val="20"/>
                <w:szCs w:val="20"/>
              </w:rPr>
              <w:t>:</w:t>
            </w:r>
          </w:p>
          <w:p w14:paraId="2C80FD66" w14:textId="1E77B848" w:rsidR="00EF398F" w:rsidRPr="00EF398F" w:rsidRDefault="00EF398F" w:rsidP="00D851B9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co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najmniej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miesiąc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zakończeniu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terapii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test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stymulacji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wydzielania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GH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insuliną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lub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innym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powszechnie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uznanym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stymulatorem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sekrecji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tego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hormonu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(5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lub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więcej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pomiarów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stężeń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GH)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przed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przekazaniem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świadczeniobiorców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pod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opiekę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jednostki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endokrynologicznej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zajmującej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się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leczeniem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osób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dorosłych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przypadku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stężeń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hormonu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wzrostu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&lt;3</w:t>
            </w:r>
            <w:r w:rsidR="0051799C">
              <w:rPr>
                <w:sz w:val="20"/>
                <w:szCs w:val="20"/>
              </w:rPr>
              <w:t> </w:t>
            </w:r>
            <w:proofErr w:type="spellStart"/>
            <w:r w:rsidRPr="00EF398F">
              <w:rPr>
                <w:sz w:val="20"/>
                <w:szCs w:val="20"/>
              </w:rPr>
              <w:t>ng</w:t>
            </w:r>
            <w:proofErr w:type="spellEnd"/>
            <w:r w:rsidRPr="00EF398F">
              <w:rPr>
                <w:sz w:val="20"/>
                <w:szCs w:val="20"/>
              </w:rPr>
              <w:t>/ml).</w:t>
            </w:r>
          </w:p>
          <w:p w14:paraId="6B85F62A" w14:textId="6E40DA7A" w:rsidR="00EF398F" w:rsidRDefault="00EF398F" w:rsidP="00D851B9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D851B9">
              <w:rPr>
                <w:sz w:val="20"/>
                <w:szCs w:val="20"/>
              </w:rPr>
              <w:t>B</w:t>
            </w:r>
            <w:r w:rsidR="00D851B9">
              <w:rPr>
                <w:sz w:val="20"/>
                <w:szCs w:val="20"/>
              </w:rPr>
              <w:t>a</w:t>
            </w:r>
            <w:r w:rsidRPr="00D851B9">
              <w:rPr>
                <w:sz w:val="20"/>
                <w:szCs w:val="20"/>
              </w:rPr>
              <w:t>dania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D851B9">
              <w:rPr>
                <w:sz w:val="20"/>
                <w:szCs w:val="20"/>
              </w:rPr>
              <w:t>są</w:t>
            </w:r>
            <w:r w:rsidR="0051799C">
              <w:rPr>
                <w:sz w:val="20"/>
                <w:szCs w:val="20"/>
              </w:rPr>
              <w:t xml:space="preserve"> </w:t>
            </w:r>
            <w:r w:rsidRPr="00D851B9">
              <w:rPr>
                <w:sz w:val="20"/>
                <w:szCs w:val="20"/>
              </w:rPr>
              <w:t>wykonywane</w:t>
            </w:r>
            <w:r w:rsidR="0051799C">
              <w:rPr>
                <w:sz w:val="20"/>
                <w:szCs w:val="20"/>
              </w:rPr>
              <w:t xml:space="preserve"> </w:t>
            </w:r>
            <w:r w:rsidRPr="00D851B9">
              <w:rPr>
                <w:sz w:val="20"/>
                <w:szCs w:val="20"/>
              </w:rPr>
              <w:t>według</w:t>
            </w:r>
            <w:r w:rsidR="0051799C">
              <w:rPr>
                <w:sz w:val="20"/>
                <w:szCs w:val="20"/>
              </w:rPr>
              <w:t xml:space="preserve"> </w:t>
            </w:r>
            <w:r w:rsidRPr="00D851B9">
              <w:rPr>
                <w:sz w:val="20"/>
                <w:szCs w:val="20"/>
              </w:rPr>
              <w:t>standardów</w:t>
            </w:r>
            <w:r w:rsidR="0051799C">
              <w:rPr>
                <w:sz w:val="20"/>
                <w:szCs w:val="20"/>
              </w:rPr>
              <w:t xml:space="preserve"> </w:t>
            </w:r>
            <w:r w:rsidRPr="00D851B9">
              <w:rPr>
                <w:sz w:val="20"/>
                <w:szCs w:val="20"/>
              </w:rPr>
              <w:t>diagnozowania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D851B9">
              <w:rPr>
                <w:sz w:val="20"/>
                <w:szCs w:val="20"/>
              </w:rPr>
              <w:t>świadczeniobiorców</w:t>
            </w:r>
            <w:r w:rsidR="0051799C">
              <w:rPr>
                <w:sz w:val="20"/>
                <w:szCs w:val="20"/>
              </w:rPr>
              <w:t xml:space="preserve"> </w:t>
            </w:r>
            <w:r w:rsidRPr="00D851B9">
              <w:rPr>
                <w:sz w:val="20"/>
                <w:szCs w:val="20"/>
              </w:rPr>
              <w:t>z</w:t>
            </w:r>
            <w:r w:rsidR="0051799C">
              <w:rPr>
                <w:sz w:val="20"/>
                <w:szCs w:val="20"/>
              </w:rPr>
              <w:t xml:space="preserve"> </w:t>
            </w:r>
            <w:r w:rsidRPr="00D851B9">
              <w:rPr>
                <w:sz w:val="20"/>
                <w:szCs w:val="20"/>
              </w:rPr>
              <w:t>somatotropinową</w:t>
            </w:r>
            <w:r w:rsidR="0051799C">
              <w:rPr>
                <w:sz w:val="20"/>
                <w:szCs w:val="20"/>
              </w:rPr>
              <w:t xml:space="preserve"> </w:t>
            </w:r>
            <w:r w:rsidRPr="00D851B9">
              <w:rPr>
                <w:sz w:val="20"/>
                <w:szCs w:val="20"/>
              </w:rPr>
              <w:t>lub</w:t>
            </w:r>
            <w:r w:rsidR="0051799C">
              <w:rPr>
                <w:sz w:val="20"/>
                <w:szCs w:val="20"/>
              </w:rPr>
              <w:t xml:space="preserve"> </w:t>
            </w:r>
            <w:proofErr w:type="spellStart"/>
            <w:r w:rsidRPr="00D851B9">
              <w:rPr>
                <w:sz w:val="20"/>
                <w:szCs w:val="20"/>
              </w:rPr>
              <w:t>wielohormonalną</w:t>
            </w:r>
            <w:proofErr w:type="spellEnd"/>
            <w:r w:rsidR="0051799C">
              <w:rPr>
                <w:sz w:val="20"/>
                <w:szCs w:val="20"/>
              </w:rPr>
              <w:t xml:space="preserve"> </w:t>
            </w:r>
            <w:r w:rsidRPr="00D851B9">
              <w:rPr>
                <w:sz w:val="20"/>
                <w:szCs w:val="20"/>
              </w:rPr>
              <w:t>niedoczynnością</w:t>
            </w:r>
            <w:r w:rsidR="0051799C">
              <w:rPr>
                <w:sz w:val="20"/>
                <w:szCs w:val="20"/>
              </w:rPr>
              <w:t xml:space="preserve"> </w:t>
            </w:r>
            <w:r w:rsidRPr="00D851B9">
              <w:rPr>
                <w:sz w:val="20"/>
                <w:szCs w:val="20"/>
              </w:rPr>
              <w:t>przysadki</w:t>
            </w:r>
            <w:r w:rsidR="0051799C">
              <w:rPr>
                <w:sz w:val="20"/>
                <w:szCs w:val="20"/>
              </w:rPr>
              <w:t xml:space="preserve"> </w:t>
            </w:r>
            <w:r w:rsidRPr="00D851B9">
              <w:rPr>
                <w:sz w:val="20"/>
                <w:szCs w:val="20"/>
              </w:rPr>
              <w:t>(SNP/WNP).</w:t>
            </w:r>
          </w:p>
          <w:p w14:paraId="43EF9FD9" w14:textId="77777777" w:rsidR="00D851B9" w:rsidRPr="00D851B9" w:rsidRDefault="00D851B9" w:rsidP="00D851B9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0D41875F" w14:textId="2DFD8730" w:rsidR="00EF398F" w:rsidRPr="00D851B9" w:rsidRDefault="00EF398F" w:rsidP="00663B4F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D851B9">
              <w:rPr>
                <w:b/>
                <w:bCs/>
                <w:sz w:val="20"/>
                <w:szCs w:val="20"/>
              </w:rPr>
              <w:t>Monitorowanie</w:t>
            </w:r>
            <w:r w:rsidR="0051799C">
              <w:rPr>
                <w:b/>
                <w:bCs/>
                <w:sz w:val="20"/>
                <w:szCs w:val="20"/>
              </w:rPr>
              <w:t xml:space="preserve"> </w:t>
            </w:r>
            <w:r w:rsidRPr="00D851B9">
              <w:rPr>
                <w:b/>
                <w:bCs/>
                <w:sz w:val="20"/>
                <w:szCs w:val="20"/>
              </w:rPr>
              <w:t>programu</w:t>
            </w:r>
          </w:p>
          <w:p w14:paraId="25F30062" w14:textId="2C14C7AB" w:rsidR="00EF398F" w:rsidRPr="00EF398F" w:rsidRDefault="00EF398F" w:rsidP="00D851B9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gromadzenie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dokumentacji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medycznej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pacjenta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danych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dotyczących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monitorowania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leczenia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każdorazowe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przedstawianie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żądanie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kontrolerów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Narodowego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Funduszu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Zdrowia;</w:t>
            </w:r>
          </w:p>
          <w:p w14:paraId="76628444" w14:textId="7A432A88" w:rsidR="00EF398F" w:rsidRPr="00EF398F" w:rsidRDefault="00EF398F" w:rsidP="00D851B9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uzupełnienie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danych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zawartych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rejestrze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(SMPT)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dostępnym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pomocą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aplikacji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internetowej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udostępnionej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przez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NFZ,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częstotliwością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zgodną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opisem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programu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oraz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na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zakończenie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leczenia;</w:t>
            </w:r>
          </w:p>
          <w:p w14:paraId="2A439B21" w14:textId="7BF0290C" w:rsidR="00EF398F" w:rsidRDefault="00EF398F" w:rsidP="00D851B9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EF398F">
              <w:rPr>
                <w:sz w:val="20"/>
                <w:szCs w:val="20"/>
              </w:rPr>
              <w:t>przekazywanie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informacji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sprawozdawczo-rozliczeniowych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NFZ: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informacje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przekazuje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się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do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NFZ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formie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papierowej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lub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formie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elektronicznej,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zgodnie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z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wymaganiami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opublikowanymi</w:t>
            </w:r>
            <w:r w:rsidR="0051799C">
              <w:rPr>
                <w:sz w:val="20"/>
                <w:szCs w:val="20"/>
              </w:rPr>
              <w:t xml:space="preserve"> </w:t>
            </w:r>
            <w:r w:rsidRPr="00EF398F">
              <w:rPr>
                <w:sz w:val="20"/>
                <w:szCs w:val="20"/>
              </w:rPr>
              <w:t>przez</w:t>
            </w:r>
            <w:r w:rsidR="0051799C">
              <w:rPr>
                <w:sz w:val="20"/>
                <w:szCs w:val="20"/>
              </w:rPr>
              <w:t xml:space="preserve"> </w:t>
            </w:r>
            <w:r w:rsidR="00D851B9">
              <w:rPr>
                <w:sz w:val="20"/>
                <w:szCs w:val="20"/>
              </w:rPr>
              <w:t>NFZ.</w:t>
            </w:r>
          </w:p>
          <w:p w14:paraId="4EF9D99B" w14:textId="113B47F1" w:rsidR="00D851B9" w:rsidRPr="00EF398F" w:rsidRDefault="00D851B9" w:rsidP="00D851B9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</w:tc>
      </w:tr>
    </w:tbl>
    <w:p w14:paraId="3B84646B" w14:textId="77777777" w:rsidR="00743C43" w:rsidRDefault="00743C43"/>
    <w:sectPr w:rsidR="00743C43" w:rsidSect="00F666EB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0617"/>
    <w:multiLevelType w:val="multilevel"/>
    <w:tmpl w:val="E312CF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b w:val="0"/>
        <w:b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1" w15:restartNumberingAfterBreak="0">
    <w:nsid w:val="156E4A7E"/>
    <w:multiLevelType w:val="hybridMultilevel"/>
    <w:tmpl w:val="B510B92A"/>
    <w:lvl w:ilvl="0" w:tplc="FE3AA57E">
      <w:start w:val="1"/>
      <w:numFmt w:val="decimal"/>
      <w:pStyle w:val="pp1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907272"/>
    <w:multiLevelType w:val="multilevel"/>
    <w:tmpl w:val="2116A1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1C761048"/>
    <w:multiLevelType w:val="multilevel"/>
    <w:tmpl w:val="27D68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25956D9"/>
    <w:multiLevelType w:val="hybridMultilevel"/>
    <w:tmpl w:val="F5D8ECBC"/>
    <w:lvl w:ilvl="0" w:tplc="092C1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C2C6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470DD"/>
    <w:multiLevelType w:val="hybridMultilevel"/>
    <w:tmpl w:val="1D049E5E"/>
    <w:lvl w:ilvl="0" w:tplc="564C0BFC">
      <w:start w:val="1"/>
      <w:numFmt w:val="decimal"/>
      <w:lvlText w:val="%1)"/>
      <w:lvlJc w:val="left"/>
      <w:pPr>
        <w:ind w:left="10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3D1061EB"/>
    <w:multiLevelType w:val="hybridMultilevel"/>
    <w:tmpl w:val="7396B182"/>
    <w:lvl w:ilvl="0" w:tplc="5394A8EC">
      <w:start w:val="1"/>
      <w:numFmt w:val="decimal"/>
      <w:pStyle w:val="pp03N"/>
      <w:lvlText w:val="%1)"/>
      <w:lvlJc w:val="left"/>
      <w:pPr>
        <w:ind w:left="1069" w:hanging="360"/>
      </w:pPr>
      <w:rPr>
        <w:vertAlign w:val="baseline"/>
      </w:rPr>
    </w:lvl>
    <w:lvl w:ilvl="1" w:tplc="5D168F6E">
      <w:start w:val="1"/>
      <w:numFmt w:val="lowerLetter"/>
      <w:pStyle w:val="pp03"/>
      <w:lvlText w:val="%2)"/>
      <w:lvlJc w:val="left"/>
      <w:pPr>
        <w:ind w:left="1408" w:hanging="360"/>
      </w:pPr>
    </w:lvl>
    <w:lvl w:ilvl="2" w:tplc="0415001B" w:tentative="1">
      <w:start w:val="1"/>
      <w:numFmt w:val="lowerRoman"/>
      <w:lvlText w:val="%3."/>
      <w:lvlJc w:val="right"/>
      <w:pPr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7" w15:restartNumberingAfterBreak="0">
    <w:nsid w:val="40165602"/>
    <w:multiLevelType w:val="multilevel"/>
    <w:tmpl w:val="2116A1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6933264B"/>
    <w:multiLevelType w:val="multilevel"/>
    <w:tmpl w:val="2116A1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753C4C51"/>
    <w:multiLevelType w:val="multilevel"/>
    <w:tmpl w:val="2116A1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77222494"/>
    <w:multiLevelType w:val="multilevel"/>
    <w:tmpl w:val="47AAD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1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7D1017CE"/>
    <w:multiLevelType w:val="multilevel"/>
    <w:tmpl w:val="E312CF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b w:val="0"/>
        <w:b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num w:numId="1" w16cid:durableId="2070297969">
    <w:abstractNumId w:val="1"/>
  </w:num>
  <w:num w:numId="2" w16cid:durableId="438567866">
    <w:abstractNumId w:val="6"/>
  </w:num>
  <w:num w:numId="3" w16cid:durableId="886600229">
    <w:abstractNumId w:val="6"/>
  </w:num>
  <w:num w:numId="4" w16cid:durableId="1578131054">
    <w:abstractNumId w:val="11"/>
  </w:num>
  <w:num w:numId="5" w16cid:durableId="374428118">
    <w:abstractNumId w:val="10"/>
  </w:num>
  <w:num w:numId="6" w16cid:durableId="1507866233">
    <w:abstractNumId w:val="4"/>
  </w:num>
  <w:num w:numId="7" w16cid:durableId="778377879">
    <w:abstractNumId w:val="3"/>
  </w:num>
  <w:num w:numId="8" w16cid:durableId="701051267">
    <w:abstractNumId w:val="5"/>
  </w:num>
  <w:num w:numId="9" w16cid:durableId="1839930165">
    <w:abstractNumId w:val="0"/>
  </w:num>
  <w:num w:numId="10" w16cid:durableId="1379471066">
    <w:abstractNumId w:val="9"/>
  </w:num>
  <w:num w:numId="11" w16cid:durableId="1485589515">
    <w:abstractNumId w:val="2"/>
  </w:num>
  <w:num w:numId="12" w16cid:durableId="1313753246">
    <w:abstractNumId w:val="7"/>
  </w:num>
  <w:num w:numId="13" w16cid:durableId="115992905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43"/>
    <w:rsid w:val="00001AF1"/>
    <w:rsid w:val="00016D50"/>
    <w:rsid w:val="00021CD5"/>
    <w:rsid w:val="00075A79"/>
    <w:rsid w:val="000952D4"/>
    <w:rsid w:val="000B1136"/>
    <w:rsid w:val="000D25CC"/>
    <w:rsid w:val="000E0672"/>
    <w:rsid w:val="000E2AC7"/>
    <w:rsid w:val="00107A49"/>
    <w:rsid w:val="0011068E"/>
    <w:rsid w:val="00115C4F"/>
    <w:rsid w:val="00126960"/>
    <w:rsid w:val="00144075"/>
    <w:rsid w:val="00144C47"/>
    <w:rsid w:val="00160BEE"/>
    <w:rsid w:val="00161CDC"/>
    <w:rsid w:val="001A3E7A"/>
    <w:rsid w:val="001A4A29"/>
    <w:rsid w:val="001B1521"/>
    <w:rsid w:val="001B283D"/>
    <w:rsid w:val="001C2EFC"/>
    <w:rsid w:val="001D3F42"/>
    <w:rsid w:val="001D71C6"/>
    <w:rsid w:val="001E3AC6"/>
    <w:rsid w:val="00207FBB"/>
    <w:rsid w:val="00221D34"/>
    <w:rsid w:val="00244012"/>
    <w:rsid w:val="00274570"/>
    <w:rsid w:val="002930EC"/>
    <w:rsid w:val="002A593E"/>
    <w:rsid w:val="002E5481"/>
    <w:rsid w:val="002E6C36"/>
    <w:rsid w:val="00313649"/>
    <w:rsid w:val="00357174"/>
    <w:rsid w:val="00373879"/>
    <w:rsid w:val="003F4A58"/>
    <w:rsid w:val="0040114A"/>
    <w:rsid w:val="00413FBC"/>
    <w:rsid w:val="00417C46"/>
    <w:rsid w:val="004311BB"/>
    <w:rsid w:val="00472B65"/>
    <w:rsid w:val="00473487"/>
    <w:rsid w:val="00497A25"/>
    <w:rsid w:val="004A14A9"/>
    <w:rsid w:val="004E1D2A"/>
    <w:rsid w:val="004F78C8"/>
    <w:rsid w:val="0051799C"/>
    <w:rsid w:val="0052682B"/>
    <w:rsid w:val="005460BB"/>
    <w:rsid w:val="00561697"/>
    <w:rsid w:val="00562D73"/>
    <w:rsid w:val="00564CBA"/>
    <w:rsid w:val="0058573B"/>
    <w:rsid w:val="005A0CC9"/>
    <w:rsid w:val="005C44FC"/>
    <w:rsid w:val="00605C0A"/>
    <w:rsid w:val="00613244"/>
    <w:rsid w:val="006271C6"/>
    <w:rsid w:val="00646561"/>
    <w:rsid w:val="00663B4F"/>
    <w:rsid w:val="0067235F"/>
    <w:rsid w:val="006756C1"/>
    <w:rsid w:val="00676031"/>
    <w:rsid w:val="006E6C90"/>
    <w:rsid w:val="006F40B3"/>
    <w:rsid w:val="00721C2E"/>
    <w:rsid w:val="00737358"/>
    <w:rsid w:val="00743C43"/>
    <w:rsid w:val="0076485F"/>
    <w:rsid w:val="00767F84"/>
    <w:rsid w:val="007B66BD"/>
    <w:rsid w:val="007D188D"/>
    <w:rsid w:val="007E1959"/>
    <w:rsid w:val="007F4842"/>
    <w:rsid w:val="0081284B"/>
    <w:rsid w:val="008154DF"/>
    <w:rsid w:val="00866FED"/>
    <w:rsid w:val="00885818"/>
    <w:rsid w:val="0092588B"/>
    <w:rsid w:val="00944FDB"/>
    <w:rsid w:val="009530A8"/>
    <w:rsid w:val="00956850"/>
    <w:rsid w:val="00970981"/>
    <w:rsid w:val="00972E9C"/>
    <w:rsid w:val="009B274B"/>
    <w:rsid w:val="00A005A2"/>
    <w:rsid w:val="00A340B2"/>
    <w:rsid w:val="00A3525D"/>
    <w:rsid w:val="00A4169A"/>
    <w:rsid w:val="00A47DC7"/>
    <w:rsid w:val="00A6149A"/>
    <w:rsid w:val="00A67FF0"/>
    <w:rsid w:val="00AC057C"/>
    <w:rsid w:val="00B179B9"/>
    <w:rsid w:val="00B337D6"/>
    <w:rsid w:val="00B40AAA"/>
    <w:rsid w:val="00B5774E"/>
    <w:rsid w:val="00B62AE3"/>
    <w:rsid w:val="00BA0CEA"/>
    <w:rsid w:val="00BB0980"/>
    <w:rsid w:val="00BB1C48"/>
    <w:rsid w:val="00C02E05"/>
    <w:rsid w:val="00C117C7"/>
    <w:rsid w:val="00C2141D"/>
    <w:rsid w:val="00C2602F"/>
    <w:rsid w:val="00C44A5B"/>
    <w:rsid w:val="00C74F53"/>
    <w:rsid w:val="00C751D4"/>
    <w:rsid w:val="00C92435"/>
    <w:rsid w:val="00CA491B"/>
    <w:rsid w:val="00CB1831"/>
    <w:rsid w:val="00CD2EB9"/>
    <w:rsid w:val="00CF71B2"/>
    <w:rsid w:val="00D24D72"/>
    <w:rsid w:val="00D25FCD"/>
    <w:rsid w:val="00D320A6"/>
    <w:rsid w:val="00D360E5"/>
    <w:rsid w:val="00D7538C"/>
    <w:rsid w:val="00D851B9"/>
    <w:rsid w:val="00D86324"/>
    <w:rsid w:val="00D927FD"/>
    <w:rsid w:val="00DA6460"/>
    <w:rsid w:val="00E651DD"/>
    <w:rsid w:val="00E672CB"/>
    <w:rsid w:val="00E854D2"/>
    <w:rsid w:val="00E9738B"/>
    <w:rsid w:val="00EA142D"/>
    <w:rsid w:val="00ED0860"/>
    <w:rsid w:val="00EE7151"/>
    <w:rsid w:val="00EF25BC"/>
    <w:rsid w:val="00EF398F"/>
    <w:rsid w:val="00EF734D"/>
    <w:rsid w:val="00F4558E"/>
    <w:rsid w:val="00F479F1"/>
    <w:rsid w:val="00F666EB"/>
    <w:rsid w:val="00F86DE8"/>
    <w:rsid w:val="00FB3F9D"/>
    <w:rsid w:val="00FD02E8"/>
    <w:rsid w:val="00FD13D4"/>
    <w:rsid w:val="00FD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BE687"/>
  <w15:docId w15:val="{2E963E34-4128-40CF-8EDF-1B974989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43C4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1B28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B283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E1D2A"/>
    <w:pPr>
      <w:ind w:left="720"/>
      <w:contextualSpacing/>
    </w:pPr>
  </w:style>
  <w:style w:type="paragraph" w:styleId="Poprawka">
    <w:name w:val="Revision"/>
    <w:hidden/>
    <w:uiPriority w:val="99"/>
    <w:semiHidden/>
    <w:rsid w:val="00FD13D4"/>
    <w:rPr>
      <w:sz w:val="24"/>
      <w:szCs w:val="24"/>
    </w:rPr>
  </w:style>
  <w:style w:type="paragraph" w:customStyle="1" w:styleId="pp1">
    <w:name w:val="pp_1"/>
    <w:basedOn w:val="Akapitzlist"/>
    <w:rsid w:val="001D3F42"/>
    <w:pPr>
      <w:numPr>
        <w:numId w:val="1"/>
      </w:numPr>
      <w:autoSpaceDE w:val="0"/>
      <w:autoSpaceDN w:val="0"/>
      <w:adjustRightInd w:val="0"/>
      <w:spacing w:line="276" w:lineRule="auto"/>
      <w:ind w:left="807" w:hanging="284"/>
    </w:pPr>
    <w:rPr>
      <w:sz w:val="20"/>
      <w:szCs w:val="20"/>
    </w:rPr>
  </w:style>
  <w:style w:type="paragraph" w:customStyle="1" w:styleId="Tyt">
    <w:name w:val="Tyt"/>
    <w:basedOn w:val="Normalny"/>
    <w:rsid w:val="006F40B3"/>
    <w:pPr>
      <w:autoSpaceDE w:val="0"/>
      <w:autoSpaceDN w:val="0"/>
      <w:adjustRightInd w:val="0"/>
      <w:spacing w:line="276" w:lineRule="auto"/>
    </w:pPr>
    <w:rPr>
      <w:b/>
      <w:bCs/>
      <w:sz w:val="20"/>
      <w:szCs w:val="20"/>
    </w:rPr>
  </w:style>
  <w:style w:type="paragraph" w:customStyle="1" w:styleId="pp02">
    <w:name w:val="pp_02"/>
    <w:basedOn w:val="Akapitzlist"/>
    <w:rsid w:val="00CD2EB9"/>
    <w:pPr>
      <w:autoSpaceDE w:val="0"/>
      <w:autoSpaceDN w:val="0"/>
      <w:adjustRightInd w:val="0"/>
      <w:spacing w:line="276" w:lineRule="auto"/>
      <w:ind w:left="1069" w:hanging="360"/>
    </w:pPr>
    <w:rPr>
      <w:sz w:val="20"/>
      <w:szCs w:val="20"/>
    </w:rPr>
  </w:style>
  <w:style w:type="paragraph" w:customStyle="1" w:styleId="pp03">
    <w:name w:val="pp_03"/>
    <w:basedOn w:val="Akapitzlist"/>
    <w:rsid w:val="001D3F42"/>
    <w:pPr>
      <w:numPr>
        <w:ilvl w:val="1"/>
        <w:numId w:val="2"/>
      </w:numPr>
      <w:autoSpaceDE w:val="0"/>
      <w:autoSpaceDN w:val="0"/>
      <w:adjustRightInd w:val="0"/>
      <w:spacing w:line="276" w:lineRule="auto"/>
      <w:ind w:left="807" w:hanging="284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CD2E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D2EB9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D2EB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D2EB9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CD2EB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CD2EB9"/>
    <w:rPr>
      <w:sz w:val="24"/>
      <w:szCs w:val="24"/>
    </w:rPr>
  </w:style>
  <w:style w:type="paragraph" w:customStyle="1" w:styleId="pp00">
    <w:name w:val="pp_00"/>
    <w:basedOn w:val="Normalny"/>
    <w:rsid w:val="001A3E7A"/>
    <w:pPr>
      <w:autoSpaceDE w:val="0"/>
      <w:autoSpaceDN w:val="0"/>
      <w:adjustRightInd w:val="0"/>
      <w:spacing w:line="276" w:lineRule="auto"/>
      <w:ind w:left="206" w:hanging="206"/>
    </w:pPr>
    <w:rPr>
      <w:b/>
      <w:bCs/>
      <w:sz w:val="20"/>
      <w:szCs w:val="20"/>
    </w:rPr>
  </w:style>
  <w:style w:type="paragraph" w:customStyle="1" w:styleId="Ak01">
    <w:name w:val="Ak_01"/>
    <w:basedOn w:val="Normalny"/>
    <w:rsid w:val="001D3F42"/>
    <w:pPr>
      <w:autoSpaceDE w:val="0"/>
      <w:autoSpaceDN w:val="0"/>
      <w:adjustRightInd w:val="0"/>
      <w:spacing w:line="276" w:lineRule="auto"/>
      <w:ind w:left="204"/>
    </w:pPr>
    <w:rPr>
      <w:sz w:val="20"/>
      <w:szCs w:val="20"/>
    </w:rPr>
  </w:style>
  <w:style w:type="paragraph" w:customStyle="1" w:styleId="pp00A">
    <w:name w:val="pp_00A"/>
    <w:basedOn w:val="Normalny"/>
    <w:rsid w:val="001D3F42"/>
    <w:pPr>
      <w:autoSpaceDE w:val="0"/>
      <w:autoSpaceDN w:val="0"/>
      <w:adjustRightInd w:val="0"/>
      <w:spacing w:line="276" w:lineRule="auto"/>
      <w:ind w:left="523" w:hanging="337"/>
    </w:pPr>
    <w:rPr>
      <w:b/>
      <w:bCs/>
      <w:sz w:val="20"/>
      <w:szCs w:val="20"/>
    </w:rPr>
  </w:style>
  <w:style w:type="paragraph" w:customStyle="1" w:styleId="pp03N">
    <w:name w:val="pp_03_N"/>
    <w:basedOn w:val="pp02"/>
    <w:rsid w:val="001D3F42"/>
    <w:pPr>
      <w:numPr>
        <w:numId w:val="2"/>
      </w:numPr>
      <w:ind w:left="807" w:hanging="284"/>
    </w:pPr>
  </w:style>
  <w:style w:type="paragraph" w:customStyle="1" w:styleId="Ak00">
    <w:name w:val="Ak_00"/>
    <w:basedOn w:val="Ak01"/>
    <w:rsid w:val="004F78C8"/>
    <w:pPr>
      <w:ind w:left="62"/>
    </w:pPr>
  </w:style>
  <w:style w:type="paragraph" w:customStyle="1" w:styleId="ppN01">
    <w:name w:val="ppN_01"/>
    <w:basedOn w:val="Ak00"/>
    <w:rsid w:val="004F78C8"/>
    <w:pPr>
      <w:ind w:left="664" w:hanging="461"/>
    </w:pPr>
  </w:style>
  <w:style w:type="paragraph" w:customStyle="1" w:styleId="ppN02">
    <w:name w:val="ppN_02"/>
    <w:basedOn w:val="ppN01"/>
    <w:rsid w:val="004F78C8"/>
    <w:pPr>
      <w:ind w:left="771"/>
    </w:pPr>
  </w:style>
  <w:style w:type="paragraph" w:customStyle="1" w:styleId="ppN01B">
    <w:name w:val="ppN_01B"/>
    <w:basedOn w:val="ppN01"/>
    <w:rsid w:val="004F78C8"/>
    <w:rPr>
      <w:b/>
      <w:bCs/>
    </w:rPr>
  </w:style>
  <w:style w:type="paragraph" w:customStyle="1" w:styleId="ppN03">
    <w:name w:val="ppN_03"/>
    <w:basedOn w:val="ppN02"/>
    <w:rsid w:val="004F78C8"/>
    <w:pPr>
      <w:ind w:left="947" w:hanging="283"/>
    </w:pPr>
  </w:style>
  <w:style w:type="paragraph" w:customStyle="1" w:styleId="ppN04">
    <w:name w:val="ppN_04"/>
    <w:basedOn w:val="ppN03"/>
    <w:rsid w:val="004F78C8"/>
    <w:pPr>
      <w:ind w:left="1231" w:hanging="284"/>
    </w:pPr>
  </w:style>
  <w:style w:type="character" w:styleId="Odwoaniedokomentarza">
    <w:name w:val="annotation reference"/>
    <w:basedOn w:val="Domylnaczcionkaakapitu"/>
    <w:semiHidden/>
    <w:unhideWhenUsed/>
    <w:rsid w:val="002E6C3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E6C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E6C3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6C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6C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ACBD6-C4E1-4D5F-A486-82BB72795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1218</Words>
  <Characters>7691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Bołzan Renata</dc:creator>
  <cp:lastModifiedBy>Królak-Buzakowska Joanna</cp:lastModifiedBy>
  <cp:revision>6</cp:revision>
  <cp:lastPrinted>2021-09-15T14:02:00Z</cp:lastPrinted>
  <dcterms:created xsi:type="dcterms:W3CDTF">2022-05-24T22:53:00Z</dcterms:created>
  <dcterms:modified xsi:type="dcterms:W3CDTF">2022-06-07T07:19:00Z</dcterms:modified>
</cp:coreProperties>
</file>