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</w:p>
    <w:p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</w:p>
    <w:p w:rsidR="002B7718" w:rsidRPr="00867739" w:rsidRDefault="002B7718" w:rsidP="002B7718">
      <w:pPr>
        <w:widowControl w:val="0"/>
        <w:tabs>
          <w:tab w:val="left" w:pos="4536"/>
        </w:tabs>
        <w:spacing w:before="240" w:after="240"/>
        <w:rPr>
          <w:rFonts w:ascii="Arial" w:hAnsi="Arial" w:cs="Arial"/>
          <w:b/>
          <w:w w:val="100"/>
          <w:sz w:val="20"/>
        </w:rPr>
      </w:pPr>
      <w:r w:rsidRPr="00867739">
        <w:rPr>
          <w:rStyle w:val="Nagwek6Znak"/>
          <w:b/>
          <w:bCs/>
          <w:w w:val="100"/>
          <w:sz w:val="20"/>
          <w:szCs w:val="20"/>
        </w:rPr>
        <w:t xml:space="preserve">SEGMENT </w:t>
      </w:r>
      <w:r w:rsidR="00295DA4">
        <w:rPr>
          <w:rStyle w:val="Nagwek6Znak"/>
          <w:b/>
          <w:bCs/>
          <w:w w:val="100"/>
          <w:sz w:val="20"/>
          <w:szCs w:val="20"/>
        </w:rPr>
        <w:t>E</w:t>
      </w:r>
      <w:r w:rsidRPr="00867739">
        <w:rPr>
          <w:rStyle w:val="Nagwek6Znak"/>
          <w:b/>
          <w:bCs/>
          <w:w w:val="100"/>
          <w:sz w:val="20"/>
          <w:szCs w:val="20"/>
        </w:rPr>
        <w:t xml:space="preserve"> – 4×4 BENZYNA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269"/>
        <w:gridCol w:w="4253"/>
      </w:tblGrid>
      <w:tr w:rsidR="002B7718" w:rsidRPr="00867739" w:rsidTr="002B7718">
        <w:trPr>
          <w:trHeight w:val="46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A50DA3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TYP POJAZDU -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SAMOCHÓD OSOBOWY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SEGMENT - </w:t>
            </w:r>
            <w:r w:rsidR="00A50DA3">
              <w:rPr>
                <w:rFonts w:ascii="Arial" w:hAnsi="Arial" w:cs="Arial"/>
                <w:b/>
                <w:bCs/>
                <w:w w:val="100"/>
                <w:sz w:val="20"/>
              </w:rPr>
              <w:t>E</w:t>
            </w:r>
            <w:bookmarkStart w:id="0" w:name="_GoBack"/>
            <w:bookmarkEnd w:id="0"/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WERSJA NADWOZIOWA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SEDAN / LIFTBACK</w:t>
            </w:r>
          </w:p>
        </w:tc>
      </w:tr>
      <w:tr w:rsidR="002B7718" w:rsidRPr="00867739" w:rsidTr="002B7718">
        <w:trPr>
          <w:trHeight w:val="379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OFEROWANY MODEL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Marka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Model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Silnik (pojemność w litrach)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Moc min. 250 KM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Napęd 4x4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Rodzaj paliwa - benzyna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Skrzynia biegów -  automatyczna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Wersja nadwoziowa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Maksymalne średnie spalanie (WLTP)</w:t>
            </w:r>
          </w:p>
        </w:tc>
        <w:tc>
          <w:tcPr>
            <w:tcW w:w="4253" w:type="dxa"/>
            <w:hideMark/>
          </w:tcPr>
          <w:p w:rsidR="002B7718" w:rsidRPr="00867739" w:rsidRDefault="0075346A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10</w:t>
            </w:r>
            <w:r w:rsidR="002B7718" w:rsidRPr="00867739">
              <w:rPr>
                <w:rFonts w:ascii="Arial" w:hAnsi="Arial" w:cs="Arial"/>
                <w:bCs/>
                <w:w w:val="100"/>
                <w:sz w:val="20"/>
              </w:rPr>
              <w:t>,0 l/100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Maksymalna średnia emisja CO2 (WLTP)</w:t>
            </w:r>
          </w:p>
        </w:tc>
        <w:tc>
          <w:tcPr>
            <w:tcW w:w="4253" w:type="dxa"/>
            <w:hideMark/>
          </w:tcPr>
          <w:p w:rsidR="002B7718" w:rsidRPr="00867739" w:rsidRDefault="0075346A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200</w:t>
            </w:r>
            <w:r w:rsidR="002B7718" w:rsidRPr="00867739">
              <w:rPr>
                <w:rFonts w:ascii="Arial" w:hAnsi="Arial" w:cs="Arial"/>
                <w:bCs/>
                <w:w w:val="100"/>
                <w:sz w:val="20"/>
              </w:rPr>
              <w:t xml:space="preserve"> g/CO2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Norma emisji spalin Euro 6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BEZPIECZEŃSTWA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Autoalarm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Centralny zamek z pilotem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510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4.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martwego pola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5.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Reflektory ksenonowe lub LED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6.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pasa ruchu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System wykrywający pieszych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Automatyczne światła drogowe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KOMFORTU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9.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Elektrycznie sterowane szyby boczne (przód, tył)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10.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Elektrycznie sterowane, składane i podgrzewane lusterka boczne 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Fotel kierowcy z elektryczną  regulacją położeni a i odcinka lędźwiowego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lastRenderedPageBreak/>
              <w:t>12.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Przednie i tylne czujniki parkowania z kamerą cofania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13.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Czujnik deszczu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295DA4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Tempomat</w:t>
            </w:r>
            <w:r w:rsidR="00295DA4">
              <w:rPr>
                <w:rFonts w:ascii="Arial" w:hAnsi="Arial" w:cs="Arial"/>
                <w:w w:val="100"/>
                <w:sz w:val="20"/>
              </w:rPr>
              <w:t xml:space="preserve"> 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Lusterko wsteczne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elektrochromatyczne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16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Klimatyzacja automatyczna min. dwustrefowa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17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System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bezkluczykowy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18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Dodatkowo przyciemniane szyby tylne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FUNKCJONALNE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Felgi aluminiowe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Koło zapasowe pełnowymiarowe lub dojazdowe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26.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Dywaniki oryginalne (gumowe lub welurowe)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PERSONALIZACJA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Kolor nadwozia metalizowany lub perłowy - czarny lub szary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Tapicerka – ciemnoszara, czarna lub grafitowa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</w:tbl>
    <w:p w:rsidR="002B7718" w:rsidRPr="00867739" w:rsidRDefault="002B7718" w:rsidP="002B7718">
      <w:pPr>
        <w:autoSpaceDE/>
        <w:autoSpaceDN/>
        <w:spacing w:before="0" w:line="24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sectPr w:rsidR="002B7718" w:rsidRPr="00867739" w:rsidSect="0086773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32" w:rsidRDefault="00A25F32" w:rsidP="00360B1B">
      <w:pPr>
        <w:spacing w:before="0" w:line="240" w:lineRule="auto"/>
      </w:pPr>
      <w:r>
        <w:separator/>
      </w:r>
    </w:p>
  </w:endnote>
  <w:endnote w:type="continuationSeparator" w:id="0">
    <w:p w:rsidR="00A25F32" w:rsidRDefault="00A25F32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793974"/>
      <w:docPartObj>
        <w:docPartGallery w:val="Page Numbers (Bottom of Page)"/>
        <w:docPartUnique/>
      </w:docPartObj>
    </w:sdtPr>
    <w:sdtEndPr/>
    <w:sdtContent>
      <w:p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A3">
          <w:rPr>
            <w:noProof/>
          </w:rPr>
          <w:t>2</w:t>
        </w:r>
        <w:r>
          <w:fldChar w:fldCharType="end"/>
        </w:r>
      </w:p>
    </w:sdtContent>
  </w:sdt>
  <w:p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32" w:rsidRDefault="00A25F32" w:rsidP="00360B1B">
      <w:pPr>
        <w:spacing w:before="0" w:line="240" w:lineRule="auto"/>
      </w:pPr>
      <w:r>
        <w:separator/>
      </w:r>
    </w:p>
  </w:footnote>
  <w:footnote w:type="continuationSeparator" w:id="0">
    <w:p w:rsidR="00A25F32" w:rsidRDefault="00A25F32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C"/>
    <w:rsid w:val="000A55D0"/>
    <w:rsid w:val="00267C54"/>
    <w:rsid w:val="00295DA4"/>
    <w:rsid w:val="002B7718"/>
    <w:rsid w:val="003157F2"/>
    <w:rsid w:val="00360B1B"/>
    <w:rsid w:val="003D3644"/>
    <w:rsid w:val="005E71D1"/>
    <w:rsid w:val="006819BF"/>
    <w:rsid w:val="0068586D"/>
    <w:rsid w:val="0075346A"/>
    <w:rsid w:val="00776487"/>
    <w:rsid w:val="00812748"/>
    <w:rsid w:val="00867739"/>
    <w:rsid w:val="008F75B3"/>
    <w:rsid w:val="00993C13"/>
    <w:rsid w:val="00A02A5E"/>
    <w:rsid w:val="00A25F32"/>
    <w:rsid w:val="00A50DA3"/>
    <w:rsid w:val="00A70D71"/>
    <w:rsid w:val="00AB014C"/>
    <w:rsid w:val="00AE5BE8"/>
    <w:rsid w:val="00B06C88"/>
    <w:rsid w:val="00B255C0"/>
    <w:rsid w:val="00C03A1E"/>
    <w:rsid w:val="00C65EF7"/>
    <w:rsid w:val="00CB1482"/>
    <w:rsid w:val="00CB52CA"/>
    <w:rsid w:val="00D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75C4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Smokowski Michal</cp:lastModifiedBy>
  <cp:revision>8</cp:revision>
  <dcterms:created xsi:type="dcterms:W3CDTF">2021-07-28T11:29:00Z</dcterms:created>
  <dcterms:modified xsi:type="dcterms:W3CDTF">2022-06-29T11:47:00Z</dcterms:modified>
</cp:coreProperties>
</file>