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FE" w:rsidRDefault="001274FE" w:rsidP="005915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521" w:rsidRPr="004E7052" w:rsidRDefault="00591521" w:rsidP="005915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52">
        <w:rPr>
          <w:rFonts w:ascii="Times New Roman" w:hAnsi="Times New Roman" w:cs="Times New Roman"/>
          <w:b/>
          <w:sz w:val="28"/>
          <w:szCs w:val="28"/>
        </w:rPr>
        <w:t>CZĘŚĆ III – Opis przedmiotu zamówienia</w:t>
      </w:r>
    </w:p>
    <w:p w:rsidR="00591521" w:rsidRPr="00591521" w:rsidRDefault="00591521" w:rsidP="001B629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5640E" w:rsidRPr="00591521" w:rsidRDefault="00D5640E" w:rsidP="0059152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 xml:space="preserve">GC-IMS z generatorem </w:t>
      </w:r>
      <w:r w:rsidR="001B6294" w:rsidRPr="00591521">
        <w:rPr>
          <w:rFonts w:ascii="Times New Roman" w:hAnsi="Times New Roman" w:cs="Times New Roman"/>
          <w:b/>
          <w:sz w:val="24"/>
          <w:szCs w:val="24"/>
        </w:rPr>
        <w:t>azotu</w:t>
      </w:r>
      <w:r w:rsidR="004E7052">
        <w:rPr>
          <w:rFonts w:ascii="Times New Roman" w:hAnsi="Times New Roman" w:cs="Times New Roman"/>
          <w:b/>
          <w:sz w:val="24"/>
          <w:szCs w:val="24"/>
        </w:rPr>
        <w:t>.</w:t>
      </w:r>
    </w:p>
    <w:p w:rsidR="00591521" w:rsidRDefault="00E36F9E" w:rsidP="0059152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>Chromatograf gazowy ze</w:t>
      </w:r>
      <w:r w:rsidR="00D5640E" w:rsidRPr="00591521">
        <w:rPr>
          <w:rFonts w:ascii="Times New Roman" w:hAnsi="Times New Roman" w:cs="Times New Roman"/>
          <w:b/>
          <w:sz w:val="24"/>
          <w:szCs w:val="24"/>
        </w:rPr>
        <w:t xml:space="preserve"> spektrometr</w:t>
      </w:r>
      <w:r w:rsidRPr="00591521">
        <w:rPr>
          <w:rFonts w:ascii="Times New Roman" w:hAnsi="Times New Roman" w:cs="Times New Roman"/>
          <w:b/>
          <w:sz w:val="24"/>
          <w:szCs w:val="24"/>
        </w:rPr>
        <w:t>em</w:t>
      </w:r>
      <w:r w:rsidR="00D5640E" w:rsidRPr="00591521">
        <w:rPr>
          <w:rFonts w:ascii="Times New Roman" w:hAnsi="Times New Roman" w:cs="Times New Roman"/>
          <w:b/>
          <w:sz w:val="24"/>
          <w:szCs w:val="24"/>
        </w:rPr>
        <w:t xml:space="preserve"> ruchliwości jonów:</w:t>
      </w:r>
    </w:p>
    <w:p w:rsidR="00591521" w:rsidRPr="00591521" w:rsidRDefault="00591521" w:rsidP="0059152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521" w:rsidRDefault="00D5640E" w:rsidP="00591521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>Specyfikacja techniczna</w:t>
      </w:r>
      <w:r w:rsidR="00591521">
        <w:rPr>
          <w:rFonts w:ascii="Times New Roman" w:hAnsi="Times New Roman" w:cs="Times New Roman"/>
          <w:b/>
          <w:sz w:val="24"/>
          <w:szCs w:val="24"/>
        </w:rPr>
        <w:t>:</w:t>
      </w:r>
    </w:p>
    <w:p w:rsidR="00D5640E" w:rsidRPr="00591521" w:rsidRDefault="00E32B8C" w:rsidP="0059152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Spektrometr ruchliwości jonów (IMS) ze zmodyfikowaną</w:t>
      </w:r>
      <w:r w:rsidR="001B6294" w:rsidRPr="00591521">
        <w:rPr>
          <w:rStyle w:val="jlqj4b"/>
          <w:rFonts w:ascii="Times New Roman" w:hAnsi="Times New Roman" w:cs="Times New Roman"/>
          <w:sz w:val="24"/>
          <w:szCs w:val="24"/>
        </w:rPr>
        <w:t xml:space="preserve"> płytką Faradaya odpowiednią do </w:t>
      </w:r>
      <w:r w:rsidRPr="00591521">
        <w:rPr>
          <w:rStyle w:val="jlqj4b"/>
          <w:rFonts w:ascii="Times New Roman" w:hAnsi="Times New Roman" w:cs="Times New Roman"/>
          <w:sz w:val="24"/>
          <w:szCs w:val="24"/>
        </w:rPr>
        <w:t>sprzężenia ze spektrometrem mas, w tym</w:t>
      </w:r>
      <w:r w:rsidR="00D5640E" w:rsidRPr="00591521">
        <w:rPr>
          <w:rFonts w:ascii="Times New Roman" w:hAnsi="Times New Roman" w:cs="Times New Roman"/>
          <w:sz w:val="24"/>
          <w:szCs w:val="24"/>
        </w:rPr>
        <w:t>:</w:t>
      </w:r>
    </w:p>
    <w:p w:rsidR="00591521" w:rsidRDefault="00591521" w:rsidP="00591521">
      <w:pPr>
        <w:pStyle w:val="Akapitzlist"/>
        <w:numPr>
          <w:ilvl w:val="0"/>
          <w:numId w:val="5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</w:t>
      </w:r>
      <w:r w:rsidR="00D5640E" w:rsidRPr="00591521">
        <w:rPr>
          <w:rFonts w:ascii="Times New Roman" w:hAnsi="Times New Roman" w:cs="Times New Roman"/>
          <w:sz w:val="24"/>
          <w:szCs w:val="24"/>
        </w:rPr>
        <w:t>ródło promieniotwórcze 3H (Tritium) (100 MBq poniżej limitu wyłączenia zgodnie z wytycznymi EURATOM – licencja nie jest wymagana)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40E" w:rsidRPr="00591521" w:rsidRDefault="00D5640E" w:rsidP="00591521">
      <w:pPr>
        <w:pStyle w:val="Akapitzlist"/>
        <w:numPr>
          <w:ilvl w:val="0"/>
          <w:numId w:val="5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układ otwarty z zewnętrznym gazem dryfującym (N2, powietrze syntetyczne)</w:t>
      </w:r>
      <w:r w:rsidR="00591521">
        <w:rPr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Kolumna kapilarna GC (MXT WAX, 0,5 μm, 30 m x 0,53 mm)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Ogrzewana wewnętrzna linia przesyłowa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Podgrzewany IMS, kolumna do 80°C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2 jednostki elektronicznej kontroli ciśnienia (EPC) do kontroli dryfu i gazu nośnego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Wewnętrzna pompa do ciągłego wprowadzania próbki (regulowana)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E32B8C" w:rsidP="0059152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 xml:space="preserve">Wejścia </w:t>
      </w:r>
      <w:r w:rsidR="00D5640E" w:rsidRPr="00591521">
        <w:rPr>
          <w:rStyle w:val="jlqj4b"/>
          <w:rFonts w:ascii="Times New Roman" w:hAnsi="Times New Roman" w:cs="Times New Roman"/>
          <w:sz w:val="24"/>
          <w:szCs w:val="24"/>
        </w:rPr>
        <w:t>gazu od próbki do jednostki GC wykonanej ze stali nierdzewnej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96758" w:rsidRDefault="00D5640E" w:rsidP="00D96758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Zintegrowany trzeci EPC do kontroli prze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pływu próbki od μTD do GC-IMS z </w:t>
      </w:r>
      <w:r w:rsidR="00E32B8C" w:rsidRPr="00591521">
        <w:rPr>
          <w:rStyle w:val="jlqj4b"/>
          <w:rFonts w:ascii="Times New Roman" w:hAnsi="Times New Roman" w:cs="Times New Roman"/>
          <w:sz w:val="24"/>
          <w:szCs w:val="24"/>
        </w:rPr>
        <w:t xml:space="preserve">regulatorem </w:t>
      </w:r>
      <w:r w:rsidRPr="00591521">
        <w:rPr>
          <w:rStyle w:val="jlqj4b"/>
          <w:rFonts w:ascii="Times New Roman" w:hAnsi="Times New Roman" w:cs="Times New Roman"/>
          <w:sz w:val="24"/>
          <w:szCs w:val="24"/>
        </w:rPr>
        <w:t>przepływu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96758" w:rsidRPr="00D96758" w:rsidRDefault="00D96758" w:rsidP="00D96758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D96758">
        <w:rPr>
          <w:rStyle w:val="jlqj4b"/>
          <w:rFonts w:ascii="Times New Roman" w:hAnsi="Times New Roman" w:cs="Times New Roman"/>
          <w:sz w:val="24"/>
          <w:szCs w:val="24"/>
        </w:rPr>
        <w:t>Specyfika wykrywania metabolitów ukrytych osób za pomocą spektrometrii ruchliwości jonów w połączeniu z chromatografią gazową.</w:t>
      </w:r>
      <w:bookmarkStart w:id="0" w:name="_GoBack"/>
      <w:bookmarkEnd w:id="0"/>
    </w:p>
    <w:p w:rsidR="00D5640E" w:rsidRPr="00591521" w:rsidRDefault="00D5640E" w:rsidP="005915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0E" w:rsidRPr="00591521" w:rsidRDefault="00D5640E" w:rsidP="00591521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>Ogólna specyfikacja</w:t>
      </w:r>
      <w:r w:rsidR="00591521">
        <w:rPr>
          <w:rFonts w:ascii="Times New Roman" w:hAnsi="Times New Roman" w:cs="Times New Roman"/>
          <w:b/>
          <w:sz w:val="24"/>
          <w:szCs w:val="24"/>
        </w:rPr>
        <w:t>: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Samodzielna praca — zintegrowana w systemie jednostka komputerowa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6,4” ekran dotykowy TFT do obsługi i wizualizacji danych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Czterordzeniowy procesor Intel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Dysk SSD mSATA 32 GB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D96758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  <w:lang w:val="en-GB"/>
        </w:rPr>
      </w:pPr>
      <w:r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 xml:space="preserve">2 x </w:t>
      </w:r>
      <w:r w:rsidR="008970ED"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 xml:space="preserve">we/wy </w:t>
      </w:r>
      <w:r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interfejsy RS232/USB/Ethernet</w:t>
      </w:r>
      <w:r w:rsidR="00591521"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Adapter 3 mm (Swagelok) do wprowadzania gazu dryfującego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Obudowa 19” – wymiary 449 x 435 x 177 mm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Zasilanie: 85-264 V AC, 47-63 Hz, 24 V V DC / 9,2 A wewnętrzne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Zużycie &lt;221 W</w:t>
      </w:r>
      <w:r w:rsidR="008970ED" w:rsidRPr="00591521">
        <w:rPr>
          <w:rStyle w:val="jlqj4b"/>
          <w:rFonts w:ascii="Times New Roman" w:hAnsi="Times New Roman" w:cs="Times New Roman"/>
          <w:sz w:val="24"/>
          <w:szCs w:val="24"/>
        </w:rPr>
        <w:t>att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 xml:space="preserve">Waga: 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 xml:space="preserve">do </w:t>
      </w:r>
      <w:r w:rsidRPr="00591521">
        <w:rPr>
          <w:rStyle w:val="jlqj4b"/>
          <w:rFonts w:ascii="Times New Roman" w:hAnsi="Times New Roman" w:cs="Times New Roman"/>
          <w:sz w:val="24"/>
          <w:szCs w:val="24"/>
        </w:rPr>
        <w:t>15,5 kg</w:t>
      </w:r>
    </w:p>
    <w:p w:rsidR="00E32B8C" w:rsidRPr="00591521" w:rsidRDefault="00E32B8C" w:rsidP="005915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0E" w:rsidRPr="00591521" w:rsidRDefault="00D5640E" w:rsidP="00591521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>Funkcje operacyjne</w:t>
      </w:r>
      <w:r w:rsidR="00591521">
        <w:rPr>
          <w:rFonts w:ascii="Times New Roman" w:hAnsi="Times New Roman" w:cs="Times New Roman"/>
          <w:b/>
          <w:sz w:val="24"/>
          <w:szCs w:val="24"/>
        </w:rPr>
        <w:t>:</w:t>
      </w:r>
    </w:p>
    <w:p w:rsidR="00D5640E" w:rsidRPr="00591521" w:rsidRDefault="00D5640E" w:rsidP="00591521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Wyświetlanie wyników pomiarów NMP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Regulowane progi alarmowe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lastRenderedPageBreak/>
        <w:t>Obsługa ręczna i automatyczna, w tym. akwizycja/analiza danych w użytkowniku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591521" w:rsidP="00591521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 w:cs="Times New Roman"/>
          <w:sz w:val="24"/>
          <w:szCs w:val="24"/>
        </w:rPr>
        <w:t>Z</w:t>
      </w:r>
      <w:r w:rsidR="00D5640E" w:rsidRPr="00591521">
        <w:rPr>
          <w:rStyle w:val="jlqj4b"/>
          <w:rFonts w:ascii="Times New Roman" w:hAnsi="Times New Roman" w:cs="Times New Roman"/>
          <w:sz w:val="24"/>
          <w:szCs w:val="24"/>
        </w:rPr>
        <w:t>definiowane interwały</w:t>
      </w:r>
      <w:r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F727D8" w:rsidP="00591521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System oczyszczania</w:t>
      </w:r>
      <w:r w:rsidR="00D5640E" w:rsidRPr="00591521">
        <w:rPr>
          <w:rStyle w:val="jlqj4b"/>
          <w:rFonts w:ascii="Times New Roman" w:hAnsi="Times New Roman" w:cs="Times New Roman"/>
          <w:sz w:val="24"/>
          <w:szCs w:val="24"/>
        </w:rPr>
        <w:t xml:space="preserve"> do czyszczenia (&gt;100 °C)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Pobieranie danych przez port USB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Wyjście danych przez 4-20 mA alternatywnie MODBUS (TCP)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0E" w:rsidRPr="00591521" w:rsidRDefault="000F1E37" w:rsidP="00591521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>W</w:t>
      </w:r>
      <w:r w:rsidR="00F727D8" w:rsidRPr="00591521">
        <w:rPr>
          <w:rFonts w:ascii="Times New Roman" w:hAnsi="Times New Roman" w:cs="Times New Roman"/>
          <w:b/>
          <w:sz w:val="24"/>
          <w:szCs w:val="24"/>
        </w:rPr>
        <w:t>lotowy zawór</w:t>
      </w:r>
      <w:r w:rsidRPr="00591521">
        <w:rPr>
          <w:rFonts w:ascii="Times New Roman" w:hAnsi="Times New Roman" w:cs="Times New Roman"/>
          <w:b/>
          <w:sz w:val="24"/>
          <w:szCs w:val="24"/>
        </w:rPr>
        <w:t xml:space="preserve"> 6-portowy</w:t>
      </w:r>
      <w:r w:rsidR="00CA024E">
        <w:rPr>
          <w:rFonts w:ascii="Times New Roman" w:hAnsi="Times New Roman" w:cs="Times New Roman"/>
          <w:b/>
          <w:sz w:val="24"/>
          <w:szCs w:val="24"/>
        </w:rPr>
        <w:t>:</w:t>
      </w:r>
    </w:p>
    <w:p w:rsidR="00D5640E" w:rsidRPr="00591521" w:rsidRDefault="00D5640E" w:rsidP="00591521">
      <w:pPr>
        <w:pStyle w:val="Akapitzlist"/>
        <w:numPr>
          <w:ilvl w:val="0"/>
          <w:numId w:val="8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Otwarty system, w tym pompka do wprowadzania próbki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pStyle w:val="Akapitzlist"/>
        <w:numPr>
          <w:ilvl w:val="0"/>
          <w:numId w:val="8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Podgrzewany 6-portowy zawór (do 80°C) z gazoszczelną pętlą próbkowania wykonaną ze stali nierdzewnej o objętości 1mL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5915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21" w:rsidRDefault="00D5640E" w:rsidP="00591521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>Pakiet oprogramowania komputerowego</w:t>
      </w:r>
      <w:r w:rsidR="00591521">
        <w:rPr>
          <w:rFonts w:ascii="Times New Roman" w:hAnsi="Times New Roman" w:cs="Times New Roman"/>
          <w:b/>
          <w:sz w:val="24"/>
          <w:szCs w:val="24"/>
        </w:rPr>
        <w:t>:</w:t>
      </w:r>
    </w:p>
    <w:p w:rsidR="00D5640E" w:rsidRPr="00591521" w:rsidRDefault="00D5640E" w:rsidP="00591521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Oprogramowanie analityczne VOCal dla</w:t>
      </w:r>
      <w:r w:rsidR="00591521" w:rsidRPr="00591521">
        <w:rPr>
          <w:rFonts w:ascii="Times New Roman" w:hAnsi="Times New Roman" w:cs="Times New Roman"/>
          <w:sz w:val="24"/>
          <w:szCs w:val="24"/>
        </w:rPr>
        <w:t>:</w:t>
      </w:r>
    </w:p>
    <w:p w:rsidR="00D5640E" w:rsidRPr="00591521" w:rsidRDefault="000F1E37" w:rsidP="00591521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wizualizacji danych, - organizacji</w:t>
      </w:r>
      <w:r w:rsidR="00591521" w:rsidRPr="00591521">
        <w:rPr>
          <w:rStyle w:val="jlqj4b"/>
          <w:rFonts w:ascii="Times New Roman" w:hAnsi="Times New Roman" w:cs="Times New Roman"/>
          <w:sz w:val="24"/>
          <w:szCs w:val="24"/>
        </w:rPr>
        <w:t>;</w:t>
      </w:r>
    </w:p>
    <w:p w:rsidR="00D5640E" w:rsidRPr="00591521" w:rsidRDefault="00D5640E" w:rsidP="00591521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narzędzia do analizy i eksportu danych</w:t>
      </w:r>
      <w:r w:rsidR="00591521" w:rsidRPr="00591521">
        <w:rPr>
          <w:rStyle w:val="jlqj4b"/>
          <w:rFonts w:ascii="Times New Roman" w:hAnsi="Times New Roman" w:cs="Times New Roman"/>
          <w:sz w:val="24"/>
          <w:szCs w:val="24"/>
        </w:rPr>
        <w:t>;</w:t>
      </w:r>
    </w:p>
    <w:p w:rsidR="00D5640E" w:rsidRPr="00591521" w:rsidRDefault="00D5640E" w:rsidP="00591521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kontrola właściwości pomiarowych</w:t>
      </w:r>
      <w:r w:rsidR="00591521" w:rsidRPr="00591521">
        <w:rPr>
          <w:rStyle w:val="jlqj4b"/>
          <w:rFonts w:ascii="Times New Roman" w:hAnsi="Times New Roman" w:cs="Times New Roman"/>
          <w:sz w:val="24"/>
          <w:szCs w:val="24"/>
        </w:rPr>
        <w:t>;</w:t>
      </w:r>
    </w:p>
    <w:p w:rsidR="00D5640E" w:rsidRPr="00D96758" w:rsidRDefault="001B6294" w:rsidP="00591521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  <w:lang w:val="en-GB"/>
        </w:rPr>
      </w:pPr>
      <w:r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w</w:t>
      </w:r>
      <w:r w:rsidR="00D5640E"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tyczki: „Gal</w:t>
      </w:r>
      <w:r w:rsidR="001A3F0A"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lery</w:t>
      </w:r>
      <w:r w:rsidR="00D5640E"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-Plot”, „Reporter”, „</w:t>
      </w:r>
      <w:r w:rsidR="001A3F0A"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Fingerprint analysis’</w:t>
      </w:r>
      <w:r w:rsidR="00D5640E" w:rsidRPr="00D96758">
        <w:rPr>
          <w:rStyle w:val="jlqj4b"/>
          <w:rFonts w:ascii="Times New Roman" w:hAnsi="Times New Roman" w:cs="Times New Roman"/>
          <w:sz w:val="24"/>
          <w:szCs w:val="24"/>
          <w:lang w:val="en-GB"/>
        </w:rPr>
        <w:t>” CSV-Export</w:t>
      </w:r>
    </w:p>
    <w:p w:rsidR="00591521" w:rsidRDefault="00D5640E" w:rsidP="00591521">
      <w:pPr>
        <w:pStyle w:val="Akapitzlist"/>
        <w:numPr>
          <w:ilvl w:val="0"/>
          <w:numId w:val="5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NIST – baza danych wska</w:t>
      </w:r>
      <w:r w:rsidR="00591521">
        <w:rPr>
          <w:rFonts w:ascii="Times New Roman" w:hAnsi="Times New Roman" w:cs="Times New Roman"/>
          <w:sz w:val="24"/>
          <w:szCs w:val="24"/>
        </w:rPr>
        <w:t>źników retencji GC (edycja 2014);</w:t>
      </w:r>
    </w:p>
    <w:p w:rsidR="00D5640E" w:rsidRPr="00591521" w:rsidRDefault="000E1538" w:rsidP="00591521">
      <w:pPr>
        <w:pStyle w:val="Akapitzlist"/>
        <w:numPr>
          <w:ilvl w:val="0"/>
          <w:numId w:val="5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oprogramowanie do ustawiania parametrów przyrządu</w:t>
      </w:r>
      <w:r w:rsidR="001A3F0A" w:rsidRPr="00591521">
        <w:rPr>
          <w:rFonts w:ascii="Times New Roman" w:hAnsi="Times New Roman" w:cs="Times New Roman"/>
          <w:sz w:val="24"/>
          <w:szCs w:val="24"/>
        </w:rPr>
        <w:t>:</w:t>
      </w:r>
      <w:r w:rsidRPr="00591521">
        <w:rPr>
          <w:rFonts w:ascii="Times New Roman" w:hAnsi="Times New Roman" w:cs="Times New Roman"/>
          <w:sz w:val="24"/>
          <w:szCs w:val="24"/>
        </w:rPr>
        <w:t xml:space="preserve"> Sekwenser</w:t>
      </w:r>
      <w:r w:rsidR="00D5640E" w:rsidRPr="00591521">
        <w:rPr>
          <w:rFonts w:ascii="Times New Roman" w:hAnsi="Times New Roman" w:cs="Times New Roman"/>
          <w:sz w:val="24"/>
          <w:szCs w:val="24"/>
        </w:rPr>
        <w:t>:</w:t>
      </w:r>
    </w:p>
    <w:p w:rsidR="00D5640E" w:rsidRPr="00591521" w:rsidRDefault="001B6294" w:rsidP="00591521">
      <w:p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- d</w:t>
      </w:r>
      <w:r w:rsidR="000E1538" w:rsidRPr="00591521">
        <w:rPr>
          <w:rFonts w:ascii="Times New Roman" w:hAnsi="Times New Roman" w:cs="Times New Roman"/>
          <w:sz w:val="24"/>
          <w:szCs w:val="24"/>
        </w:rPr>
        <w:t>ostosowanie</w:t>
      </w:r>
      <w:r w:rsidR="00D5640E" w:rsidRPr="00591521">
        <w:rPr>
          <w:rFonts w:ascii="Times New Roman" w:hAnsi="Times New Roman" w:cs="Times New Roman"/>
          <w:sz w:val="24"/>
          <w:szCs w:val="24"/>
        </w:rPr>
        <w:t xml:space="preserve"> sekwen</w:t>
      </w:r>
      <w:r w:rsidR="000E1538" w:rsidRPr="00591521">
        <w:rPr>
          <w:rFonts w:ascii="Times New Roman" w:hAnsi="Times New Roman" w:cs="Times New Roman"/>
          <w:sz w:val="24"/>
          <w:szCs w:val="24"/>
        </w:rPr>
        <w:t>cji</w:t>
      </w:r>
      <w:r w:rsidR="00D5640E" w:rsidRPr="00591521">
        <w:rPr>
          <w:rFonts w:ascii="Times New Roman" w:hAnsi="Times New Roman" w:cs="Times New Roman"/>
          <w:sz w:val="24"/>
          <w:szCs w:val="24"/>
        </w:rPr>
        <w:t xml:space="preserve"> programów</w:t>
      </w:r>
      <w:r w:rsidR="000E1538" w:rsidRPr="00591521">
        <w:rPr>
          <w:rFonts w:ascii="Times New Roman" w:hAnsi="Times New Roman" w:cs="Times New Roman"/>
          <w:sz w:val="24"/>
          <w:szCs w:val="24"/>
        </w:rPr>
        <w:t xml:space="preserve"> po </w:t>
      </w:r>
      <w:r w:rsidR="00D5640E" w:rsidRPr="00591521">
        <w:rPr>
          <w:rFonts w:ascii="Times New Roman" w:hAnsi="Times New Roman" w:cs="Times New Roman"/>
          <w:sz w:val="24"/>
          <w:szCs w:val="24"/>
        </w:rPr>
        <w:t>uruchomieniu</w:t>
      </w:r>
      <w:r w:rsidR="000E1538" w:rsidRPr="00591521">
        <w:rPr>
          <w:rFonts w:ascii="Times New Roman" w:hAnsi="Times New Roman" w:cs="Times New Roman"/>
          <w:sz w:val="24"/>
          <w:szCs w:val="24"/>
        </w:rPr>
        <w:t xml:space="preserve"> ustawień</w:t>
      </w:r>
    </w:p>
    <w:p w:rsidR="00D5640E" w:rsidRPr="00591521" w:rsidRDefault="00D5640E" w:rsidP="00591521">
      <w:p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 xml:space="preserve">- </w:t>
      </w:r>
      <w:r w:rsidR="000E1538" w:rsidRPr="00591521">
        <w:rPr>
          <w:rFonts w:ascii="Times New Roman" w:hAnsi="Times New Roman" w:cs="Times New Roman"/>
          <w:sz w:val="24"/>
          <w:szCs w:val="24"/>
        </w:rPr>
        <w:t>możliwość</w:t>
      </w:r>
      <w:r w:rsidRPr="00591521">
        <w:rPr>
          <w:rFonts w:ascii="Times New Roman" w:hAnsi="Times New Roman" w:cs="Times New Roman"/>
          <w:sz w:val="24"/>
          <w:szCs w:val="24"/>
        </w:rPr>
        <w:t xml:space="preserve"> </w:t>
      </w:r>
      <w:r w:rsidR="000E1538" w:rsidRPr="00591521">
        <w:rPr>
          <w:rFonts w:ascii="Times New Roman" w:hAnsi="Times New Roman" w:cs="Times New Roman"/>
          <w:sz w:val="24"/>
          <w:szCs w:val="24"/>
        </w:rPr>
        <w:t>zdalnego uruchomienia</w:t>
      </w:r>
      <w:r w:rsidRPr="00591521">
        <w:rPr>
          <w:rFonts w:ascii="Times New Roman" w:hAnsi="Times New Roman" w:cs="Times New Roman"/>
          <w:sz w:val="24"/>
          <w:szCs w:val="24"/>
        </w:rPr>
        <w:t xml:space="preserve"> i zatrzymyw</w:t>
      </w:r>
      <w:r w:rsidR="000E1538" w:rsidRPr="00591521">
        <w:rPr>
          <w:rFonts w:ascii="Times New Roman" w:hAnsi="Times New Roman" w:cs="Times New Roman"/>
          <w:sz w:val="24"/>
          <w:szCs w:val="24"/>
        </w:rPr>
        <w:t>ania</w:t>
      </w:r>
      <w:r w:rsidRPr="00591521">
        <w:rPr>
          <w:rFonts w:ascii="Times New Roman" w:hAnsi="Times New Roman" w:cs="Times New Roman"/>
          <w:sz w:val="24"/>
          <w:szCs w:val="24"/>
        </w:rPr>
        <w:t xml:space="preserve"> </w:t>
      </w:r>
      <w:r w:rsidR="000E1538" w:rsidRPr="00591521">
        <w:rPr>
          <w:rFonts w:ascii="Times New Roman" w:hAnsi="Times New Roman" w:cs="Times New Roman"/>
          <w:sz w:val="24"/>
          <w:szCs w:val="24"/>
        </w:rPr>
        <w:t xml:space="preserve">sekwencji </w:t>
      </w:r>
    </w:p>
    <w:p w:rsidR="00D5640E" w:rsidRPr="00591521" w:rsidRDefault="00D5640E" w:rsidP="005915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21" w:rsidRDefault="00D5640E" w:rsidP="00591521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 xml:space="preserve">N2-Generator (19” </w:t>
      </w:r>
      <w:r w:rsidR="000E1538" w:rsidRPr="00591521">
        <w:rPr>
          <w:rFonts w:ascii="Times New Roman" w:hAnsi="Times New Roman" w:cs="Times New Roman"/>
          <w:b/>
          <w:sz w:val="24"/>
          <w:szCs w:val="24"/>
        </w:rPr>
        <w:t xml:space="preserve">stelaż </w:t>
      </w:r>
      <w:r w:rsidRPr="00591521">
        <w:rPr>
          <w:rFonts w:ascii="Times New Roman" w:hAnsi="Times New Roman" w:cs="Times New Roman"/>
          <w:b/>
          <w:sz w:val="24"/>
          <w:szCs w:val="24"/>
        </w:rPr>
        <w:t>ze zintegrowaną sprężarką)</w:t>
      </w:r>
      <w:r w:rsidR="00591521">
        <w:rPr>
          <w:rFonts w:ascii="Times New Roman" w:hAnsi="Times New Roman" w:cs="Times New Roman"/>
          <w:b/>
          <w:sz w:val="24"/>
          <w:szCs w:val="24"/>
        </w:rPr>
        <w:t>:</w:t>
      </w:r>
    </w:p>
    <w:p w:rsidR="00D5640E" w:rsidRPr="00591521" w:rsidRDefault="000E1538" w:rsidP="00591521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Generator azotu o bardzo wysokiej czystości z technologią absorpcji zmiennociśnieniowej (PSA) i zintegrowaną sprężarką powietrza</w:t>
      </w:r>
      <w:r w:rsidR="00591521">
        <w:rPr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Maksymalny wypływ: 450 ml/min.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Ciśnienie wy</w:t>
      </w:r>
      <w:r w:rsidR="000E1538" w:rsidRPr="00591521">
        <w:rPr>
          <w:rStyle w:val="jlqj4b"/>
          <w:rFonts w:ascii="Times New Roman" w:hAnsi="Times New Roman" w:cs="Times New Roman"/>
          <w:sz w:val="24"/>
          <w:szCs w:val="24"/>
        </w:rPr>
        <w:t>jściowe: regulowane &lt;3,5 bar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Czystość azotu: 99,999%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Zawartość O2: &lt;10</w:t>
      </w:r>
      <w:r w:rsidR="001B6294" w:rsidRPr="00591521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591521">
        <w:rPr>
          <w:rStyle w:val="jlqj4b"/>
          <w:rFonts w:ascii="Times New Roman" w:hAnsi="Times New Roman" w:cs="Times New Roman"/>
          <w:sz w:val="24"/>
          <w:szCs w:val="24"/>
        </w:rPr>
        <w:t>ppm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Punkt rosy: &lt;-60°C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1A3F0A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Pułapka wilgoci</w:t>
      </w:r>
      <w:r w:rsidR="00D5640E" w:rsidRPr="00591521">
        <w:rPr>
          <w:rStyle w:val="jlqj4b"/>
          <w:rFonts w:ascii="Times New Roman" w:hAnsi="Times New Roman" w:cs="Times New Roman"/>
          <w:sz w:val="24"/>
          <w:szCs w:val="24"/>
        </w:rPr>
        <w:t>: 350 ml z zawartością 5A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Złączki i węże: mosiądz/PFA i stal nierdzewna.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Mocowanie wyjściowe: rura ze stali nierdzewnej Swagelok 6 mm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Napię</w:t>
      </w:r>
      <w:r w:rsidR="001A3F0A" w:rsidRPr="00591521">
        <w:rPr>
          <w:rStyle w:val="jlqj4b"/>
          <w:rFonts w:ascii="Times New Roman" w:hAnsi="Times New Roman" w:cs="Times New Roman"/>
          <w:sz w:val="24"/>
          <w:szCs w:val="24"/>
        </w:rPr>
        <w:t>cie: 100 do 240 VAC 47-63 Hz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>Wymiary: 485 x 560 x 188mm (SxGxW)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4E7052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591521">
        <w:rPr>
          <w:rStyle w:val="jlqj4b"/>
          <w:rFonts w:ascii="Times New Roman" w:hAnsi="Times New Roman" w:cs="Times New Roman"/>
          <w:sz w:val="24"/>
          <w:szCs w:val="24"/>
        </w:rPr>
        <w:t xml:space="preserve">Waga: 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 xml:space="preserve">do </w:t>
      </w:r>
      <w:r w:rsidRPr="00591521">
        <w:rPr>
          <w:rStyle w:val="jlqj4b"/>
          <w:rFonts w:ascii="Times New Roman" w:hAnsi="Times New Roman" w:cs="Times New Roman"/>
          <w:sz w:val="24"/>
          <w:szCs w:val="24"/>
        </w:rPr>
        <w:t>27 kg</w:t>
      </w:r>
      <w:r w:rsidR="00591521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7052" w:rsidRDefault="00D5640E" w:rsidP="004E70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21">
        <w:rPr>
          <w:rFonts w:ascii="Times New Roman" w:hAnsi="Times New Roman" w:cs="Times New Roman"/>
          <w:b/>
          <w:sz w:val="24"/>
          <w:szCs w:val="24"/>
        </w:rPr>
        <w:t>Wstępnie zainstalowany komputer</w:t>
      </w:r>
      <w:r w:rsidR="004E7052">
        <w:rPr>
          <w:rFonts w:ascii="Times New Roman" w:hAnsi="Times New Roman" w:cs="Times New Roman"/>
          <w:b/>
          <w:sz w:val="24"/>
          <w:szCs w:val="24"/>
        </w:rPr>
        <w:t>:</w:t>
      </w:r>
    </w:p>
    <w:p w:rsidR="00D5640E" w:rsidRPr="004E7052" w:rsidRDefault="00D5640E" w:rsidP="004E7052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052">
        <w:rPr>
          <w:rFonts w:ascii="Times New Roman" w:hAnsi="Times New Roman" w:cs="Times New Roman"/>
          <w:sz w:val="24"/>
          <w:szCs w:val="24"/>
        </w:rPr>
        <w:t xml:space="preserve">PC z zainstalowanym oprogramowaniem jak w </w:t>
      </w:r>
      <w:r w:rsidR="004E7052">
        <w:rPr>
          <w:rFonts w:ascii="Times New Roman" w:hAnsi="Times New Roman" w:cs="Times New Roman"/>
          <w:sz w:val="24"/>
          <w:szCs w:val="24"/>
        </w:rPr>
        <w:t>ust.</w:t>
      </w:r>
      <w:r w:rsidRPr="004E7052">
        <w:rPr>
          <w:rFonts w:ascii="Times New Roman" w:hAnsi="Times New Roman" w:cs="Times New Roman"/>
          <w:sz w:val="24"/>
          <w:szCs w:val="24"/>
        </w:rPr>
        <w:t xml:space="preserve"> 5 z:</w:t>
      </w:r>
    </w:p>
    <w:p w:rsidR="00D5640E" w:rsidRPr="004E7052" w:rsidRDefault="004E7052" w:rsidP="004E705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 w:cs="Times New Roman"/>
          <w:sz w:val="24"/>
          <w:szCs w:val="24"/>
        </w:rPr>
        <w:lastRenderedPageBreak/>
        <w:t>klawiaturą angielską</w:t>
      </w:r>
      <w:r w:rsidR="00D5640E" w:rsidRPr="004E7052">
        <w:rPr>
          <w:rStyle w:val="jlqj4b"/>
          <w:rFonts w:ascii="Times New Roman" w:hAnsi="Times New Roman" w:cs="Times New Roman"/>
          <w:sz w:val="24"/>
          <w:szCs w:val="24"/>
        </w:rPr>
        <w:t>, rozdzielczość full HD dsplay, dysk SSD</w:t>
      </w:r>
      <w:r>
        <w:rPr>
          <w:rStyle w:val="jlqj4b"/>
          <w:rFonts w:ascii="Times New Roman" w:hAnsi="Times New Roman" w:cs="Times New Roman"/>
          <w:sz w:val="24"/>
          <w:szCs w:val="24"/>
        </w:rPr>
        <w:t>;</w:t>
      </w:r>
    </w:p>
    <w:p w:rsidR="00D5640E" w:rsidRPr="004E7052" w:rsidRDefault="004E7052" w:rsidP="004E705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 w:cs="Times New Roman"/>
          <w:sz w:val="24"/>
          <w:szCs w:val="24"/>
        </w:rPr>
        <w:t>z</w:t>
      </w:r>
      <w:r w:rsidR="00D5640E" w:rsidRPr="004E7052">
        <w:rPr>
          <w:rStyle w:val="jlqj4b"/>
          <w:rFonts w:ascii="Times New Roman" w:hAnsi="Times New Roman" w:cs="Times New Roman"/>
          <w:sz w:val="24"/>
          <w:szCs w:val="24"/>
        </w:rPr>
        <w:t>ainstalowany system WINDOWS 10, procesor Intel, port Ethernet RJ45</w:t>
      </w:r>
      <w:r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7052" w:rsidRDefault="004E7052" w:rsidP="001B6294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Instalacja:</w:t>
      </w:r>
    </w:p>
    <w:p w:rsidR="00D5640E" w:rsidRPr="004E7052" w:rsidRDefault="004E7052" w:rsidP="004E7052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Instalacja w siedzibie Zamawiającego.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74FE" w:rsidRDefault="001274F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74FE" w:rsidRDefault="001274F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Warunki d</w:t>
      </w:r>
      <w:r w:rsidR="001A3F0A" w:rsidRPr="00591521">
        <w:rPr>
          <w:rFonts w:ascii="Times New Roman" w:hAnsi="Times New Roman" w:cs="Times New Roman"/>
          <w:sz w:val="24"/>
          <w:szCs w:val="24"/>
        </w:rPr>
        <w:t>ostawy</w:t>
      </w:r>
      <w:r w:rsidR="004E7052">
        <w:rPr>
          <w:rFonts w:ascii="Times New Roman" w:hAnsi="Times New Roman" w:cs="Times New Roman"/>
          <w:sz w:val="24"/>
          <w:szCs w:val="24"/>
        </w:rPr>
        <w:t>: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Dostawa: W tym opakowanie, instrukcja i w kartonie transportowym</w:t>
      </w:r>
      <w:r w:rsidR="004E7052">
        <w:rPr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Cena: Netto, EXW (ICC Incoterms ed.1990) bez cła i podatków lokalnych</w:t>
      </w:r>
      <w:r w:rsidR="004E7052">
        <w:rPr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Ubezpieczenie / Odpowiedzialność importera frachtu</w:t>
      </w:r>
      <w:r w:rsidR="004E7052">
        <w:rPr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E36F9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>Gwarancja</w:t>
      </w:r>
      <w:r w:rsidR="00D5640E" w:rsidRPr="00591521">
        <w:rPr>
          <w:rFonts w:ascii="Times New Roman" w:hAnsi="Times New Roman" w:cs="Times New Roman"/>
          <w:sz w:val="24"/>
          <w:szCs w:val="24"/>
        </w:rPr>
        <w:t xml:space="preserve"> 12 miesięcy</w:t>
      </w:r>
      <w:r w:rsidR="004E7052">
        <w:rPr>
          <w:rFonts w:ascii="Times New Roman" w:hAnsi="Times New Roman" w:cs="Times New Roman"/>
          <w:sz w:val="24"/>
          <w:szCs w:val="24"/>
        </w:rPr>
        <w:t>.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1521">
        <w:rPr>
          <w:rFonts w:ascii="Times New Roman" w:hAnsi="Times New Roman" w:cs="Times New Roman"/>
          <w:sz w:val="24"/>
          <w:szCs w:val="24"/>
        </w:rPr>
        <w:t xml:space="preserve">Czas realizacji: </w:t>
      </w:r>
      <w:r w:rsidR="004E7052">
        <w:rPr>
          <w:rFonts w:ascii="Times New Roman" w:hAnsi="Times New Roman" w:cs="Times New Roman"/>
          <w:sz w:val="24"/>
          <w:szCs w:val="24"/>
        </w:rPr>
        <w:t>do</w:t>
      </w:r>
      <w:r w:rsidRPr="00591521">
        <w:rPr>
          <w:rFonts w:ascii="Times New Roman" w:hAnsi="Times New Roman" w:cs="Times New Roman"/>
          <w:sz w:val="24"/>
          <w:szCs w:val="24"/>
        </w:rPr>
        <w:t xml:space="preserve"> 10 tygodni</w:t>
      </w:r>
      <w:r w:rsidR="004E7052">
        <w:rPr>
          <w:rFonts w:ascii="Times New Roman" w:hAnsi="Times New Roman" w:cs="Times New Roman"/>
          <w:sz w:val="24"/>
          <w:szCs w:val="24"/>
        </w:rPr>
        <w:t xml:space="preserve"> od dnia podpisania umowy.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5640E" w:rsidRPr="005915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69" w:rsidRDefault="00B25869" w:rsidP="00591521">
      <w:pPr>
        <w:spacing w:after="0" w:line="240" w:lineRule="auto"/>
      </w:pPr>
      <w:r>
        <w:separator/>
      </w:r>
    </w:p>
  </w:endnote>
  <w:endnote w:type="continuationSeparator" w:id="0">
    <w:p w:rsidR="00B25869" w:rsidRDefault="00B25869" w:rsidP="0059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570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1521" w:rsidRDefault="00591521" w:rsidP="00591521">
            <w:pPr>
              <w:pStyle w:val="Stopka"/>
              <w:jc w:val="right"/>
            </w:pPr>
            <w:r w:rsidRPr="0059152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9675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59152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9675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69" w:rsidRDefault="00B25869" w:rsidP="00591521">
      <w:pPr>
        <w:spacing w:after="0" w:line="240" w:lineRule="auto"/>
      </w:pPr>
      <w:r>
        <w:separator/>
      </w:r>
    </w:p>
  </w:footnote>
  <w:footnote w:type="continuationSeparator" w:id="0">
    <w:p w:rsidR="00B25869" w:rsidRDefault="00B25869" w:rsidP="0059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FE" w:rsidRDefault="001274FE" w:rsidP="001274FE">
    <w:pPr>
      <w:pStyle w:val="Nagwek"/>
      <w:rPr>
        <w:color w:val="FF0000"/>
      </w:rPr>
    </w:pPr>
    <w:r w:rsidRPr="001C4F21">
      <w:rPr>
        <w:noProof/>
        <w:lang w:eastAsia="pl-PL"/>
      </w:rPr>
      <w:drawing>
        <wp:inline distT="0" distB="0" distL="0" distR="0" wp14:anchorId="5987AEC6" wp14:editId="4548BDB8">
          <wp:extent cx="2066925" cy="647700"/>
          <wp:effectExtent l="0" t="0" r="9525" b="0"/>
          <wp:docPr id="3" name="Obraz 3" descr="E:\zeus-2\ncb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zeus-2\ncbr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460" cy="663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74FE" w:rsidRPr="00095439" w:rsidRDefault="001274FE" w:rsidP="001274FE">
    <w:pPr>
      <w:pStyle w:val="Nagwek"/>
      <w:rPr>
        <w:color w:val="FF0000"/>
      </w:rPr>
    </w:pPr>
    <w:r>
      <w:rPr>
        <w:noProof/>
        <w:lang w:eastAsia="pl-PL"/>
      </w:rPr>
      <w:drawing>
        <wp:inline distT="0" distB="0" distL="0" distR="0" wp14:anchorId="71D18959" wp14:editId="0E8F0C2D">
          <wp:extent cx="638175" cy="637417"/>
          <wp:effectExtent l="0" t="0" r="0" b="0"/>
          <wp:docPr id="1925897313" name="picture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450" cy="67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</w:rPr>
      <w:t xml:space="preserve">               </w:t>
    </w:r>
    <w:r>
      <w:rPr>
        <w:noProof/>
        <w:lang w:eastAsia="pl-PL"/>
      </w:rPr>
      <w:drawing>
        <wp:inline distT="0" distB="0" distL="0" distR="0" wp14:anchorId="20D2E31B" wp14:editId="555F4498">
          <wp:extent cx="2343150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855" cy="55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2D7677E" wp14:editId="5CAA124E">
          <wp:extent cx="590550" cy="48333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7" cy="49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74FE" w:rsidRDefault="00127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49D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402915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645BCB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77D2C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CD0613"/>
    <w:multiLevelType w:val="hybridMultilevel"/>
    <w:tmpl w:val="84BE04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DD3D30"/>
    <w:multiLevelType w:val="hybridMultilevel"/>
    <w:tmpl w:val="5540D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6180"/>
    <w:multiLevelType w:val="hybridMultilevel"/>
    <w:tmpl w:val="C6C06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35BD"/>
    <w:multiLevelType w:val="hybridMultilevel"/>
    <w:tmpl w:val="86BC7D3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9625BB7"/>
    <w:multiLevelType w:val="hybridMultilevel"/>
    <w:tmpl w:val="A650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D1071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FBD67E3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9C01DD0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0E"/>
    <w:rsid w:val="000E1538"/>
    <w:rsid w:val="000F1E37"/>
    <w:rsid w:val="001274FE"/>
    <w:rsid w:val="001A3F0A"/>
    <w:rsid w:val="001B6294"/>
    <w:rsid w:val="001F23CE"/>
    <w:rsid w:val="004E7052"/>
    <w:rsid w:val="00591521"/>
    <w:rsid w:val="008970ED"/>
    <w:rsid w:val="009E2B23"/>
    <w:rsid w:val="00B25869"/>
    <w:rsid w:val="00CA024E"/>
    <w:rsid w:val="00D5640E"/>
    <w:rsid w:val="00D96758"/>
    <w:rsid w:val="00DB526B"/>
    <w:rsid w:val="00E32B8C"/>
    <w:rsid w:val="00E36F9E"/>
    <w:rsid w:val="00F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49C3"/>
  <w15:docId w15:val="{52834F8B-9946-4EB5-BC43-F821E04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E32B8C"/>
  </w:style>
  <w:style w:type="paragraph" w:styleId="Tekstdymka">
    <w:name w:val="Balloon Text"/>
    <w:basedOn w:val="Normalny"/>
    <w:link w:val="TekstdymkaZnak"/>
    <w:uiPriority w:val="99"/>
    <w:semiHidden/>
    <w:unhideWhenUsed/>
    <w:rsid w:val="001B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21"/>
  </w:style>
  <w:style w:type="paragraph" w:styleId="Stopka">
    <w:name w:val="footer"/>
    <w:basedOn w:val="Normalny"/>
    <w:link w:val="Stopka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Spławska</dc:creator>
  <cp:lastModifiedBy>AS</cp:lastModifiedBy>
  <cp:revision>4</cp:revision>
  <cp:lastPrinted>2021-07-06T07:16:00Z</cp:lastPrinted>
  <dcterms:created xsi:type="dcterms:W3CDTF">2021-07-20T11:55:00Z</dcterms:created>
  <dcterms:modified xsi:type="dcterms:W3CDTF">2021-07-23T07:02:00Z</dcterms:modified>
</cp:coreProperties>
</file>