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695" w:right="986" w:bottom="979" w:left="897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8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506730</wp:posOffset>
                </wp:positionH>
                <wp:positionV relativeFrom="paragraph">
                  <wp:posOffset>12700</wp:posOffset>
                </wp:positionV>
                <wp:extent cx="572770" cy="682625"/>
                <wp:wrapSquare wrapText="bothSides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2770" cy="6826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</w:rPr>
                              <w:t>Od: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</w:rPr>
                              <w:t>Wysłano: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</w:rPr>
                              <w:t>Do: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</w:rPr>
                              <w:t>Temat: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9.899999999999999pt;margin-top:1.pt;width:45.100000000000001pt;height:53.7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Od: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Wysłano: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Do: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Temat: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CharStyle6"/>
        </w:rPr>
        <w:t>Alert Webankieta &lt;</w:t>
      </w:r>
      <w:r>
        <w:fldChar w:fldCharType="begin"/>
      </w:r>
      <w:r>
        <w:rPr/>
        <w:instrText> HYPERLINK "mailto:raport@webankieta.pl" </w:instrText>
      </w:r>
      <w:r>
        <w:fldChar w:fldCharType="separate"/>
      </w:r>
      <w:r>
        <w:rPr>
          <w:rStyle w:val="CharStyle6"/>
        </w:rPr>
        <w:t>raport@webankieta.pl</w:t>
      </w:r>
      <w:r>
        <w:fldChar w:fldCharType="end"/>
      </w:r>
      <w:r>
        <w:rPr>
          <w:rStyle w:val="CharStyle6"/>
        </w:rPr>
        <w:t>&gt;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80" w:right="0" w:firstLine="0"/>
        <w:jc w:val="left"/>
      </w:pPr>
      <w:r>
        <w:rPr>
          <w:rStyle w:val="CharStyle6"/>
        </w:rPr>
        <w:t>wtorek, 14 lipca 2026 18:44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80" w:right="0" w:firstLine="0"/>
        <w:jc w:val="left"/>
      </w:pPr>
      <w:r>
        <w:rPr>
          <w:rStyle w:val="CharStyle6"/>
        </w:rPr>
        <w:t>DWS07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300" w:line="240" w:lineRule="auto"/>
        <w:ind w:left="1980" w:right="0" w:firstLine="0"/>
        <w:jc w:val="left"/>
      </w:pPr>
      <w:r>
        <w:rPr>
          <w:rStyle w:val="CharStyle6"/>
        </w:rPr>
        <w:t>Nowe wypełnienie: Skargi, wnioski, petycje i inne wystąpienia obywatelskie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0" w:name="bookmark0"/>
      <w:r>
        <w:rPr>
          <w:rStyle w:val="CharStyle8"/>
        </w:rPr>
        <w:t>Nowe wypełnienie: Skargi, wnioski, petycje i inne wystąpienia</w:t>
        <w:br/>
        <w:t>obywatelskie</w:t>
      </w:r>
      <w:bookmarkEnd w:id="0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Dzień dobry,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880" w:line="240" w:lineRule="auto"/>
        <w:ind w:left="0" w:right="0" w:firstLine="0"/>
        <w:jc w:val="left"/>
      </w:pPr>
      <w:r>
        <w:rPr>
          <w:rStyle w:val="CharStyle10"/>
        </w:rPr>
        <w:t>Skargi, wnioski, petycje oraz inne wystąpienia obywatelskie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320" w:right="0" w:firstLine="0"/>
        <w:jc w:val="left"/>
      </w:pPr>
      <w:r>
        <w:rPr>
          <w:rStyle w:val="CharStyle10"/>
        </w:rPr>
        <w:t>Informacja o wnioskodawcy: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Imię: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Nazwisko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left"/>
      </w:pPr>
      <w:r>
        <w:rPr>
          <w:rStyle w:val="CharStyle10"/>
        </w:rPr>
        <w:t>Nazwa instytucji: -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1291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ab/>
        <w:t>Dane adresowe: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Ulica: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Numer domu: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Numer mieszkania: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Kod pocztowy: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Miejscowości: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adres e-mail: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adres ePUAP: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adres e-Doręczeń: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320" w:right="0" w:firstLine="0"/>
        <w:jc w:val="left"/>
      </w:pPr>
      <w:r>
        <w:rPr>
          <w:rStyle w:val="CharStyle10"/>
        </w:rPr>
        <w:t>Wiadomość: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Temat wiadomości: Temat wiadomości: Petycja o opracowanie Narodowej Strategii Przetwarzania Surowców Krytycznych i utworzenie Polskiego Centrum Przetwarzania Surowców Krytycznych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Treść wiadomości: PETYCJA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do Prezesa Rady Ministrów Rzeczypospolitej Polskiej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w sprawie opracowania Narodowej Strategii Rozwoju Przetwarzania Surowców Krytycznych oraz budowy krajowych zdolności w zakresie przetwarzania, separacji metali ziem rzadkich i produkcji materiałów zaawansowanych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Szanowny Panie Premierze,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działając na podstawie ustawy z dnia 11 lipca 2014 r. o petycjach, zwracam się z uprzejmą prośbą o podjęcie działań mających na celu opracowanie i wdrożenie Narodowej Strategii Rozwoju Przetwarzania Surowców Krytycznych, stanowiącej jeden z filarów długoterminowej polityki przemysłowej Rzeczypospolitej Polskiej.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Uzasadnienie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Światowa gospodarka wchodzi w okres głębokiej przebudowy. Rozwój sztucznej inteligencji, półprzewodników, elektromobilności, energetyki, robotyki, centrów danych oraz przemysłu obronnego powoduje gwałtowny wzrost zapotrzebowania na surowce krytyczne i materiały zaawansowane.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Unia Europejska odpowiedziała na te wyzwania poprzez przyjęcie Critical Raw Materials Act (CRMA), którego celem jest zwiększenie bezpieczeństwa surowcowego Europy, rozwój zdolności przetwarzania i recyklingu oraz ograniczenie zależności od dostaw spoza Unii Europejskiej.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Polska powinna aktywnie wykorzystać tę zmianę.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Uważam, że nasz kraj nie powinien ograniczać swojej roli do funkcji korytarza transportowego, zaplecza logistycznego lub magazynu dla europejskich łańcuchów dostaw.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Takie funkcje są potrzebne, jednak nie tworzą najwyższej wartości dodanej.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Największa wartość gospodarcza powstaje na etapach: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rStyle w:val="CharStyle10"/>
        </w:rPr>
        <w:t>* rafinacji surowców,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rStyle w:val="CharStyle10"/>
        </w:rPr>
        <w:t>* oczyszczania koncentratów,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rStyle w:val="CharStyle10"/>
        </w:rPr>
        <w:t>* separacji metali ziem rzadkich,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rStyle w:val="CharStyle10"/>
        </w:rPr>
        <w:t>* produkcji materiałów wysokiej czystości,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rStyle w:val="CharStyle10"/>
        </w:rPr>
        <w:t>* produkcji materiałów dla baterii,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rStyle w:val="CharStyle10"/>
        </w:rPr>
        <w:t>* produkcji materiałów dla półprzewodników,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rStyle w:val="CharStyle10"/>
        </w:rPr>
        <w:t>* produkcji materiałów dla przemysłu lotniczego,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* produkcji materiałów dla przemysłu obronnego,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produkcji komponentów o wysokiej wartości dodanej,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* recyklingu surowców krytycznych.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To właśnie na tych etapach koncentrują się najwyższe marże, najbardziej zaawansowane technologie oraz najlepiej wynagradzane miejsca pracy.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Potencjał Polski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Polska posiada wyjątkowe kompetencje przemysłowe, które mogą stanowić fundament budowy nowej specjalizacji gospodarczej.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W szczególności należy wskazać: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KGHM Polska Miedź S.A. – światowej klasy kompetencje w zakresie hutnictwa, metalurgii oraz rafinacji metali,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ORLEN S.A. – potencjał chemiczny, petrochemiczny, energetyczny i inwestycyjny,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Grupę Azoty S.A. – doświadczenie w chemii przemysłowej i technologiach procesowych,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rozwinięty sektor produkcji baterii,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rozwijający się sektor recyklingu surowców,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wysoko wykwalifikowaną kadrę inżynierską,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zaplecze naukowo-badawcze polskich uczelni i instytutów,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* korzystne położenie geograficzne oraz rozwiniętą infrastrukturę logistyczną.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Każdy z tych elementów funkcjonuje już obecnie.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Brakuje jednak jednej, spójnej strategii państwa integrującej potencjał administracji, nauki i przemysłu.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Separacja metali ziem rzadkich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Za szczególnie istotny kierunek uważam rozwój krajowych kompetencji w zakresie: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separacji metali ziem rzadkich,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hydrometalurgii,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pirometalurgii,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technologii materiałowych,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technologii oczyszczania i rafinacji metali krytycznych,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>* materiałów wysokiej czystości,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* recyklingu metali strategicznych.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Rozwój takich kompetencji zwiększyłby bezpieczeństwo gospodarcze Polski oraz wzmocniłby pozycję naszego kraju w europejskich łańcuchach wartości.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Energia jako warunek konkurencyjności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Rozwój przemysłu przetwarzania surowców krytycznych wymaga stabilnej i konkurencyjnej cenowo energii.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9" w:lineRule="auto"/>
        <w:ind w:left="0" w:right="0" w:firstLine="0"/>
        <w:jc w:val="left"/>
      </w:pPr>
      <w:r>
        <w:rPr>
          <w:rStyle w:val="CharStyle10"/>
        </w:rPr>
        <w:t>Procesy rafinacji, separacji oraz produkcji materiałów zaawansowanych należą do najbardziej energochłonnych gałęzi przemysłu.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Dlatego strategia rozwoju tego sektora powinna być powiązana z krajową polityką energetyczną.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Wnoszę o przeanalizowanie możliwości wykorzystania w przyszłości różnych stabilnych źródeł energii dla przemysłu, w tym energetyki jądrowej oraz małych reaktorów modułowych (SMR), jeżeli ich wdrożenie okaże się bezpieczne, ekonomicznie uzasadnione i zgodne z polityką energetyczną państwa.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Zapewnienie konkurencyjnych kosztów energii może mieć decydujące znaczenie dla lokalizacji nowych inwestycji przemysłowych w Polsce.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Współpraca międzynarodowa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Polska powinna rozwijać współpracę z państwami dysponującymi strategicznymi zasobami surowców, w tym z Ukrainą oraz innymi partnerami Unii Europejskiej.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Celem tej współpracy powinno być nie tylko uczestnictwo w wydobyciu surowców, lecz przede wszystkim rozwijanie w Polsce najbardziej zaawansowanych etapów ich przetwarzania.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rStyle w:val="CharStyle10"/>
        </w:rPr>
        <w:t>Takie podejście pozwala zatrzymać większą część wartości dodanej w krajowej gospodarce, zwiększyć liczbę wysoko kwalifikowanych miejsc pracy oraz budować trwałą przewagę konkurencyjną.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Wnoszę o: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3" w:val="left"/>
        </w:tabs>
        <w:bidi w:val="0"/>
        <w:spacing w:before="0" w:after="0"/>
        <w:ind w:left="0" w:right="0" w:firstLine="0"/>
        <w:jc w:val="left"/>
      </w:pPr>
      <w:r>
        <w:rPr>
          <w:rStyle w:val="CharStyle10"/>
        </w:rPr>
        <w:t>przygotowanie międzyresortowej analizy potencjału Polski w zakresie przetwarzania surowców krytycznych;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8" w:val="left"/>
        </w:tabs>
        <w:bidi w:val="0"/>
        <w:spacing w:before="0" w:after="0"/>
        <w:ind w:left="0" w:right="0" w:firstLine="0"/>
        <w:jc w:val="left"/>
      </w:pPr>
      <w:r>
        <w:rPr>
          <w:rStyle w:val="CharStyle10"/>
        </w:rPr>
        <w:t>opracowanie Narodowej Strategii Rozwoju Przetwarzania Surowców Krytycznych zgodnej z celami Unii Europejskiej wynikającymi z Critical Raw Materials Act;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8" w:val="left"/>
        </w:tabs>
        <w:bidi w:val="0"/>
        <w:spacing w:before="0" w:after="0"/>
        <w:ind w:left="0" w:right="0" w:firstLine="0"/>
        <w:jc w:val="left"/>
      </w:pPr>
      <w:r>
        <w:rPr>
          <w:rStyle w:val="CharStyle10"/>
        </w:rPr>
        <w:t>powołanie wyspecjalizowanej jednostki koordynującej współpracę administracji, przemysłu oraz sektora naukowego w obszarze surowców krytycznych;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2" w:val="left"/>
        </w:tabs>
        <w:bidi w:val="0"/>
        <w:spacing w:before="0" w:after="0"/>
        <w:ind w:left="0" w:right="0" w:firstLine="0"/>
        <w:jc w:val="left"/>
      </w:pPr>
      <w:r>
        <w:rPr>
          <w:rStyle w:val="CharStyle10"/>
        </w:rPr>
        <w:t>przygotowanie programu rozwoju technologii separacji metali ziem rzadkich oraz materiałów zaawansowanych;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8" w:val="left"/>
        </w:tabs>
        <w:bidi w:val="0"/>
        <w:spacing w:before="0" w:after="0"/>
        <w:ind w:left="0" w:right="0" w:firstLine="0"/>
        <w:jc w:val="left"/>
      </w:pPr>
      <w:r>
        <w:rPr>
          <w:rStyle w:val="CharStyle10"/>
        </w:rPr>
        <w:t>opracowanie programu wsparcia inwestycji w instalacje rafinacji, przetwarzania i recyklingu surowców krytycznych;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8" w:val="left"/>
        </w:tabs>
        <w:bidi w:val="0"/>
        <w:spacing w:before="0" w:after="0"/>
        <w:ind w:left="0" w:right="0" w:firstLine="0"/>
        <w:jc w:val="left"/>
      </w:pPr>
      <w:r>
        <w:rPr>
          <w:rStyle w:val="CharStyle10"/>
        </w:rPr>
        <w:t>przeanalizowanie możliwości wykorzystania potencjału KGHM Polska Miedź S.A., ORLEN S.A., Grupy Azoty S.A., polskich uczelni oraz przedsiębiorstw prywatnych do budowy krajowych i europejskich łańcuchów wartości;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8" w:val="left"/>
        </w:tabs>
        <w:bidi w:val="0"/>
        <w:spacing w:before="0" w:after="0"/>
        <w:ind w:left="0" w:right="0" w:firstLine="0"/>
        <w:jc w:val="left"/>
      </w:pPr>
      <w:r>
        <w:rPr>
          <w:rStyle w:val="CharStyle10"/>
        </w:rPr>
        <w:t>przygotowanie programu wykorzystania środków Unii Europejskiej przeznaczonych na rozwój strategicznych zdolności przemysłowych;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8" w:val="left"/>
        </w:tabs>
        <w:bidi w:val="0"/>
        <w:spacing w:before="0" w:after="0"/>
        <w:ind w:left="0" w:right="0" w:firstLine="0"/>
        <w:jc w:val="left"/>
      </w:pPr>
      <w:r>
        <w:rPr>
          <w:rStyle w:val="CharStyle10"/>
        </w:rPr>
        <w:t>analizę możliwości tworzenia wyspecjalizowanych stref przemysłowych dla zakładów przetwarzających surowce krytyczne, z zapewnieniem odpowiedniej infrastruktury energetycznej i logistycznej;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8" w:val="left"/>
        </w:tabs>
        <w:bidi w:val="0"/>
        <w:spacing w:before="0"/>
        <w:ind w:left="0" w:right="0" w:firstLine="0"/>
        <w:jc w:val="left"/>
      </w:pPr>
      <w:r>
        <w:rPr>
          <w:rStyle w:val="CharStyle10"/>
        </w:rPr>
        <w:t>analizę wpływu konkurencyjnych kosztów energii, w tym przyszłego wykorzystania energetyki jądrowej oraz technologii SMR, na rozwój energochłonnego przemysłu przetwarzania surowców krytycznych.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Podsumowanie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W mojej ocenie Polska dysponuje potencjałem, który może pozwolić jej stać się jednym z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najważniejszych ośrodków przetwarzania surowców krytycznych w Europie.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Osiągnięcie tego celu wymaga jednak długoterminowej strategii, koordynacji działań państwa, współpracy z przemysłem oraz wykorzystania instrumentów oferowanych przez Unię Europejską.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0"/>
        </w:rPr>
        <w:t>Budowa krajowych kompetencji w zakresie rafinacji, separacji metali ziem rzadkich, materiałów zaawansowanych i recyklingu może przyczynić się do zwiększenia bezpieczeństwa gospodarczego Polski, wzrostu konkurencyjności krajowego przemysłu, tworzenia wysoko kwalifikowanych miejsc pracy oraz umocnienia pozycji Rzeczypospolitej Polskiej jako istotnego partnera przemysłowego i technologicznego w Europie.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440"/>
        <w:ind w:left="0" w:right="0" w:firstLine="0"/>
        <w:jc w:val="left"/>
      </w:pPr>
      <w:r>
        <w:rPr>
          <w:rStyle w:val="CharStyle10"/>
        </w:rPr>
        <w:t>Z wyrazami szacunku,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860" w:line="240" w:lineRule="auto"/>
        <w:ind w:left="0" w:right="0" w:firstLine="0"/>
        <w:jc w:val="left"/>
      </w:pPr>
      <w:r>
        <w:rPr>
          <w:rStyle w:val="CharStyle10"/>
        </w:rPr>
        <w:t>Dodaj załącznik: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Oświadczenia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0"/>
        </w:rPr>
        <w:t>Oświadczam, że zapoznałem(-am) się z informacją o przetwarzaniu danych osobowych.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860" w:line="240" w:lineRule="auto"/>
        <w:ind w:left="0" w:right="0" w:firstLine="0"/>
        <w:jc w:val="left"/>
      </w:pPr>
      <w:r>
        <w:rPr>
          <w:rStyle w:val="CharStyle10"/>
        </w:rPr>
        <w:t>Potwierdzam, że nie jesteś robotem.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10"/>
        </w:rPr>
        <w:t>Ankieta z 14/07/2026 18:43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center"/>
      </w:pPr>
      <w:r>
        <w:rPr>
          <w:rStyle w:val="CharStyle12"/>
        </w:rPr>
        <w:t xml:space="preserve">Copyright by </w:t>
      </w:r>
      <w:r>
        <w:rPr>
          <w:rStyle w:val="CharStyle12"/>
          <w:color w:val="0000FF"/>
        </w:rPr>
        <w:t>webankieta.pl</w:t>
      </w:r>
      <w:r>
        <w:rPr>
          <w:rStyle w:val="CharStyle12"/>
          <w:color w:val="0000FF"/>
        </w:rPr>
        <w:t xml:space="preserve"> </w:t>
      </w:r>
      <w:r>
        <w:rPr>
          <w:rStyle w:val="CharStyle12"/>
        </w:rPr>
        <w:t>2006-2026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12"/>
        </w:rPr>
        <w:t>Wiadomość generowana automatycznie, prosimy nie odpowiadać.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rStyle w:val="CharStyle12"/>
        </w:rPr>
        <w:t>Wiadomość wysłana przez firmę Get Feedback Racino, Sadowski, Skowronek spółka jawna z siedzibą w Warszawie, ul. Solec 81B lok. 73A, kod pocztowy</w:t>
        <w:br/>
        <w:t>00-382. NIP: 701-035-65-70, REGON: 146346544. Spółka wpisana do Rejestru Przedsiębiorstw prowadzonego przez Sąd Rejonowy dla m. st. Warszawy w</w:t>
        <w:br/>
        <w:t>Warszawie, XII Wydział Gospodarczy Krajowego Rejestru Sądowego pod numerem KRS:0000432184.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695" w:right="986" w:bottom="979" w:left="897" w:header="267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3816985</wp:posOffset>
              </wp:positionH>
              <wp:positionV relativeFrom="page">
                <wp:posOffset>10138410</wp:posOffset>
              </wp:positionV>
              <wp:extent cx="24130" cy="6985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4130" cy="698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3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0.55000000000001pt;margin-top:798.30000000000007pt;width:1.9000000000000001pt;height:5.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3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Header or footer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Body text (3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Heading #1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10">
    <w:name w:val="Body text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2">
    <w:name w:val="Body text (2)_"/>
    <w:basedOn w:val="DefaultParagraphFont"/>
    <w:link w:val="Style11"/>
    <w:rPr>
      <w:b w:val="0"/>
      <w:bCs w:val="0"/>
      <w:i w:val="0"/>
      <w:iCs w:val="0"/>
      <w:smallCaps w:val="0"/>
      <w:strike w:val="0"/>
      <w:color w:val="97B1BD"/>
      <w:sz w:val="13"/>
      <w:szCs w:val="13"/>
      <w:u w:val="none"/>
    </w:rPr>
  </w:style>
  <w:style w:type="paragraph" w:customStyle="1" w:styleId="Style2">
    <w:name w:val="Header or footer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auto"/>
      <w:ind w:left="99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Heading #1"/>
    <w:basedOn w:val="Normal"/>
    <w:link w:val="CharStyle8"/>
    <w:pPr>
      <w:widowControl w:val="0"/>
      <w:shd w:val="clear" w:color="auto" w:fill="auto"/>
      <w:spacing w:after="560" w:line="257" w:lineRule="auto"/>
      <w:jc w:val="center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styleId="Style9">
    <w:name w:val="Body text"/>
    <w:basedOn w:val="Normal"/>
    <w:link w:val="CharStyle10"/>
    <w:qFormat/>
    <w:pPr>
      <w:widowControl w:val="0"/>
      <w:shd w:val="clear" w:color="auto" w:fill="auto"/>
      <w:spacing w:after="280" w:line="254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1">
    <w:name w:val="Body text (2)"/>
    <w:basedOn w:val="Normal"/>
    <w:link w:val="CharStyle12"/>
    <w:pPr>
      <w:widowControl w:val="0"/>
      <w:shd w:val="clear" w:color="auto" w:fill="auto"/>
      <w:spacing w:after="280" w:line="302" w:lineRule="auto"/>
      <w:jc w:val="center"/>
    </w:pPr>
    <w:rPr>
      <w:b w:val="0"/>
      <w:bCs w:val="0"/>
      <w:i w:val="0"/>
      <w:iCs w:val="0"/>
      <w:smallCaps w:val="0"/>
      <w:strike w:val="0"/>
      <w:color w:val="97B1BD"/>
      <w:sz w:val="13"/>
      <w:szCs w:val="13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Microsoft Outlook - Styl noty</dc:title>
  <dc:subject/>
  <dc:creator>Grzegorz Bogucki</dc:creator>
  <cp:keywords/>
</cp:coreProperties>
</file>