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B60C" w14:textId="77777777" w:rsidR="009E1EC2" w:rsidRPr="00A95C6B" w:rsidRDefault="009E1EC2" w:rsidP="007E3822">
      <w:pPr>
        <w:pStyle w:val="Nagwek6"/>
        <w:rPr>
          <w:sz w:val="28"/>
          <w:szCs w:val="22"/>
        </w:rPr>
      </w:pPr>
      <w:r w:rsidRPr="00A95C6B">
        <w:rPr>
          <w:sz w:val="28"/>
          <w:szCs w:val="22"/>
        </w:rPr>
        <w:t>DZIAŁ 855 – RODZINA</w:t>
      </w:r>
    </w:p>
    <w:p w14:paraId="47CA9585" w14:textId="77777777" w:rsidR="009E1EC2" w:rsidRPr="00BB482A" w:rsidRDefault="009E1EC2" w:rsidP="009E1EC2">
      <w:pPr>
        <w:pStyle w:val="Tekstpodstawowy"/>
        <w:rPr>
          <w:color w:val="auto"/>
          <w:szCs w:val="24"/>
        </w:rPr>
      </w:pPr>
    </w:p>
    <w:p w14:paraId="74721A34" w14:textId="0524D0B6" w:rsidR="009E1EC2" w:rsidRPr="00D76114" w:rsidRDefault="009E1EC2" w:rsidP="009E1EC2">
      <w:pPr>
        <w:spacing w:line="360" w:lineRule="auto"/>
        <w:jc w:val="both"/>
      </w:pPr>
      <w:r w:rsidRPr="00D76114">
        <w:t xml:space="preserve">Dochody </w:t>
      </w:r>
      <w:r w:rsidR="0037686F">
        <w:t xml:space="preserve">zaplanowane </w:t>
      </w:r>
      <w:r w:rsidRPr="00D76114">
        <w:t>w</w:t>
      </w:r>
      <w:r w:rsidR="00EE258F">
        <w:t xml:space="preserve"> tym</w:t>
      </w:r>
      <w:r w:rsidRPr="00D76114">
        <w:t xml:space="preserve"> dziale za 2024</w:t>
      </w:r>
      <w:r w:rsidR="00D548F8">
        <w:t xml:space="preserve"> </w:t>
      </w:r>
      <w:r w:rsidRPr="00D76114">
        <w:t xml:space="preserve">r. </w:t>
      </w:r>
      <w:r w:rsidR="008E352B">
        <w:t xml:space="preserve">w wysokości 34.748 tys. zł </w:t>
      </w:r>
      <w:r w:rsidRPr="00D76114">
        <w:t xml:space="preserve">zrealizowano </w:t>
      </w:r>
      <w:r w:rsidR="0037686F">
        <w:br/>
      </w:r>
      <w:r w:rsidRPr="00D76114">
        <w:t xml:space="preserve">w kwocie </w:t>
      </w:r>
      <w:r w:rsidR="008E352B">
        <w:t>41.125</w:t>
      </w:r>
      <w:r w:rsidRPr="00D76114">
        <w:t xml:space="preserve"> tys. zł, co stanowi 1</w:t>
      </w:r>
      <w:r w:rsidR="008E352B">
        <w:t>18,4</w:t>
      </w:r>
      <w:r w:rsidRPr="00D76114">
        <w:t>% planu.</w:t>
      </w:r>
    </w:p>
    <w:p w14:paraId="5864335A" w14:textId="77777777" w:rsidR="009E1EC2" w:rsidRPr="00D76114" w:rsidRDefault="009E1EC2" w:rsidP="009E1EC2">
      <w:pPr>
        <w:spacing w:line="360" w:lineRule="auto"/>
        <w:jc w:val="both"/>
      </w:pPr>
    </w:p>
    <w:p w14:paraId="5F9ECF80" w14:textId="0AAEC612" w:rsidR="009E1EC2" w:rsidRPr="00D76114" w:rsidRDefault="009E1EC2" w:rsidP="009E1EC2">
      <w:pPr>
        <w:pStyle w:val="Tekstpodstawowy"/>
        <w:rPr>
          <w:color w:val="auto"/>
        </w:rPr>
      </w:pPr>
      <w:r w:rsidRPr="00D76114">
        <w:rPr>
          <w:color w:val="auto"/>
        </w:rPr>
        <w:t>Na wykonanie dochodów pobieranych przez jednostki samorządu terytorialnego z zakresu administracji rządowej złożyły się wpływy z tytułu:</w:t>
      </w:r>
    </w:p>
    <w:p w14:paraId="17B1848E" w14:textId="77777777" w:rsidR="00D20AEF" w:rsidRDefault="00CF355F" w:rsidP="009E1EC2">
      <w:pPr>
        <w:pStyle w:val="Tekstpodstawowy"/>
        <w:numPr>
          <w:ilvl w:val="0"/>
          <w:numId w:val="5"/>
        </w:numPr>
        <w:rPr>
          <w:color w:val="auto"/>
        </w:rPr>
      </w:pPr>
      <w:r w:rsidRPr="00D76114">
        <w:rPr>
          <w:color w:val="auto"/>
        </w:rPr>
        <w:t>zwrotu przez dłużników alimentacyjnych wypłaconych świadczeń z funduszu alimentacyjnego osobom uprawnionym na podstawie zapisów art. 27 ustawy z dnia               7 września 2007 r. o pomocy osobom uprawnionym do alimentów – 41.112 tys. zł, co stanowi 118,4% planu wynoszącego 34.733 tys. zł</w:t>
      </w:r>
      <w:r w:rsidR="00D20AEF">
        <w:rPr>
          <w:color w:val="auto"/>
        </w:rPr>
        <w:t>. Wyższe od planowanego wykonanie dochodów z tytułu wynika z:</w:t>
      </w:r>
    </w:p>
    <w:p w14:paraId="2F82034D" w14:textId="78CBF5CB" w:rsidR="00D20AEF" w:rsidRDefault="00D20AEF" w:rsidP="00D20AEF">
      <w:pPr>
        <w:pStyle w:val="Tekstpodstawowy"/>
        <w:numPr>
          <w:ilvl w:val="1"/>
          <w:numId w:val="5"/>
        </w:numPr>
        <w:rPr>
          <w:color w:val="auto"/>
        </w:rPr>
      </w:pPr>
      <w:r w:rsidRPr="00D20AEF">
        <w:rPr>
          <w:color w:val="auto"/>
        </w:rPr>
        <w:t xml:space="preserve">większej ściągalności zadłużeń na podstawie art. 30 ust. 6 ustawy </w:t>
      </w:r>
      <w:r>
        <w:rPr>
          <w:color w:val="auto"/>
        </w:rPr>
        <w:br/>
      </w:r>
      <w:r w:rsidRPr="00D20AEF">
        <w:rPr>
          <w:color w:val="auto"/>
        </w:rPr>
        <w:t>o świadczeniach</w:t>
      </w:r>
      <w:r>
        <w:rPr>
          <w:color w:val="auto"/>
        </w:rPr>
        <w:t xml:space="preserve"> </w:t>
      </w:r>
      <w:r w:rsidRPr="00D20AEF">
        <w:rPr>
          <w:color w:val="auto"/>
        </w:rPr>
        <w:t>rodzinnych mówiącego o możliwości potrącenia kwot nienależnie pobranych świadczeń wraz</w:t>
      </w:r>
      <w:r w:rsidRPr="00D20AEF">
        <w:rPr>
          <w:color w:val="auto"/>
        </w:rPr>
        <w:t xml:space="preserve"> </w:t>
      </w:r>
      <w:r w:rsidRPr="00D20AEF">
        <w:rPr>
          <w:color w:val="auto"/>
        </w:rPr>
        <w:t>z odsetkami z wypłacanych świadczeń rodzinnych (o których mowa w ustawie z dnia</w:t>
      </w:r>
      <w:r w:rsidRPr="00D20AEF">
        <w:rPr>
          <w:color w:val="auto"/>
        </w:rPr>
        <w:t xml:space="preserve"> </w:t>
      </w:r>
      <w:r w:rsidRPr="00D20AEF">
        <w:rPr>
          <w:color w:val="auto"/>
        </w:rPr>
        <w:t xml:space="preserve">28 listopada 2003 r. </w:t>
      </w:r>
      <w:r>
        <w:rPr>
          <w:color w:val="auto"/>
        </w:rPr>
        <w:br/>
      </w:r>
      <w:r w:rsidRPr="00D20AEF">
        <w:rPr>
          <w:color w:val="auto"/>
        </w:rPr>
        <w:t>o świadczeniach rodzinnych) oraz wypłacanych zasiłków dla opiekunów</w:t>
      </w:r>
      <w:r w:rsidRPr="00D20AEF">
        <w:rPr>
          <w:color w:val="auto"/>
        </w:rPr>
        <w:t xml:space="preserve"> </w:t>
      </w:r>
      <w:r>
        <w:rPr>
          <w:color w:val="auto"/>
        </w:rPr>
        <w:br/>
      </w:r>
      <w:r w:rsidRPr="00D20AEF">
        <w:rPr>
          <w:color w:val="auto"/>
        </w:rPr>
        <w:t>(o których mowa w ustawie z dnia 4 kwietnia 2014 r. o ustaleniu i wypłacie zasiłków dla</w:t>
      </w:r>
      <w:r w:rsidRPr="00D20AEF">
        <w:rPr>
          <w:color w:val="auto"/>
        </w:rPr>
        <w:t xml:space="preserve"> </w:t>
      </w:r>
      <w:r w:rsidRPr="00D20AEF">
        <w:rPr>
          <w:color w:val="auto"/>
        </w:rPr>
        <w:t>opiekunów)</w:t>
      </w:r>
      <w:r>
        <w:rPr>
          <w:color w:val="auto"/>
        </w:rPr>
        <w:t>;</w:t>
      </w:r>
    </w:p>
    <w:p w14:paraId="01B944AC" w14:textId="6DF76A81" w:rsidR="00D20AEF" w:rsidRPr="00D20AEF" w:rsidRDefault="00D20AEF" w:rsidP="00D20AEF">
      <w:pPr>
        <w:pStyle w:val="Tekstpodstawowy"/>
        <w:numPr>
          <w:ilvl w:val="1"/>
          <w:numId w:val="5"/>
        </w:numPr>
        <w:rPr>
          <w:color w:val="auto"/>
        </w:rPr>
      </w:pPr>
      <w:r w:rsidRPr="00D20AEF">
        <w:rPr>
          <w:color w:val="auto"/>
        </w:rPr>
        <w:t>dokonywania wpłat przez dłużników alimentacyjnych w większej wysokości</w:t>
      </w:r>
      <w:r>
        <w:rPr>
          <w:color w:val="auto"/>
        </w:rPr>
        <w:t>. S</w:t>
      </w:r>
      <w:r w:rsidRPr="00D20AEF">
        <w:rPr>
          <w:color w:val="auto"/>
        </w:rPr>
        <w:t>powodowane</w:t>
      </w:r>
      <w:r>
        <w:rPr>
          <w:color w:val="auto"/>
        </w:rPr>
        <w:t xml:space="preserve"> jest to</w:t>
      </w:r>
      <w:r w:rsidRPr="00D20AEF">
        <w:rPr>
          <w:color w:val="auto"/>
        </w:rPr>
        <w:t xml:space="preserve"> podjęciem zatrudnienia, wyższymi zarobkami, chęcią utraty statusu dłużnika,</w:t>
      </w:r>
      <w:r>
        <w:rPr>
          <w:color w:val="auto"/>
        </w:rPr>
        <w:t xml:space="preserve"> </w:t>
      </w:r>
      <w:r w:rsidRPr="00D20AEF">
        <w:rPr>
          <w:color w:val="auto"/>
        </w:rPr>
        <w:t>natomiast możliwość odroczenia terminu płatności lub rozłożenie na raty znacznie ułatwia</w:t>
      </w:r>
      <w:r>
        <w:rPr>
          <w:color w:val="auto"/>
        </w:rPr>
        <w:t xml:space="preserve"> </w:t>
      </w:r>
      <w:r w:rsidRPr="00D20AEF">
        <w:rPr>
          <w:color w:val="auto"/>
        </w:rPr>
        <w:t>spłatę zobowiązań</w:t>
      </w:r>
      <w:r>
        <w:rPr>
          <w:color w:val="auto"/>
        </w:rPr>
        <w:t>;</w:t>
      </w:r>
    </w:p>
    <w:p w14:paraId="7625109D" w14:textId="58C66497" w:rsidR="009E1EC2" w:rsidRPr="00D20AEF" w:rsidRDefault="00D20AEF" w:rsidP="00D20AEF">
      <w:pPr>
        <w:pStyle w:val="Tekstpodstawowy"/>
        <w:numPr>
          <w:ilvl w:val="1"/>
          <w:numId w:val="5"/>
        </w:numPr>
        <w:rPr>
          <w:color w:val="auto"/>
        </w:rPr>
      </w:pPr>
      <w:r w:rsidRPr="00D20AEF">
        <w:rPr>
          <w:color w:val="auto"/>
        </w:rPr>
        <w:t>dalszych skutków zlikwidowania w 2016 roku administracyjnego trybu ściągania</w:t>
      </w:r>
      <w:r>
        <w:rPr>
          <w:color w:val="auto"/>
        </w:rPr>
        <w:t xml:space="preserve"> a</w:t>
      </w:r>
      <w:r w:rsidRPr="00D20AEF">
        <w:rPr>
          <w:color w:val="auto"/>
        </w:rPr>
        <w:t>limentów, który znacznie wydłużał proces odzyskiwania zadłużenia i zastąpienie go jedynie</w:t>
      </w:r>
      <w:r>
        <w:rPr>
          <w:color w:val="auto"/>
        </w:rPr>
        <w:t xml:space="preserve"> </w:t>
      </w:r>
      <w:r w:rsidRPr="00D20AEF">
        <w:rPr>
          <w:color w:val="auto"/>
        </w:rPr>
        <w:t>egzekucją sądową. Ponadto ściągane przez komornika sądowego kwoty zadłużenia</w:t>
      </w:r>
      <w:r>
        <w:rPr>
          <w:color w:val="auto"/>
        </w:rPr>
        <w:t xml:space="preserve"> </w:t>
      </w:r>
      <w:r w:rsidRPr="00D20AEF">
        <w:rPr>
          <w:color w:val="auto"/>
        </w:rPr>
        <w:t>alimentacyjnego są znacznie wyższe od kwot odzyskanych przez administracyjny organ</w:t>
      </w:r>
      <w:r>
        <w:rPr>
          <w:color w:val="auto"/>
        </w:rPr>
        <w:t xml:space="preserve"> </w:t>
      </w:r>
      <w:r w:rsidRPr="00D20AEF">
        <w:rPr>
          <w:color w:val="auto"/>
        </w:rPr>
        <w:t>egzekucyjny</w:t>
      </w:r>
      <w:r w:rsidR="00CF355F" w:rsidRPr="00D20AEF">
        <w:rPr>
          <w:color w:val="auto"/>
        </w:rPr>
        <w:t>;</w:t>
      </w:r>
    </w:p>
    <w:p w14:paraId="3E9557B7" w14:textId="10B97A1F" w:rsidR="00CF355F" w:rsidRPr="00D76114" w:rsidRDefault="00CF355F" w:rsidP="009E1EC2">
      <w:pPr>
        <w:pStyle w:val="Tekstpodstawowy"/>
        <w:numPr>
          <w:ilvl w:val="0"/>
          <w:numId w:val="5"/>
        </w:numPr>
        <w:rPr>
          <w:color w:val="auto"/>
        </w:rPr>
      </w:pPr>
      <w:r w:rsidRPr="00D76114">
        <w:rPr>
          <w:color w:val="auto"/>
        </w:rPr>
        <w:t>wydania duplikatu oraz drugiej Karty Dużej Rodziny – 13 tys. zł, co stanowi 86,7% planu wynoszącego 15 tys. zł.</w:t>
      </w:r>
      <w:r w:rsidR="00D20AEF">
        <w:rPr>
          <w:color w:val="auto"/>
        </w:rPr>
        <w:t xml:space="preserve"> Niższe od planowanego wykonanie dochodu wynika </w:t>
      </w:r>
      <w:r w:rsidR="00D20AEF">
        <w:rPr>
          <w:color w:val="auto"/>
        </w:rPr>
        <w:br/>
        <w:t>z trudności w zaplanowaniu liczby wniosków o wydanie duplikatu oraz drugiej Karty Dużej Rodziny</w:t>
      </w:r>
    </w:p>
    <w:p w14:paraId="516632B9" w14:textId="77777777" w:rsidR="00D95902" w:rsidRDefault="00D95902" w:rsidP="00455196">
      <w:pPr>
        <w:pStyle w:val="Tekstpodstawowy"/>
        <w:rPr>
          <w:color w:val="auto"/>
        </w:rPr>
      </w:pPr>
    </w:p>
    <w:p w14:paraId="39D694BF" w14:textId="766383D5" w:rsidR="00BE69F3" w:rsidRDefault="00CF355F" w:rsidP="00BE69F3">
      <w:pPr>
        <w:pStyle w:val="Tekstpodstawowy"/>
        <w:rPr>
          <w:color w:val="auto"/>
        </w:rPr>
      </w:pPr>
      <w:r w:rsidRPr="00D76114">
        <w:rPr>
          <w:color w:val="auto"/>
        </w:rPr>
        <w:lastRenderedPageBreak/>
        <w:t xml:space="preserve">Dochody nieplanowane w wysokości </w:t>
      </w:r>
      <w:r w:rsidR="00455196" w:rsidRPr="00D76114">
        <w:rPr>
          <w:color w:val="auto"/>
        </w:rPr>
        <w:t>9.1</w:t>
      </w:r>
      <w:r w:rsidR="00D95902">
        <w:rPr>
          <w:color w:val="auto"/>
        </w:rPr>
        <w:t>40</w:t>
      </w:r>
      <w:r w:rsidR="00455196" w:rsidRPr="00D76114">
        <w:rPr>
          <w:color w:val="auto"/>
        </w:rPr>
        <w:t xml:space="preserve"> tys. zł</w:t>
      </w:r>
      <w:r w:rsidRPr="00D76114">
        <w:rPr>
          <w:color w:val="auto"/>
        </w:rPr>
        <w:t xml:space="preserve"> pochodziły </w:t>
      </w:r>
      <w:r w:rsidR="00BE69F3">
        <w:rPr>
          <w:color w:val="auto"/>
        </w:rPr>
        <w:t>przede wszystkim</w:t>
      </w:r>
      <w:r w:rsidRPr="00D76114">
        <w:rPr>
          <w:color w:val="auto"/>
        </w:rPr>
        <w:t xml:space="preserve"> </w:t>
      </w:r>
      <w:r w:rsidR="00455196" w:rsidRPr="00D76114">
        <w:rPr>
          <w:color w:val="auto"/>
        </w:rPr>
        <w:t>z</w:t>
      </w:r>
      <w:r w:rsidR="00BE69F3">
        <w:rPr>
          <w:color w:val="auto"/>
        </w:rPr>
        <w:t xml:space="preserve">e </w:t>
      </w:r>
      <w:r w:rsidR="00455196" w:rsidRPr="00D76114">
        <w:rPr>
          <w:color w:val="auto"/>
        </w:rPr>
        <w:t>zwrotów dokonanych przez jednostki samorządu terytorialnego z tytułu dotacji niewykorzystanych bądź pobranych  w nadmiernej wysokości wraz z odsetkami</w:t>
      </w:r>
      <w:r w:rsidR="00E65565">
        <w:rPr>
          <w:color w:val="auto"/>
        </w:rPr>
        <w:t xml:space="preserve"> głównie na:</w:t>
      </w:r>
      <w:r w:rsidR="00BE69F3">
        <w:rPr>
          <w:color w:val="auto"/>
        </w:rPr>
        <w:t xml:space="preserve"> </w:t>
      </w:r>
    </w:p>
    <w:p w14:paraId="68E824CD" w14:textId="6965A0A8" w:rsidR="00BE69F3" w:rsidRDefault="00BE69F3" w:rsidP="00BE69F3">
      <w:pPr>
        <w:pStyle w:val="Tekstpodstawowy"/>
        <w:numPr>
          <w:ilvl w:val="0"/>
          <w:numId w:val="8"/>
        </w:numPr>
        <w:rPr>
          <w:color w:val="auto"/>
        </w:rPr>
      </w:pPr>
      <w:r>
        <w:rPr>
          <w:color w:val="auto"/>
        </w:rPr>
        <w:t>świadcze</w:t>
      </w:r>
      <w:r w:rsidR="00E65565">
        <w:rPr>
          <w:color w:val="auto"/>
        </w:rPr>
        <w:t>nie</w:t>
      </w:r>
      <w:r>
        <w:rPr>
          <w:color w:val="auto"/>
        </w:rPr>
        <w:t xml:space="preserve"> wychowawcz</w:t>
      </w:r>
      <w:r w:rsidR="00E65565">
        <w:rPr>
          <w:color w:val="auto"/>
        </w:rPr>
        <w:t>e</w:t>
      </w:r>
      <w:r>
        <w:rPr>
          <w:color w:val="auto"/>
        </w:rPr>
        <w:t xml:space="preserve"> – 1.459 tys. zł ; </w:t>
      </w:r>
    </w:p>
    <w:p w14:paraId="40A0746F" w14:textId="2A9BEB15" w:rsidR="00BE69F3" w:rsidRDefault="00BE69F3" w:rsidP="00BE69F3">
      <w:pPr>
        <w:pStyle w:val="Tekstpodstawowy"/>
        <w:numPr>
          <w:ilvl w:val="0"/>
          <w:numId w:val="8"/>
        </w:numPr>
        <w:rPr>
          <w:color w:val="auto"/>
        </w:rPr>
      </w:pPr>
      <w:r>
        <w:rPr>
          <w:color w:val="auto"/>
        </w:rPr>
        <w:t>świadcze</w:t>
      </w:r>
      <w:r w:rsidR="00E65565">
        <w:rPr>
          <w:color w:val="auto"/>
        </w:rPr>
        <w:t>nie</w:t>
      </w:r>
      <w:r>
        <w:rPr>
          <w:color w:val="auto"/>
        </w:rPr>
        <w:t xml:space="preserve"> rodzin</w:t>
      </w:r>
      <w:r w:rsidR="00E65565">
        <w:rPr>
          <w:color w:val="auto"/>
        </w:rPr>
        <w:t>ne</w:t>
      </w:r>
      <w:r>
        <w:rPr>
          <w:color w:val="auto"/>
        </w:rPr>
        <w:t xml:space="preserve"> – </w:t>
      </w:r>
      <w:r w:rsidR="00B81C98">
        <w:rPr>
          <w:color w:val="auto"/>
        </w:rPr>
        <w:t>7.215</w:t>
      </w:r>
      <w:r>
        <w:rPr>
          <w:color w:val="auto"/>
        </w:rPr>
        <w:t xml:space="preserve"> tys. zł;</w:t>
      </w:r>
    </w:p>
    <w:p w14:paraId="019AF1CD" w14:textId="3A965A33" w:rsidR="00BE69F3" w:rsidRPr="00D76114" w:rsidRDefault="00BE69F3" w:rsidP="00BE69F3">
      <w:pPr>
        <w:pStyle w:val="Tekstpodstawowy"/>
        <w:numPr>
          <w:ilvl w:val="0"/>
          <w:numId w:val="8"/>
        </w:numPr>
        <w:rPr>
          <w:color w:val="auto"/>
        </w:rPr>
      </w:pPr>
      <w:r>
        <w:rPr>
          <w:color w:val="auto"/>
        </w:rPr>
        <w:t xml:space="preserve">system opieki nad dziećmi do lat 3 – </w:t>
      </w:r>
      <w:r w:rsidR="00B81C98">
        <w:rPr>
          <w:color w:val="auto"/>
        </w:rPr>
        <w:t>440</w:t>
      </w:r>
      <w:r>
        <w:rPr>
          <w:color w:val="auto"/>
        </w:rPr>
        <w:t xml:space="preserve"> tys. zł</w:t>
      </w:r>
      <w:r w:rsidR="00D548F8">
        <w:rPr>
          <w:color w:val="auto"/>
        </w:rPr>
        <w:t>.</w:t>
      </w:r>
    </w:p>
    <w:p w14:paraId="2804AFB3" w14:textId="77777777" w:rsidR="00D95902" w:rsidRDefault="00D95902" w:rsidP="007B7BB5">
      <w:pPr>
        <w:spacing w:after="120" w:line="360" w:lineRule="auto"/>
        <w:jc w:val="both"/>
        <w:rPr>
          <w:bCs/>
          <w:szCs w:val="26"/>
        </w:rPr>
      </w:pPr>
    </w:p>
    <w:p w14:paraId="176BC82D" w14:textId="754DF5B6" w:rsidR="007B7BB5" w:rsidRPr="003324D2" w:rsidRDefault="00455196" w:rsidP="007B7BB5">
      <w:pPr>
        <w:spacing w:after="120" w:line="360" w:lineRule="auto"/>
        <w:jc w:val="both"/>
      </w:pPr>
      <w:r w:rsidRPr="00455196">
        <w:rPr>
          <w:bCs/>
          <w:szCs w:val="26"/>
        </w:rPr>
        <w:t xml:space="preserve">Należności pozostałe do zapłaty na koniec 2024 </w:t>
      </w:r>
      <w:r w:rsidRPr="00D76114">
        <w:rPr>
          <w:bCs/>
        </w:rPr>
        <w:t xml:space="preserve">r. wynosiły </w:t>
      </w:r>
      <w:r w:rsidR="007B7BB5" w:rsidRPr="00D76114">
        <w:rPr>
          <w:bCs/>
        </w:rPr>
        <w:t xml:space="preserve">1.332.851 zł i wzrosły o kwotę 125.169 tys. zł w stosunku do 2023 r. </w:t>
      </w:r>
      <w:r w:rsidR="00EE258F">
        <w:t xml:space="preserve">i dotyczyły głównie </w:t>
      </w:r>
      <w:r w:rsidR="00D548F8">
        <w:t>zaległości</w:t>
      </w:r>
      <w:r w:rsidR="007B7BB5" w:rsidRPr="00D76114">
        <w:t xml:space="preserve"> od dłużników alimentacyjnych.</w:t>
      </w:r>
      <w:r w:rsidR="00D95902">
        <w:t xml:space="preserve"> </w:t>
      </w:r>
      <w:r w:rsidR="007B7BB5" w:rsidRPr="00D76114">
        <w:t>Przyczyną wzrostu należności w roku 2024 w stosunku do roku 2023 była nieskuteczna windykacja</w:t>
      </w:r>
      <w:r w:rsidR="00D76114" w:rsidRPr="00D76114">
        <w:t>, kształtująca się na poziomie ok. 3%</w:t>
      </w:r>
      <w:r w:rsidR="007B7BB5" w:rsidRPr="00D76114">
        <w:t>. Dłużnikami alimentacyjnymi są zwykle osoby bez stałego miejsca zamieszkania, przebywające za granicą, bezrobotne, bądź inne nie będące w stanie wykonywać swoich zobowiązań alimentacyjnych, co znacząco utrudnia windykację.</w:t>
      </w:r>
      <w:r w:rsidR="007B7BB5" w:rsidRPr="003324D2">
        <w:t xml:space="preserve">              </w:t>
      </w:r>
    </w:p>
    <w:p w14:paraId="5B09E497" w14:textId="3494D131" w:rsidR="00455196" w:rsidRPr="00455196" w:rsidRDefault="00455196" w:rsidP="00455196">
      <w:pPr>
        <w:pStyle w:val="Tekstpodstawowy"/>
        <w:rPr>
          <w:bCs/>
          <w:color w:val="auto"/>
        </w:rPr>
      </w:pPr>
    </w:p>
    <w:p w14:paraId="7D9B48C6" w14:textId="77777777" w:rsidR="00455196" w:rsidRDefault="00455196" w:rsidP="00455196">
      <w:pPr>
        <w:pStyle w:val="Tekstpodstawowy"/>
        <w:rPr>
          <w:color w:val="auto"/>
        </w:rPr>
      </w:pPr>
    </w:p>
    <w:p w14:paraId="218624C2" w14:textId="77777777" w:rsidR="009E1EC2" w:rsidRDefault="009E1EC2" w:rsidP="009E1EC2">
      <w:pPr>
        <w:pStyle w:val="Tekstpodstawowy"/>
        <w:rPr>
          <w:color w:val="auto"/>
        </w:rPr>
      </w:pPr>
    </w:p>
    <w:p w14:paraId="21A96F65" w14:textId="77777777" w:rsidR="00566838" w:rsidRDefault="00566838"/>
    <w:sectPr w:rsidR="00566838" w:rsidSect="009E1EC2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AC7DE" w14:textId="77777777" w:rsidR="006F358E" w:rsidRDefault="006F358E">
      <w:r>
        <w:separator/>
      </w:r>
    </w:p>
  </w:endnote>
  <w:endnote w:type="continuationSeparator" w:id="0">
    <w:p w14:paraId="4090A4A2" w14:textId="77777777" w:rsidR="006F358E" w:rsidRDefault="006F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6A9E6" w14:textId="77777777" w:rsidR="006F358E" w:rsidRDefault="006F358E">
      <w:r>
        <w:separator/>
      </w:r>
    </w:p>
  </w:footnote>
  <w:footnote w:type="continuationSeparator" w:id="0">
    <w:p w14:paraId="2CD49B37" w14:textId="77777777" w:rsidR="006F358E" w:rsidRDefault="006F3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0A75" w14:textId="77777777" w:rsidR="00333423" w:rsidRDefault="00333423">
    <w:pPr>
      <w:pStyle w:val="Nagwek"/>
      <w:rPr>
        <w:sz w:val="20"/>
        <w:szCs w:val="20"/>
      </w:rPr>
    </w:pPr>
  </w:p>
  <w:p w14:paraId="1E721607" w14:textId="77777777" w:rsidR="00333423" w:rsidRPr="006B5589" w:rsidRDefault="00000000">
    <w:pPr>
      <w:pStyle w:val="Nagwek"/>
      <w:rPr>
        <w:sz w:val="20"/>
        <w:szCs w:val="20"/>
      </w:rPr>
    </w:pPr>
    <w:r w:rsidRPr="006B5589">
      <w:rPr>
        <w:sz w:val="20"/>
        <w:szCs w:val="20"/>
      </w:rPr>
      <w:t>cz. 85/22 – województwo pomorskie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1615"/>
    <w:multiLevelType w:val="hybridMultilevel"/>
    <w:tmpl w:val="E8E08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6E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34C53"/>
    <w:multiLevelType w:val="hybridMultilevel"/>
    <w:tmpl w:val="C336A5A2"/>
    <w:lvl w:ilvl="0" w:tplc="4516E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16DBE"/>
    <w:multiLevelType w:val="hybridMultilevel"/>
    <w:tmpl w:val="DCD0BD44"/>
    <w:lvl w:ilvl="0" w:tplc="4516E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371AD"/>
    <w:multiLevelType w:val="hybridMultilevel"/>
    <w:tmpl w:val="8F96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A4B54"/>
    <w:multiLevelType w:val="hybridMultilevel"/>
    <w:tmpl w:val="37DA1F50"/>
    <w:lvl w:ilvl="0" w:tplc="DFF69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E37CF"/>
    <w:multiLevelType w:val="hybridMultilevel"/>
    <w:tmpl w:val="945634E0"/>
    <w:lvl w:ilvl="0" w:tplc="DFF69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8511A"/>
    <w:multiLevelType w:val="hybridMultilevel"/>
    <w:tmpl w:val="32FC5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665C1"/>
    <w:multiLevelType w:val="hybridMultilevel"/>
    <w:tmpl w:val="5BF899F4"/>
    <w:lvl w:ilvl="0" w:tplc="DFF69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618941">
    <w:abstractNumId w:val="7"/>
  </w:num>
  <w:num w:numId="2" w16cid:durableId="391123896">
    <w:abstractNumId w:val="4"/>
  </w:num>
  <w:num w:numId="3" w16cid:durableId="154106481">
    <w:abstractNumId w:val="5"/>
  </w:num>
  <w:num w:numId="4" w16cid:durableId="1339622731">
    <w:abstractNumId w:val="2"/>
  </w:num>
  <w:num w:numId="5" w16cid:durableId="927155524">
    <w:abstractNumId w:val="0"/>
  </w:num>
  <w:num w:numId="6" w16cid:durableId="874655437">
    <w:abstractNumId w:val="1"/>
  </w:num>
  <w:num w:numId="7" w16cid:durableId="2134589862">
    <w:abstractNumId w:val="3"/>
  </w:num>
  <w:num w:numId="8" w16cid:durableId="431559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C2"/>
    <w:rsid w:val="0010262C"/>
    <w:rsid w:val="002976D1"/>
    <w:rsid w:val="00333423"/>
    <w:rsid w:val="0037686F"/>
    <w:rsid w:val="0038055D"/>
    <w:rsid w:val="003A09C0"/>
    <w:rsid w:val="003A509E"/>
    <w:rsid w:val="003F55F4"/>
    <w:rsid w:val="00432390"/>
    <w:rsid w:val="00455196"/>
    <w:rsid w:val="004C5156"/>
    <w:rsid w:val="00536C16"/>
    <w:rsid w:val="00566838"/>
    <w:rsid w:val="00576DBD"/>
    <w:rsid w:val="005F05DC"/>
    <w:rsid w:val="006151DA"/>
    <w:rsid w:val="006B6C99"/>
    <w:rsid w:val="006F358E"/>
    <w:rsid w:val="00701B4C"/>
    <w:rsid w:val="007B7BB5"/>
    <w:rsid w:val="007E3822"/>
    <w:rsid w:val="00830636"/>
    <w:rsid w:val="00866463"/>
    <w:rsid w:val="008C51DA"/>
    <w:rsid w:val="008E352B"/>
    <w:rsid w:val="008F530E"/>
    <w:rsid w:val="009E1EC2"/>
    <w:rsid w:val="009E619A"/>
    <w:rsid w:val="00A27731"/>
    <w:rsid w:val="00A30489"/>
    <w:rsid w:val="00A95C6B"/>
    <w:rsid w:val="00B81C98"/>
    <w:rsid w:val="00B9796B"/>
    <w:rsid w:val="00BE69F3"/>
    <w:rsid w:val="00CF355F"/>
    <w:rsid w:val="00D20AEF"/>
    <w:rsid w:val="00D548F8"/>
    <w:rsid w:val="00D76114"/>
    <w:rsid w:val="00D832D8"/>
    <w:rsid w:val="00D95902"/>
    <w:rsid w:val="00E65565"/>
    <w:rsid w:val="00EE258F"/>
    <w:rsid w:val="00FD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5A03"/>
  <w15:chartTrackingRefBased/>
  <w15:docId w15:val="{EF23653C-F840-49A4-876F-F5B14D0D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E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1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1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1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1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1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7E3822"/>
    <w:pPr>
      <w:keepNext/>
      <w:keepLines/>
      <w:spacing w:before="40"/>
      <w:outlineLvl w:val="5"/>
    </w:pPr>
    <w:rPr>
      <w:rFonts w:eastAsiaTheme="majorEastAsia" w:cstheme="majorBidi"/>
      <w:b/>
      <w:iCs/>
      <w:sz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E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E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1E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1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1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1E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1E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1E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7E3822"/>
    <w:rPr>
      <w:rFonts w:ascii="Times New Roman" w:eastAsiaTheme="majorEastAsia" w:hAnsi="Times New Roman" w:cstheme="majorBidi"/>
      <w:b/>
      <w:iCs/>
      <w:kern w:val="0"/>
      <w:sz w:val="32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E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E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1E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1E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1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1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1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1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1E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1E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1E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1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1E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1EC2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9E1EC2"/>
    <w:pPr>
      <w:spacing w:line="360" w:lineRule="auto"/>
      <w:jc w:val="both"/>
    </w:pPr>
    <w:rPr>
      <w:color w:val="FF0000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9E1EC2"/>
    <w:rPr>
      <w:rFonts w:ascii="Times New Roman" w:eastAsia="Times New Roman" w:hAnsi="Times New Roman" w:cs="Times New Roman"/>
      <w:color w:val="FF0000"/>
      <w:kern w:val="0"/>
      <w:sz w:val="24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E1E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1EC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rsid w:val="009E1EC2"/>
    <w:pPr>
      <w:suppressAutoHyphens/>
      <w:spacing w:line="360" w:lineRule="auto"/>
      <w:jc w:val="both"/>
    </w:pPr>
    <w:rPr>
      <w:rFonts w:cs="Calibri"/>
      <w:szCs w:val="26"/>
      <w:lang w:eastAsia="ar-SA"/>
    </w:rPr>
  </w:style>
  <w:style w:type="paragraph" w:styleId="Tekstpodstawowy3">
    <w:name w:val="Body Text 3"/>
    <w:basedOn w:val="Normalny"/>
    <w:link w:val="Tekstpodstawowy3Znak"/>
    <w:rsid w:val="009E1EC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9E1EC2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Peciak</dc:creator>
  <cp:keywords/>
  <dc:description/>
  <cp:lastModifiedBy>Konrad Peciak</cp:lastModifiedBy>
  <cp:revision>12</cp:revision>
  <dcterms:created xsi:type="dcterms:W3CDTF">2025-03-28T07:49:00Z</dcterms:created>
  <dcterms:modified xsi:type="dcterms:W3CDTF">2025-04-17T09:18:00Z</dcterms:modified>
</cp:coreProperties>
</file>