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AB19D" w14:textId="77777777" w:rsidR="00AE4E75" w:rsidRDefault="00AE4E75" w:rsidP="00AE4E75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Załącznik nr 2 do SWZ</w:t>
      </w:r>
    </w:p>
    <w:p w14:paraId="378CB24C" w14:textId="77777777" w:rsidR="00AE4E75" w:rsidRPr="0049784D" w:rsidRDefault="00AE4E75" w:rsidP="00AE4E75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</w:p>
    <w:p w14:paraId="2BA0D46B" w14:textId="77777777" w:rsidR="00AE4E75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przedmiotowy</w:t>
      </w:r>
    </w:p>
    <w:p w14:paraId="5401D94C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2"/>
        <w:tblW w:w="9628" w:type="dxa"/>
        <w:tblLook w:val="04A0" w:firstRow="1" w:lastRow="0" w:firstColumn="1" w:lastColumn="0" w:noHBand="0" w:noVBand="1"/>
      </w:tblPr>
      <w:tblGrid>
        <w:gridCol w:w="603"/>
        <w:gridCol w:w="6622"/>
        <w:gridCol w:w="2403"/>
      </w:tblGrid>
      <w:tr w:rsidR="00AE4E75" w:rsidRPr="0049784D" w14:paraId="581AD8DC" w14:textId="77777777" w:rsidTr="00EC39A4">
        <w:tc>
          <w:tcPr>
            <w:tcW w:w="9628" w:type="dxa"/>
            <w:gridSpan w:val="3"/>
          </w:tcPr>
          <w:p w14:paraId="65FA1CF0" w14:textId="77777777" w:rsidR="00AE4E75" w:rsidRPr="0049784D" w:rsidRDefault="00AE4E75" w:rsidP="00EC39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497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rzedmiot zamówienia: </w:t>
            </w:r>
          </w:p>
          <w:p w14:paraId="47350558" w14:textId="77777777" w:rsidR="00AE4E75" w:rsidRPr="0049784D" w:rsidRDefault="00AE4E75" w:rsidP="00EC39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Spektrometr absorpcji atomowej z atomizacją elektrotermiczną (piec grafitowy) z możliwością atomizacji w płomieniu </w:t>
            </w:r>
          </w:p>
        </w:tc>
      </w:tr>
      <w:tr w:rsidR="00AE4E75" w:rsidRPr="0049784D" w14:paraId="1636E63B" w14:textId="77777777" w:rsidTr="00EC39A4">
        <w:tc>
          <w:tcPr>
            <w:tcW w:w="603" w:type="dxa"/>
            <w:vAlign w:val="center"/>
          </w:tcPr>
          <w:p w14:paraId="18FE4C3C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6622" w:type="dxa"/>
            <w:vAlign w:val="center"/>
          </w:tcPr>
          <w:p w14:paraId="6EBF6B3E" w14:textId="77777777" w:rsidR="00AE4E75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</w:t>
            </w:r>
          </w:p>
          <w:p w14:paraId="4082145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(określone parametry mają charakter obligatoryjny, nie spełnienie chociażby jednego parametru będzie skutkować odrzuceniem oferty)</w:t>
            </w:r>
          </w:p>
        </w:tc>
        <w:tc>
          <w:tcPr>
            <w:tcW w:w="2403" w:type="dxa"/>
          </w:tcPr>
          <w:p w14:paraId="59545B4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Oferowane </w:t>
            </w:r>
          </w:p>
          <w:p w14:paraId="143D7ED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sz w:val="24"/>
                <w:szCs w:val="24"/>
              </w:rPr>
              <w:t>TAK/NIE</w:t>
            </w:r>
          </w:p>
        </w:tc>
      </w:tr>
      <w:tr w:rsidR="00AE4E75" w:rsidRPr="0049784D" w14:paraId="2AC4D534" w14:textId="77777777" w:rsidTr="00EC39A4">
        <w:tc>
          <w:tcPr>
            <w:tcW w:w="603" w:type="dxa"/>
            <w:vAlign w:val="center"/>
          </w:tcPr>
          <w:p w14:paraId="532B11C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25" w:type="dxa"/>
            <w:gridSpan w:val="2"/>
            <w:vAlign w:val="center"/>
          </w:tcPr>
          <w:p w14:paraId="3656609A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Moduł do pracy techniką z atomizacją elektrotermiczną (kuweta grafitowa) </w:t>
            </w:r>
          </w:p>
        </w:tc>
      </w:tr>
      <w:tr w:rsidR="00AE4E75" w:rsidRPr="0049784D" w14:paraId="3F9F7854" w14:textId="77777777" w:rsidTr="00EC39A4">
        <w:tc>
          <w:tcPr>
            <w:tcW w:w="603" w:type="dxa"/>
            <w:vAlign w:val="center"/>
          </w:tcPr>
          <w:p w14:paraId="5C33FCE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22" w:type="dxa"/>
            <w:vAlign w:val="center"/>
          </w:tcPr>
          <w:p w14:paraId="517977D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System jednowiązkowy, wyposażony w kuwetę grafitową oraz programowalny autosampler </w:t>
            </w:r>
          </w:p>
        </w:tc>
        <w:tc>
          <w:tcPr>
            <w:tcW w:w="2403" w:type="dxa"/>
          </w:tcPr>
          <w:p w14:paraId="3BF84C9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F3FA5E5" w14:textId="77777777" w:rsidTr="00EC39A4">
        <w:tc>
          <w:tcPr>
            <w:tcW w:w="603" w:type="dxa"/>
            <w:vAlign w:val="center"/>
          </w:tcPr>
          <w:p w14:paraId="63D7F3D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22" w:type="dxa"/>
            <w:vAlign w:val="center"/>
          </w:tcPr>
          <w:p w14:paraId="6EB1C02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Zakres spektralny nie mniejszy niż 185-900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3425F54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596B450" w14:textId="77777777" w:rsidTr="00EC39A4">
        <w:tc>
          <w:tcPr>
            <w:tcW w:w="603" w:type="dxa"/>
            <w:vAlign w:val="center"/>
          </w:tcPr>
          <w:p w14:paraId="37CC1AC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22" w:type="dxa"/>
            <w:vAlign w:val="center"/>
          </w:tcPr>
          <w:p w14:paraId="2C2B52C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Monochromator o długości drogi optycznej nie mniej niż 25 cm</w:t>
            </w:r>
          </w:p>
        </w:tc>
        <w:tc>
          <w:tcPr>
            <w:tcW w:w="2403" w:type="dxa"/>
          </w:tcPr>
          <w:p w14:paraId="15136F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A4A765F" w14:textId="77777777" w:rsidTr="00EC39A4">
        <w:tc>
          <w:tcPr>
            <w:tcW w:w="603" w:type="dxa"/>
            <w:vAlign w:val="center"/>
          </w:tcPr>
          <w:p w14:paraId="21901BF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22" w:type="dxa"/>
            <w:vAlign w:val="center"/>
          </w:tcPr>
          <w:p w14:paraId="308D570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Siatka dyfrakcyjna nie mniej niż 1200 linii/mm</w:t>
            </w:r>
          </w:p>
        </w:tc>
        <w:tc>
          <w:tcPr>
            <w:tcW w:w="2403" w:type="dxa"/>
          </w:tcPr>
          <w:p w14:paraId="394F826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728521C" w14:textId="77777777" w:rsidTr="00EC39A4">
        <w:tc>
          <w:tcPr>
            <w:tcW w:w="603" w:type="dxa"/>
            <w:vAlign w:val="center"/>
          </w:tcPr>
          <w:p w14:paraId="55ABE2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22" w:type="dxa"/>
            <w:vAlign w:val="center"/>
          </w:tcPr>
          <w:p w14:paraId="3E2C308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Fotopowielacz jako detektor</w:t>
            </w:r>
          </w:p>
        </w:tc>
        <w:tc>
          <w:tcPr>
            <w:tcW w:w="2403" w:type="dxa"/>
          </w:tcPr>
          <w:p w14:paraId="404D79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3BB6FA4" w14:textId="77777777" w:rsidTr="00EC39A4">
        <w:tc>
          <w:tcPr>
            <w:tcW w:w="603" w:type="dxa"/>
            <w:vAlign w:val="center"/>
          </w:tcPr>
          <w:p w14:paraId="60E2FD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22" w:type="dxa"/>
            <w:vAlign w:val="center"/>
          </w:tcPr>
          <w:p w14:paraId="7F185F4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Automatyczny wybór długości fali oraz szerokości szczeliny pomiarowej</w:t>
            </w:r>
          </w:p>
        </w:tc>
        <w:tc>
          <w:tcPr>
            <w:tcW w:w="2403" w:type="dxa"/>
          </w:tcPr>
          <w:p w14:paraId="650BE0C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5881E7C" w14:textId="77777777" w:rsidTr="00EC39A4">
        <w:tc>
          <w:tcPr>
            <w:tcW w:w="603" w:type="dxa"/>
            <w:vAlign w:val="center"/>
          </w:tcPr>
          <w:p w14:paraId="18B69A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22" w:type="dxa"/>
            <w:vAlign w:val="center"/>
          </w:tcPr>
          <w:p w14:paraId="30497C5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Wybór szczeliny spektralnej w zakresie co najmniej 0.2 – 1.0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0E35158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0A70944" w14:textId="77777777" w:rsidTr="00EC39A4">
        <w:tc>
          <w:tcPr>
            <w:tcW w:w="603" w:type="dxa"/>
            <w:vAlign w:val="center"/>
          </w:tcPr>
          <w:p w14:paraId="72063C3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22" w:type="dxa"/>
            <w:vAlign w:val="center"/>
          </w:tcPr>
          <w:p w14:paraId="7441A4A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Korekcja tła z wykorzystaniem efektu Zeemana </w:t>
            </w:r>
          </w:p>
        </w:tc>
        <w:tc>
          <w:tcPr>
            <w:tcW w:w="2403" w:type="dxa"/>
          </w:tcPr>
          <w:p w14:paraId="1557B42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09269B" w14:textId="77777777" w:rsidTr="00EC39A4">
        <w:tc>
          <w:tcPr>
            <w:tcW w:w="603" w:type="dxa"/>
            <w:vAlign w:val="center"/>
          </w:tcPr>
          <w:p w14:paraId="031B726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22" w:type="dxa"/>
            <w:vAlign w:val="center"/>
          </w:tcPr>
          <w:p w14:paraId="4EFFFD0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Kuweta grafitowa pracująca w zakresie temperatury pieca do min. 3000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403" w:type="dxa"/>
          </w:tcPr>
          <w:p w14:paraId="4D9AF72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B9AB813" w14:textId="77777777" w:rsidTr="00EC39A4">
        <w:tc>
          <w:tcPr>
            <w:tcW w:w="603" w:type="dxa"/>
            <w:vAlign w:val="center"/>
          </w:tcPr>
          <w:p w14:paraId="731AD70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22" w:type="dxa"/>
            <w:vAlign w:val="center"/>
          </w:tcPr>
          <w:p w14:paraId="67B9309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Uchwyty na min. cztery lampy z katodą wnękową, każdy z wbudowanym, niezależnym zasilaczem</w:t>
            </w:r>
          </w:p>
        </w:tc>
        <w:tc>
          <w:tcPr>
            <w:tcW w:w="2403" w:type="dxa"/>
          </w:tcPr>
          <w:p w14:paraId="468AF30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BAB01B7" w14:textId="77777777" w:rsidTr="00EC39A4">
        <w:tc>
          <w:tcPr>
            <w:tcW w:w="603" w:type="dxa"/>
            <w:vAlign w:val="center"/>
          </w:tcPr>
          <w:p w14:paraId="59948A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622" w:type="dxa"/>
            <w:vAlign w:val="center"/>
          </w:tcPr>
          <w:p w14:paraId="32A12C7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Wbudowany zasilacz umożliwiający pracę z co najmniej dwiema lampami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o podwyższonej intensywności</w:t>
            </w:r>
          </w:p>
        </w:tc>
        <w:tc>
          <w:tcPr>
            <w:tcW w:w="2403" w:type="dxa"/>
          </w:tcPr>
          <w:p w14:paraId="6C3295D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1EE9548" w14:textId="77777777" w:rsidTr="00EC39A4">
        <w:tc>
          <w:tcPr>
            <w:tcW w:w="603" w:type="dxa"/>
            <w:vAlign w:val="center"/>
          </w:tcPr>
          <w:p w14:paraId="1A6DB4B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622" w:type="dxa"/>
            <w:vAlign w:val="center"/>
          </w:tcPr>
          <w:p w14:paraId="7DBA348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rozpoznawania lamp kodowanych</w:t>
            </w:r>
          </w:p>
        </w:tc>
        <w:tc>
          <w:tcPr>
            <w:tcW w:w="2403" w:type="dxa"/>
          </w:tcPr>
          <w:p w14:paraId="6B7E28C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72C5663" w14:textId="77777777" w:rsidTr="00EC39A4">
        <w:tc>
          <w:tcPr>
            <w:tcW w:w="603" w:type="dxa"/>
            <w:vAlign w:val="center"/>
          </w:tcPr>
          <w:p w14:paraId="18E1E04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622" w:type="dxa"/>
            <w:vAlign w:val="center"/>
          </w:tcPr>
          <w:p w14:paraId="2C658D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Regulowane natężenie pola magnetycznego w zakresie co najmniej 0,1 – 0,8 Tesli</w:t>
            </w:r>
          </w:p>
        </w:tc>
        <w:tc>
          <w:tcPr>
            <w:tcW w:w="2403" w:type="dxa"/>
          </w:tcPr>
          <w:p w14:paraId="4EE80C4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109E756" w14:textId="77777777" w:rsidTr="00EC39A4">
        <w:tc>
          <w:tcPr>
            <w:tcW w:w="603" w:type="dxa"/>
            <w:vAlign w:val="center"/>
          </w:tcPr>
          <w:p w14:paraId="3AFAF6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622" w:type="dxa"/>
            <w:vAlign w:val="center"/>
          </w:tcPr>
          <w:p w14:paraId="48C3BB0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Wbudowana kamera do podglądu wnętrza kuwety grafitowej (podczas etapu dozowania próbki, suszenia i pirolizy)</w:t>
            </w:r>
          </w:p>
        </w:tc>
        <w:tc>
          <w:tcPr>
            <w:tcW w:w="2403" w:type="dxa"/>
          </w:tcPr>
          <w:p w14:paraId="17EAAD6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BC3E8B1" w14:textId="77777777" w:rsidTr="00EC39A4">
        <w:tc>
          <w:tcPr>
            <w:tcW w:w="603" w:type="dxa"/>
            <w:vAlign w:val="center"/>
          </w:tcPr>
          <w:p w14:paraId="13FC8F3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622" w:type="dxa"/>
            <w:vAlign w:val="center"/>
          </w:tcPr>
          <w:p w14:paraId="5B0EAA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Komputerowe sterowanie przepływem gazów w kuwecie</w:t>
            </w:r>
          </w:p>
        </w:tc>
        <w:tc>
          <w:tcPr>
            <w:tcW w:w="2403" w:type="dxa"/>
          </w:tcPr>
          <w:p w14:paraId="5CA5B2A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4B42FAA" w14:textId="77777777" w:rsidTr="00EC39A4">
        <w:tc>
          <w:tcPr>
            <w:tcW w:w="603" w:type="dxa"/>
            <w:vAlign w:val="center"/>
          </w:tcPr>
          <w:p w14:paraId="05C2AC5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622" w:type="dxa"/>
            <w:vAlign w:val="center"/>
          </w:tcPr>
          <w:p w14:paraId="185A378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Autosampler z tacą na co najmniej 50 próbek oraz nie mniej niż 5 pozycji na modyfikatory/wzorce z automatycznym dodawaniem modyfikatora matrycy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tzw. inteligentnym rozcieńczaniem (przygotowanie krzywej wzorcowej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jednego wzorca, samoczynny dobór rozcieńczenia przez system w przypadku próbek wykraczających poza zakres krzywej wzorcowej)  </w:t>
            </w:r>
          </w:p>
        </w:tc>
        <w:tc>
          <w:tcPr>
            <w:tcW w:w="2403" w:type="dxa"/>
          </w:tcPr>
          <w:p w14:paraId="58104F0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638E80E" w14:textId="77777777" w:rsidTr="00EC39A4">
        <w:tc>
          <w:tcPr>
            <w:tcW w:w="603" w:type="dxa"/>
            <w:vAlign w:val="center"/>
          </w:tcPr>
          <w:p w14:paraId="0F952CC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622" w:type="dxa"/>
            <w:vAlign w:val="center"/>
          </w:tcPr>
          <w:p w14:paraId="68E2B11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System usuwania oparów znad kuwety grafitowej z podłączeniem do istniejącej instalacji wyciągowej. </w:t>
            </w:r>
          </w:p>
        </w:tc>
        <w:tc>
          <w:tcPr>
            <w:tcW w:w="2403" w:type="dxa"/>
          </w:tcPr>
          <w:p w14:paraId="5BB0BC6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E1B1610" w14:textId="77777777" w:rsidTr="00EC39A4">
        <w:tc>
          <w:tcPr>
            <w:tcW w:w="603" w:type="dxa"/>
            <w:vAlign w:val="center"/>
          </w:tcPr>
          <w:p w14:paraId="702B27B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622" w:type="dxa"/>
            <w:vAlign w:val="center"/>
          </w:tcPr>
          <w:p w14:paraId="42A088E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wyposażony w lusterko z podświetleniem ułatwiającym podgląd portu nastrzykowego rurki grafitowej</w:t>
            </w:r>
          </w:p>
        </w:tc>
        <w:tc>
          <w:tcPr>
            <w:tcW w:w="2403" w:type="dxa"/>
          </w:tcPr>
          <w:p w14:paraId="23AFE61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18EE097" w14:textId="77777777" w:rsidTr="00EC39A4">
        <w:tc>
          <w:tcPr>
            <w:tcW w:w="603" w:type="dxa"/>
          </w:tcPr>
          <w:p w14:paraId="602A3A8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025" w:type="dxa"/>
            <w:gridSpan w:val="2"/>
          </w:tcPr>
          <w:p w14:paraId="4F1346C5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Moduł do pracy techniką płomieniową </w:t>
            </w:r>
          </w:p>
        </w:tc>
      </w:tr>
      <w:tr w:rsidR="00AE4E75" w:rsidRPr="0049784D" w14:paraId="4C663711" w14:textId="77777777" w:rsidTr="00EC39A4">
        <w:tc>
          <w:tcPr>
            <w:tcW w:w="603" w:type="dxa"/>
            <w:vAlign w:val="center"/>
          </w:tcPr>
          <w:p w14:paraId="514ABF5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622" w:type="dxa"/>
            <w:vAlign w:val="center"/>
          </w:tcPr>
          <w:p w14:paraId="3B9B7F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dwuwiązkowy</w:t>
            </w:r>
          </w:p>
        </w:tc>
        <w:tc>
          <w:tcPr>
            <w:tcW w:w="2403" w:type="dxa"/>
          </w:tcPr>
          <w:p w14:paraId="5778B2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4377F12" w14:textId="77777777" w:rsidTr="00EC39A4">
        <w:tc>
          <w:tcPr>
            <w:tcW w:w="603" w:type="dxa"/>
            <w:vAlign w:val="center"/>
          </w:tcPr>
          <w:p w14:paraId="085B665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622" w:type="dxa"/>
            <w:vAlign w:val="center"/>
          </w:tcPr>
          <w:p w14:paraId="3571BEF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Zakres spektralny nie węższy niż 185 - 900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67B70B4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045280F" w14:textId="77777777" w:rsidTr="00EC39A4">
        <w:tc>
          <w:tcPr>
            <w:tcW w:w="603" w:type="dxa"/>
            <w:vAlign w:val="center"/>
          </w:tcPr>
          <w:p w14:paraId="1012DA2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622" w:type="dxa"/>
            <w:vAlign w:val="center"/>
          </w:tcPr>
          <w:p w14:paraId="3E48443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Monochromator o długości drogi optycznej nie mniej niż 25 cm</w:t>
            </w:r>
          </w:p>
        </w:tc>
        <w:tc>
          <w:tcPr>
            <w:tcW w:w="2403" w:type="dxa"/>
          </w:tcPr>
          <w:p w14:paraId="756DCC5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E8402F8" w14:textId="77777777" w:rsidTr="00EC39A4">
        <w:tc>
          <w:tcPr>
            <w:tcW w:w="603" w:type="dxa"/>
            <w:vAlign w:val="center"/>
          </w:tcPr>
          <w:p w14:paraId="481E8411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622" w:type="dxa"/>
            <w:vAlign w:val="center"/>
          </w:tcPr>
          <w:p w14:paraId="55BD57F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Szybkość skanowania monochromatora nie mniejsza niż 2000 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  <w:tc>
          <w:tcPr>
            <w:tcW w:w="2403" w:type="dxa"/>
          </w:tcPr>
          <w:p w14:paraId="5BE5809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D57CE77" w14:textId="77777777" w:rsidTr="00EC39A4">
        <w:tc>
          <w:tcPr>
            <w:tcW w:w="603" w:type="dxa"/>
            <w:vAlign w:val="center"/>
          </w:tcPr>
          <w:p w14:paraId="7972A83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622" w:type="dxa"/>
            <w:vAlign w:val="center"/>
          </w:tcPr>
          <w:p w14:paraId="3EABB10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Siatka dyfrakcyjna nie mniej niż 1200 linii/mm</w:t>
            </w:r>
          </w:p>
        </w:tc>
        <w:tc>
          <w:tcPr>
            <w:tcW w:w="2403" w:type="dxa"/>
          </w:tcPr>
          <w:p w14:paraId="5BB22C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FB49F4F" w14:textId="77777777" w:rsidTr="00EC39A4">
        <w:tc>
          <w:tcPr>
            <w:tcW w:w="603" w:type="dxa"/>
            <w:vAlign w:val="center"/>
          </w:tcPr>
          <w:p w14:paraId="0C988ED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622" w:type="dxa"/>
            <w:vAlign w:val="center"/>
          </w:tcPr>
          <w:p w14:paraId="53AB846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Fotopowielacz jako detektor</w:t>
            </w:r>
          </w:p>
        </w:tc>
        <w:tc>
          <w:tcPr>
            <w:tcW w:w="2403" w:type="dxa"/>
          </w:tcPr>
          <w:p w14:paraId="760317C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5B600D" w14:textId="77777777" w:rsidTr="00EC39A4">
        <w:tc>
          <w:tcPr>
            <w:tcW w:w="603" w:type="dxa"/>
            <w:vAlign w:val="center"/>
          </w:tcPr>
          <w:p w14:paraId="7F508E8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6622" w:type="dxa"/>
            <w:vAlign w:val="center"/>
          </w:tcPr>
          <w:p w14:paraId="5078185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Deuterowa korekcja tła</w:t>
            </w:r>
          </w:p>
        </w:tc>
        <w:tc>
          <w:tcPr>
            <w:tcW w:w="2403" w:type="dxa"/>
          </w:tcPr>
          <w:p w14:paraId="2A49EED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DFDD6FF" w14:textId="77777777" w:rsidTr="00EC39A4">
        <w:tc>
          <w:tcPr>
            <w:tcW w:w="603" w:type="dxa"/>
            <w:vAlign w:val="center"/>
          </w:tcPr>
          <w:p w14:paraId="5980BF4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622" w:type="dxa"/>
            <w:vAlign w:val="center"/>
          </w:tcPr>
          <w:p w14:paraId="3B3781B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Automatyczny wybór długości fali oraz szerokości szczeliny pomiarowej</w:t>
            </w:r>
          </w:p>
        </w:tc>
        <w:tc>
          <w:tcPr>
            <w:tcW w:w="2403" w:type="dxa"/>
          </w:tcPr>
          <w:p w14:paraId="5B78A27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7226427" w14:textId="77777777" w:rsidTr="00EC39A4">
        <w:tc>
          <w:tcPr>
            <w:tcW w:w="603" w:type="dxa"/>
            <w:vAlign w:val="center"/>
          </w:tcPr>
          <w:p w14:paraId="4E2DC2B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622" w:type="dxa"/>
            <w:vAlign w:val="center"/>
          </w:tcPr>
          <w:p w14:paraId="4C93A44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Wybór szczeliny spektralnej w zakresie co najmniej 0.2 – 1.0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403" w:type="dxa"/>
          </w:tcPr>
          <w:p w14:paraId="5712CBD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4CCB67D" w14:textId="77777777" w:rsidTr="00EC39A4">
        <w:tc>
          <w:tcPr>
            <w:tcW w:w="603" w:type="dxa"/>
            <w:vAlign w:val="center"/>
          </w:tcPr>
          <w:p w14:paraId="4D68E15E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622" w:type="dxa"/>
            <w:vAlign w:val="center"/>
          </w:tcPr>
          <w:p w14:paraId="4B9AABA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Uchwyty na min. cztery lampy z katodą wnękową, każdy z wbudowanym, niezależnym zasilaczem</w:t>
            </w:r>
          </w:p>
        </w:tc>
        <w:tc>
          <w:tcPr>
            <w:tcW w:w="2403" w:type="dxa"/>
          </w:tcPr>
          <w:p w14:paraId="07B779E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E76FA2D" w14:textId="77777777" w:rsidTr="00EC39A4">
        <w:tc>
          <w:tcPr>
            <w:tcW w:w="603" w:type="dxa"/>
            <w:vAlign w:val="center"/>
          </w:tcPr>
          <w:p w14:paraId="5C81A0E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622" w:type="dxa"/>
            <w:vAlign w:val="center"/>
          </w:tcPr>
          <w:p w14:paraId="74062F9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System rozpoznawania lamp kodowanych</w:t>
            </w:r>
          </w:p>
        </w:tc>
        <w:tc>
          <w:tcPr>
            <w:tcW w:w="2403" w:type="dxa"/>
          </w:tcPr>
          <w:p w14:paraId="2C5D32E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00E42380" w14:textId="77777777" w:rsidTr="00EC39A4">
        <w:tc>
          <w:tcPr>
            <w:tcW w:w="603" w:type="dxa"/>
            <w:vAlign w:val="center"/>
          </w:tcPr>
          <w:p w14:paraId="0568488C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622" w:type="dxa"/>
            <w:vAlign w:val="center"/>
          </w:tcPr>
          <w:p w14:paraId="0CB3DF2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Odczyt wiązki badanej i wiązki odniesienia w trakcie pomiaru z częstotliwością nie mniejszą niż 50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03" w:type="dxa"/>
          </w:tcPr>
          <w:p w14:paraId="6B85A3A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ACB8570" w14:textId="77777777" w:rsidTr="00EC39A4">
        <w:tc>
          <w:tcPr>
            <w:tcW w:w="603" w:type="dxa"/>
            <w:vAlign w:val="center"/>
          </w:tcPr>
          <w:p w14:paraId="4B3293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622" w:type="dxa"/>
            <w:vAlign w:val="center"/>
          </w:tcPr>
          <w:p w14:paraId="6E490A5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Automatyczne przełączanie pomiędzy różnymi typami gazów</w:t>
            </w:r>
          </w:p>
        </w:tc>
        <w:tc>
          <w:tcPr>
            <w:tcW w:w="2403" w:type="dxa"/>
          </w:tcPr>
          <w:p w14:paraId="031DD6F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7531B0" w14:textId="77777777" w:rsidTr="00EC39A4">
        <w:tc>
          <w:tcPr>
            <w:tcW w:w="603" w:type="dxa"/>
            <w:vAlign w:val="center"/>
          </w:tcPr>
          <w:p w14:paraId="5CCAE1C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622" w:type="dxa"/>
            <w:vAlign w:val="center"/>
          </w:tcPr>
          <w:p w14:paraId="6E44295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Programowalny system kontroli gazów</w:t>
            </w:r>
          </w:p>
        </w:tc>
        <w:tc>
          <w:tcPr>
            <w:tcW w:w="2403" w:type="dxa"/>
          </w:tcPr>
          <w:p w14:paraId="47F3DD1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9C9D46B" w14:textId="77777777" w:rsidTr="00EC39A4">
        <w:tc>
          <w:tcPr>
            <w:tcW w:w="603" w:type="dxa"/>
            <w:vAlign w:val="center"/>
          </w:tcPr>
          <w:p w14:paraId="38001C9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622" w:type="dxa"/>
            <w:vAlign w:val="center"/>
          </w:tcPr>
          <w:p w14:paraId="77554C7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Palnik acetylen-powietrze o szczelinie 10 cm</w:t>
            </w:r>
          </w:p>
        </w:tc>
        <w:tc>
          <w:tcPr>
            <w:tcW w:w="2403" w:type="dxa"/>
          </w:tcPr>
          <w:p w14:paraId="1E63E80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F13A6CE" w14:textId="77777777" w:rsidTr="00EC39A4">
        <w:tc>
          <w:tcPr>
            <w:tcW w:w="603" w:type="dxa"/>
            <w:vAlign w:val="center"/>
          </w:tcPr>
          <w:p w14:paraId="4EE718B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622" w:type="dxa"/>
            <w:vAlign w:val="center"/>
          </w:tcPr>
          <w:p w14:paraId="12AAEFA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Zapewniający szybką analizę wielopierwiastkową</w:t>
            </w:r>
          </w:p>
          <w:p w14:paraId="42B9B49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(pomiar absorbancji wszystkich analizowanych pierwiastków w jednej próbce zanim nastąpi pomiar tych samych pierwiastków w próbce następnej, czas analizy do 10 pierwiastków w próbce w czasie poniżej 2 minut)</w:t>
            </w:r>
          </w:p>
        </w:tc>
        <w:tc>
          <w:tcPr>
            <w:tcW w:w="2403" w:type="dxa"/>
          </w:tcPr>
          <w:p w14:paraId="6951B82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DA1EBC7" w14:textId="77777777" w:rsidTr="00EC39A4">
        <w:tc>
          <w:tcPr>
            <w:tcW w:w="603" w:type="dxa"/>
            <w:vAlign w:val="center"/>
          </w:tcPr>
          <w:p w14:paraId="2FF334D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622" w:type="dxa"/>
            <w:vAlign w:val="center"/>
          </w:tcPr>
          <w:p w14:paraId="203E9CE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Komora mgielna przystosowana do pracy z roztworami wodno-kwaśnymi</w:t>
            </w:r>
          </w:p>
        </w:tc>
        <w:tc>
          <w:tcPr>
            <w:tcW w:w="2403" w:type="dxa"/>
          </w:tcPr>
          <w:p w14:paraId="1D17303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C3BF588" w14:textId="77777777" w:rsidTr="00EC39A4">
        <w:tc>
          <w:tcPr>
            <w:tcW w:w="603" w:type="dxa"/>
            <w:vAlign w:val="center"/>
          </w:tcPr>
          <w:p w14:paraId="67DEE87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622" w:type="dxa"/>
            <w:vAlign w:val="center"/>
          </w:tcPr>
          <w:p w14:paraId="6D8804E6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Zapewniający płynną regulację (zmianę) szybkości zasysania (przepływu) próbki</w:t>
            </w:r>
          </w:p>
        </w:tc>
        <w:tc>
          <w:tcPr>
            <w:tcW w:w="2403" w:type="dxa"/>
          </w:tcPr>
          <w:p w14:paraId="1630E13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086A813" w14:textId="77777777" w:rsidTr="00EC39A4">
        <w:tc>
          <w:tcPr>
            <w:tcW w:w="603" w:type="dxa"/>
            <w:vAlign w:val="center"/>
          </w:tcPr>
          <w:p w14:paraId="53474F5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622" w:type="dxa"/>
            <w:vAlign w:val="center"/>
          </w:tcPr>
          <w:p w14:paraId="71BC0DBA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Musi posiadać systemem wprowadzania próbki oparty na dwóch pompach perystaltycznych umożliwiający automatyczne:</w:t>
            </w:r>
          </w:p>
          <w:p w14:paraId="56679733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tworzenie krzywej kalibracyjnej z jednego wzorca</w:t>
            </w:r>
          </w:p>
          <w:p w14:paraId="5F20587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rozcieńczanie próbek w trybie „on-line”</w:t>
            </w:r>
          </w:p>
          <w:p w14:paraId="76EEBE5F" w14:textId="77777777" w:rsidR="00AE4E75" w:rsidRPr="0049784D" w:rsidRDefault="00AE4E75" w:rsidP="00EC39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dodatek standardu wewnętrznego</w:t>
            </w:r>
          </w:p>
        </w:tc>
        <w:tc>
          <w:tcPr>
            <w:tcW w:w="2403" w:type="dxa"/>
          </w:tcPr>
          <w:p w14:paraId="400A26FE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2104068" w14:textId="77777777" w:rsidTr="00EC39A4">
        <w:tc>
          <w:tcPr>
            <w:tcW w:w="603" w:type="dxa"/>
            <w:vAlign w:val="center"/>
          </w:tcPr>
          <w:p w14:paraId="28EADDE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622" w:type="dxa"/>
            <w:vAlign w:val="center"/>
          </w:tcPr>
          <w:p w14:paraId="554F000A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Możliwość współpracy z przystawką do generacji wodorków do pracy w trybie ciągłym (przepływowym). </w:t>
            </w:r>
          </w:p>
        </w:tc>
        <w:tc>
          <w:tcPr>
            <w:tcW w:w="2403" w:type="dxa"/>
          </w:tcPr>
          <w:p w14:paraId="52C170C6" w14:textId="77777777" w:rsidR="00AE4E75" w:rsidRPr="0049784D" w:rsidRDefault="00AE4E75" w:rsidP="00EC39A4">
            <w:pPr>
              <w:tabs>
                <w:tab w:val="left" w:pos="851"/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C33AD3D" w14:textId="77777777" w:rsidTr="00EC39A4">
        <w:tc>
          <w:tcPr>
            <w:tcW w:w="603" w:type="dxa"/>
            <w:vAlign w:val="center"/>
          </w:tcPr>
          <w:p w14:paraId="2483C5E0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9025" w:type="dxa"/>
            <w:gridSpan w:val="2"/>
            <w:vAlign w:val="center"/>
          </w:tcPr>
          <w:p w14:paraId="6E4AF205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Wymagane wyposażenie oraz sterowanie modułami </w:t>
            </w:r>
          </w:p>
        </w:tc>
      </w:tr>
      <w:tr w:rsidR="00AE4E75" w:rsidRPr="0049784D" w14:paraId="7EACACCA" w14:textId="77777777" w:rsidTr="00EC39A4">
        <w:tc>
          <w:tcPr>
            <w:tcW w:w="603" w:type="dxa"/>
            <w:vAlign w:val="center"/>
          </w:tcPr>
          <w:p w14:paraId="7589EE1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622" w:type="dxa"/>
            <w:vAlign w:val="center"/>
          </w:tcPr>
          <w:p w14:paraId="477F44D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Zapewniający sterowanie modułami oraz prowadzenie analiz w technice płomieniowej oraz kuwety grafitowej w tym samym czasie z poziomu jednego komputera z jednego i tego samego oprogramowania </w:t>
            </w:r>
          </w:p>
        </w:tc>
        <w:tc>
          <w:tcPr>
            <w:tcW w:w="2403" w:type="dxa"/>
          </w:tcPr>
          <w:p w14:paraId="7880C25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C1F6CD4" w14:textId="77777777" w:rsidTr="00EC39A4">
        <w:tc>
          <w:tcPr>
            <w:tcW w:w="603" w:type="dxa"/>
            <w:vAlign w:val="center"/>
          </w:tcPr>
          <w:p w14:paraId="416DC74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622" w:type="dxa"/>
          </w:tcPr>
          <w:p w14:paraId="2B82DF69" w14:textId="0EB73A0C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Oprogramowanie sterujące modułami </w:t>
            </w:r>
            <w:r w:rsidRPr="004978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 języku polskim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: 64-bitowe umożliwiające pracę spektrometru we wszystkich trybach pracy (FAAS, ETAAS, HGAAS), monitorowanie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i sterowanie wszystkimi funkcjami i parametrami aparatu, zbierające dane, dające możliwość wyboru algorytmu krzywej (co najmniej algorytm liniowy, kwadratowy), statystyczną kontrolę wyników i kalibracji, przygotowanie raportów, automatyczny dobór czasu integracji sygnału przy zadanym poziomie % RSD w technice płomieniowej, automatyczny dobór i optymalizacja programu temperaturowego kuwety grafitowej</w:t>
            </w:r>
          </w:p>
        </w:tc>
        <w:tc>
          <w:tcPr>
            <w:tcW w:w="2403" w:type="dxa"/>
          </w:tcPr>
          <w:p w14:paraId="56C1993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B6A6F06" w14:textId="77777777" w:rsidTr="00EC39A4">
        <w:tc>
          <w:tcPr>
            <w:tcW w:w="603" w:type="dxa"/>
            <w:vAlign w:val="center"/>
          </w:tcPr>
          <w:p w14:paraId="3C9EF468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622" w:type="dxa"/>
          </w:tcPr>
          <w:p w14:paraId="39130922" w14:textId="25080008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5251110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Zestaw komputerowy </w:t>
            </w:r>
            <w:r w:rsidR="00337566">
              <w:rPr>
                <w:rFonts w:ascii="Times New Roman" w:hAnsi="Times New Roman" w:cs="Times New Roman"/>
                <w:sz w:val="20"/>
                <w:szCs w:val="20"/>
              </w:rPr>
              <w:t xml:space="preserve">o parametrach odpowiednich do </w:t>
            </w:r>
            <w:r w:rsidR="007A7362">
              <w:rPr>
                <w:rFonts w:ascii="Times New Roman" w:hAnsi="Times New Roman" w:cs="Times New Roman"/>
                <w:sz w:val="20"/>
                <w:szCs w:val="20"/>
              </w:rPr>
              <w:t xml:space="preserve">obsługiwania oprogramowania i sprzętu,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 min</w:t>
            </w:r>
            <w:r w:rsidR="00C43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 6 szt. portów USB wyprowadzonych na zewnątrz komputera, klawiatura USB, mysz laserowa USB, monitor min. 24 cale</w:t>
            </w:r>
            <w:r w:rsidRPr="0049784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system </w:t>
            </w:r>
            <w:r w:rsidR="003105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operacyjny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 odpowiedni do zainstalowanego oprogramowania sterującego zestawem, drukarka laserowa</w:t>
            </w:r>
            <w:bookmarkEnd w:id="0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3" w:type="dxa"/>
          </w:tcPr>
          <w:p w14:paraId="2A521E8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4E30D4C" w14:textId="77777777" w:rsidTr="00EC39A4">
        <w:tc>
          <w:tcPr>
            <w:tcW w:w="603" w:type="dxa"/>
            <w:vAlign w:val="center"/>
          </w:tcPr>
          <w:p w14:paraId="2D31F95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622" w:type="dxa"/>
            <w:vAlign w:val="center"/>
          </w:tcPr>
          <w:p w14:paraId="713684D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Cichy, bezolejowy kompresor powietrza do techniki płomieniowej</w:t>
            </w:r>
          </w:p>
        </w:tc>
        <w:tc>
          <w:tcPr>
            <w:tcW w:w="2403" w:type="dxa"/>
          </w:tcPr>
          <w:p w14:paraId="53934C4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AB45EE" w14:textId="77777777" w:rsidTr="00EC39A4">
        <w:tc>
          <w:tcPr>
            <w:tcW w:w="603" w:type="dxa"/>
            <w:vAlign w:val="center"/>
          </w:tcPr>
          <w:p w14:paraId="258208F5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622" w:type="dxa"/>
            <w:vAlign w:val="center"/>
          </w:tcPr>
          <w:p w14:paraId="089E6B8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Zamknięty system chłodzenia do kuwety grafitowej z obiegiem wymuszonym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br/>
              <w:t>z cyfrową kontrolą temperatury</w:t>
            </w:r>
          </w:p>
        </w:tc>
        <w:tc>
          <w:tcPr>
            <w:tcW w:w="2403" w:type="dxa"/>
          </w:tcPr>
          <w:p w14:paraId="408F1F2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7B36985" w14:textId="77777777" w:rsidTr="00EC39A4">
        <w:tc>
          <w:tcPr>
            <w:tcW w:w="603" w:type="dxa"/>
            <w:vAlign w:val="center"/>
          </w:tcPr>
          <w:p w14:paraId="3EA693BA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622" w:type="dxa"/>
          </w:tcPr>
          <w:p w14:paraId="177E1F5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Zestaw kodowanych lamp pierwiastkowych:</w:t>
            </w:r>
          </w:p>
          <w:p w14:paraId="5C85EFA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1 lampa katodowa HCL wielopierwiastkowa o podwyższonej intensywności - Pb/Cd</w:t>
            </w:r>
          </w:p>
          <w:p w14:paraId="1946B9D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Zestaw kodowanych lamp pierwiastkowych:</w:t>
            </w:r>
          </w:p>
          <w:p w14:paraId="495482D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8 lamp katodowych HCL jednopierwiastkowych - Fe, Mn, Na, Cr, Ni, Cu, </w:t>
            </w:r>
            <w:proofErr w:type="spellStart"/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Zn,K</w:t>
            </w:r>
            <w:proofErr w:type="spellEnd"/>
          </w:p>
        </w:tc>
        <w:tc>
          <w:tcPr>
            <w:tcW w:w="2403" w:type="dxa"/>
          </w:tcPr>
          <w:p w14:paraId="4A2B3C4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85A23BF" w14:textId="77777777" w:rsidTr="00EC39A4">
        <w:tc>
          <w:tcPr>
            <w:tcW w:w="603" w:type="dxa"/>
            <w:vAlign w:val="center"/>
          </w:tcPr>
          <w:p w14:paraId="38E4005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622" w:type="dxa"/>
            <w:vAlign w:val="center"/>
          </w:tcPr>
          <w:p w14:paraId="1DEDC82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Kuwetki grafitowe pokrywane pirolitycznie: nie mniej niż 30 szt.</w:t>
            </w:r>
          </w:p>
          <w:p w14:paraId="46250D2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Naczynka 2 ml do autosamplera: nie mniej niż 3000 szt.</w:t>
            </w:r>
          </w:p>
          <w:p w14:paraId="1676BB2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Naczynia na wzorce/modyfikatory do autosamplera: nie mniej niż 5 szt.</w:t>
            </w:r>
          </w:p>
          <w:p w14:paraId="63F7B305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Wymienna kapilara próbkująca autosamplera: nie mniej niż 5 szt.</w:t>
            </w:r>
          </w:p>
          <w:p w14:paraId="309BA27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Rurka koncentrująca atomy do techniki płomieniowej dla zwiększenia czułości analiz: nie mniej niż 10 szt.</w:t>
            </w:r>
          </w:p>
          <w:p w14:paraId="5DB41B99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Uchwyt do rurki koncentrującej atomy: 1 szt.</w:t>
            </w:r>
          </w:p>
        </w:tc>
        <w:tc>
          <w:tcPr>
            <w:tcW w:w="2403" w:type="dxa"/>
          </w:tcPr>
          <w:p w14:paraId="6193A627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DE2696E" w14:textId="77777777" w:rsidTr="00EC39A4">
        <w:tc>
          <w:tcPr>
            <w:tcW w:w="603" w:type="dxa"/>
            <w:vAlign w:val="center"/>
          </w:tcPr>
          <w:p w14:paraId="351A40B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622" w:type="dxa"/>
            <w:vAlign w:val="center"/>
          </w:tcPr>
          <w:p w14:paraId="4B31565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Laboratoryjny demineralizator</w:t>
            </w:r>
            <w:r w:rsidRPr="004978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wody oczyszczonej produkujący wodę klasy I oraz klasy II. Otrzymana woda musi mieć zastosowanie do analiz instrumentalnych AAS.</w:t>
            </w:r>
          </w:p>
          <w:p w14:paraId="3ECB1C3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Zapas materiałów zużywalnych na co najmniej 2 lata pracy.</w:t>
            </w:r>
          </w:p>
        </w:tc>
        <w:tc>
          <w:tcPr>
            <w:tcW w:w="2403" w:type="dxa"/>
          </w:tcPr>
          <w:p w14:paraId="1106D33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1434859" w14:textId="77777777" w:rsidTr="00EC39A4">
        <w:tc>
          <w:tcPr>
            <w:tcW w:w="603" w:type="dxa"/>
            <w:vAlign w:val="center"/>
          </w:tcPr>
          <w:p w14:paraId="01F3897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622" w:type="dxa"/>
            <w:vAlign w:val="center"/>
          </w:tcPr>
          <w:p w14:paraId="76EE42C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Stół laboratoryjny pod oferowany spektrometr o wysokości 850 mm nieprzekraczający długości 2600 mm</w:t>
            </w:r>
          </w:p>
        </w:tc>
        <w:tc>
          <w:tcPr>
            <w:tcW w:w="2403" w:type="dxa"/>
          </w:tcPr>
          <w:p w14:paraId="2D85636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28BE0237" w14:textId="77777777" w:rsidTr="00EC39A4">
        <w:tc>
          <w:tcPr>
            <w:tcW w:w="603" w:type="dxa"/>
            <w:vAlign w:val="center"/>
          </w:tcPr>
          <w:p w14:paraId="3D3B67AF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622" w:type="dxa"/>
            <w:vAlign w:val="center"/>
          </w:tcPr>
          <w:p w14:paraId="2B05670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Przewody elastyczne do podłączenia gazów</w:t>
            </w:r>
          </w:p>
        </w:tc>
        <w:tc>
          <w:tcPr>
            <w:tcW w:w="2403" w:type="dxa"/>
          </w:tcPr>
          <w:p w14:paraId="094EA28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3B24A54" w14:textId="77777777" w:rsidTr="00EC39A4">
        <w:tc>
          <w:tcPr>
            <w:tcW w:w="603" w:type="dxa"/>
            <w:vAlign w:val="center"/>
          </w:tcPr>
          <w:p w14:paraId="1C67C469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025" w:type="dxa"/>
            <w:gridSpan w:val="2"/>
            <w:vAlign w:val="center"/>
          </w:tcPr>
          <w:p w14:paraId="53E6AE1C" w14:textId="77777777" w:rsidR="00AE4E75" w:rsidRPr="0049784D" w:rsidRDefault="00AE4E75" w:rsidP="00EC39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ogólne:</w:t>
            </w:r>
          </w:p>
        </w:tc>
      </w:tr>
      <w:tr w:rsidR="00AE4E75" w:rsidRPr="0049784D" w14:paraId="1708CA1C" w14:textId="77777777" w:rsidTr="00EC39A4">
        <w:tc>
          <w:tcPr>
            <w:tcW w:w="603" w:type="dxa"/>
            <w:vAlign w:val="center"/>
          </w:tcPr>
          <w:p w14:paraId="79DA5067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622" w:type="dxa"/>
            <w:vAlign w:val="center"/>
          </w:tcPr>
          <w:p w14:paraId="474B821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Dostawa fabrycznie nowego przedmiotu zamówienia pod wskazany adres oraz instalacja i uruchomienie w laboratorium Zamawiającego (sprzęt fabrycznie nowy z bieżącej produkcji producenta rok produkcji 2023 – aktualnie oferowany model)</w:t>
            </w:r>
          </w:p>
        </w:tc>
        <w:tc>
          <w:tcPr>
            <w:tcW w:w="2403" w:type="dxa"/>
          </w:tcPr>
          <w:p w14:paraId="36CAA42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592B73DE" w14:textId="77777777" w:rsidTr="00EC39A4">
        <w:tc>
          <w:tcPr>
            <w:tcW w:w="603" w:type="dxa"/>
            <w:vAlign w:val="center"/>
          </w:tcPr>
          <w:p w14:paraId="473E486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622" w:type="dxa"/>
            <w:vAlign w:val="center"/>
          </w:tcPr>
          <w:p w14:paraId="3B6C3BAF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Musi obejmować podłączenie do istniejącej instalacji wyciągowej oraz gazowej dostępnej w laboratorium</w:t>
            </w:r>
          </w:p>
        </w:tc>
        <w:tc>
          <w:tcPr>
            <w:tcW w:w="2403" w:type="dxa"/>
          </w:tcPr>
          <w:p w14:paraId="423A7F1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1C50941" w14:textId="77777777" w:rsidTr="00EC39A4">
        <w:tc>
          <w:tcPr>
            <w:tcW w:w="603" w:type="dxa"/>
            <w:vAlign w:val="center"/>
          </w:tcPr>
          <w:p w14:paraId="730900E9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622" w:type="dxa"/>
            <w:vAlign w:val="center"/>
          </w:tcPr>
          <w:p w14:paraId="3B74CEC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Minimum 24 miesięczna gwarancja</w:t>
            </w:r>
          </w:p>
        </w:tc>
        <w:tc>
          <w:tcPr>
            <w:tcW w:w="2403" w:type="dxa"/>
          </w:tcPr>
          <w:p w14:paraId="0B2C690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1C65CD85" w14:textId="77777777" w:rsidTr="00EC39A4">
        <w:tc>
          <w:tcPr>
            <w:tcW w:w="603" w:type="dxa"/>
            <w:vAlign w:val="center"/>
          </w:tcPr>
          <w:p w14:paraId="3F00DDC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622" w:type="dxa"/>
            <w:vAlign w:val="center"/>
          </w:tcPr>
          <w:p w14:paraId="1F49DD7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Autoryzowany serwis gwarancyjny i pogwarancyjny na terenie Polski (serwis świadczony w siedzibie Zamawiającego), posługujący się biegle językiem polskim.</w:t>
            </w:r>
          </w:p>
        </w:tc>
        <w:tc>
          <w:tcPr>
            <w:tcW w:w="2403" w:type="dxa"/>
          </w:tcPr>
          <w:p w14:paraId="6FC2B9F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6AB0E5F5" w14:textId="77777777" w:rsidTr="00EC39A4">
        <w:tc>
          <w:tcPr>
            <w:tcW w:w="603" w:type="dxa"/>
            <w:vAlign w:val="center"/>
          </w:tcPr>
          <w:p w14:paraId="088A1A32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622" w:type="dxa"/>
            <w:vAlign w:val="center"/>
          </w:tcPr>
          <w:p w14:paraId="351BB07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Wymagania serwisowe w okresie gwarancji:</w:t>
            </w:r>
          </w:p>
          <w:p w14:paraId="024D2624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rozpoczęcie naprawy w miejscu instalacji w ciągu 48-godzinnego czasu reakcji</w:t>
            </w:r>
          </w:p>
          <w:p w14:paraId="64BCD7F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naprawa lub wymiana wadliwych części lub układów w ciągu 2 tygodni od formalnego zgłoszenia usterki</w:t>
            </w:r>
          </w:p>
          <w:p w14:paraId="3BB5207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Wymagania serwisowe po okresie gwarancji:</w:t>
            </w:r>
          </w:p>
          <w:p w14:paraId="2EABD6B1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- 48-godzinny czas reakcji serwisu na zgłoszenie</w:t>
            </w:r>
          </w:p>
          <w:p w14:paraId="11580D2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min 7-letni okres dostępności części zamiennych od upływu terminu gwarancji</w:t>
            </w:r>
          </w:p>
        </w:tc>
        <w:tc>
          <w:tcPr>
            <w:tcW w:w="2403" w:type="dxa"/>
          </w:tcPr>
          <w:p w14:paraId="79FC9A1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BD31B8D" w14:textId="77777777" w:rsidTr="00EC39A4">
        <w:tc>
          <w:tcPr>
            <w:tcW w:w="603" w:type="dxa"/>
            <w:vAlign w:val="center"/>
          </w:tcPr>
          <w:p w14:paraId="1F72D46D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622" w:type="dxa"/>
            <w:vAlign w:val="center"/>
          </w:tcPr>
          <w:p w14:paraId="134C2D1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Bezpłatny przegląd serwisowy w okresie gwarancji</w:t>
            </w:r>
          </w:p>
          <w:p w14:paraId="6C69CC5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zgodnie z zaleceniami producenta </w:t>
            </w:r>
          </w:p>
        </w:tc>
        <w:tc>
          <w:tcPr>
            <w:tcW w:w="2403" w:type="dxa"/>
          </w:tcPr>
          <w:p w14:paraId="31D1771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8CBFD9F" w14:textId="77777777" w:rsidTr="00EC39A4">
        <w:tc>
          <w:tcPr>
            <w:tcW w:w="603" w:type="dxa"/>
            <w:vAlign w:val="center"/>
          </w:tcPr>
          <w:p w14:paraId="7CD4DAC4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622" w:type="dxa"/>
            <w:vAlign w:val="center"/>
          </w:tcPr>
          <w:p w14:paraId="0CD99CA6" w14:textId="3AA815B6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Szkolenie 2 etapowe minimum 8 dniowe</w:t>
            </w:r>
            <w:r w:rsidR="00A96192">
              <w:rPr>
                <w:rFonts w:ascii="Times New Roman" w:hAnsi="Times New Roman" w:cs="Times New Roman"/>
                <w:sz w:val="20"/>
                <w:szCs w:val="20"/>
              </w:rPr>
              <w:t xml:space="preserve"> dla 3 pracowników Zamawiającego:</w:t>
            </w:r>
          </w:p>
          <w:p w14:paraId="135B4122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- 3 dni szkolenia z obsługi spektrometru i oprogramowania w siedzibie zamawiającego na zainstalowanym sprzęcie,</w:t>
            </w:r>
          </w:p>
          <w:p w14:paraId="2EDE6B0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- 5 dni szkolenia aplikacyjnego prowadzonego przez specjalistę w dziedzinie absorpcji atomowej w siedzibie zamawiającego na zainstalowanym sprzęcie.</w:t>
            </w:r>
          </w:p>
          <w:p w14:paraId="25BBBAF0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Szkolenie aplikacyjne zakończone certyfikatem. Możliwość dowolnego wykorzystania szkoleń w terminach wcześniej ustalonych z Zamawiającym</w:t>
            </w:r>
          </w:p>
        </w:tc>
        <w:tc>
          <w:tcPr>
            <w:tcW w:w="2403" w:type="dxa"/>
          </w:tcPr>
          <w:p w14:paraId="2DFF5E28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334EC991" w14:textId="77777777" w:rsidTr="00EC39A4">
        <w:tc>
          <w:tcPr>
            <w:tcW w:w="603" w:type="dxa"/>
            <w:vAlign w:val="center"/>
          </w:tcPr>
          <w:p w14:paraId="04CD957B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622" w:type="dxa"/>
            <w:vAlign w:val="center"/>
          </w:tcPr>
          <w:p w14:paraId="5DEC458E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Instrukcja obsługi całego systemu z komputerem i oprogramowaniem w języku polskim i angielskim</w:t>
            </w:r>
          </w:p>
        </w:tc>
        <w:tc>
          <w:tcPr>
            <w:tcW w:w="2403" w:type="dxa"/>
          </w:tcPr>
          <w:p w14:paraId="4C35496D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415ECC11" w14:textId="77777777" w:rsidTr="00EC39A4">
        <w:tc>
          <w:tcPr>
            <w:tcW w:w="603" w:type="dxa"/>
            <w:vAlign w:val="center"/>
          </w:tcPr>
          <w:p w14:paraId="709799E3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622" w:type="dxa"/>
            <w:vAlign w:val="center"/>
          </w:tcPr>
          <w:p w14:paraId="02F78DFB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Termin dostawy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 xml:space="preserve"> tygodni od daty zawarcia umowy</w:t>
            </w:r>
          </w:p>
        </w:tc>
        <w:tc>
          <w:tcPr>
            <w:tcW w:w="2403" w:type="dxa"/>
          </w:tcPr>
          <w:p w14:paraId="6E0E9B0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E75" w:rsidRPr="0049784D" w14:paraId="7C44A334" w14:textId="77777777" w:rsidTr="00EC39A4">
        <w:tc>
          <w:tcPr>
            <w:tcW w:w="603" w:type="dxa"/>
            <w:vAlign w:val="center"/>
          </w:tcPr>
          <w:p w14:paraId="6CC77546" w14:textId="77777777" w:rsidR="00AE4E75" w:rsidRPr="0049784D" w:rsidRDefault="00AE4E75" w:rsidP="00EC3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622" w:type="dxa"/>
            <w:vAlign w:val="center"/>
          </w:tcPr>
          <w:p w14:paraId="3AEAFB1C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84D">
              <w:rPr>
                <w:rFonts w:ascii="Times New Roman" w:hAnsi="Times New Roman" w:cs="Times New Roman"/>
                <w:sz w:val="20"/>
                <w:szCs w:val="20"/>
              </w:rPr>
              <w:t>Certyfikaty CE na oferowane urządzenia</w:t>
            </w:r>
          </w:p>
        </w:tc>
        <w:tc>
          <w:tcPr>
            <w:tcW w:w="2403" w:type="dxa"/>
          </w:tcPr>
          <w:p w14:paraId="63B0449A" w14:textId="77777777" w:rsidR="00AE4E75" w:rsidRPr="0049784D" w:rsidRDefault="00AE4E75" w:rsidP="00EC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60B3B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6459D4B0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65414052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134D8892" w14:textId="77777777" w:rsidR="00AE4E75" w:rsidRPr="0049784D" w:rsidRDefault="00AE4E75" w:rsidP="00AE4E75">
      <w:pPr>
        <w:rPr>
          <w:rFonts w:ascii="Times New Roman" w:hAnsi="Times New Roman" w:cs="Times New Roman"/>
        </w:rPr>
      </w:pPr>
    </w:p>
    <w:p w14:paraId="207D0968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E8F61" w14:textId="77777777" w:rsidR="00AE4E75" w:rsidRPr="0049784D" w:rsidRDefault="00AE4E75" w:rsidP="00AE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F69B6" w14:textId="77777777" w:rsidR="00AE4E75" w:rsidRPr="0049784D" w:rsidRDefault="00AE4E75" w:rsidP="00AE4E75"/>
    <w:p w14:paraId="088DD5F2" w14:textId="6B99BFFF" w:rsidR="00343BC7" w:rsidRDefault="00343BC7"/>
    <w:sectPr w:rsidR="00343B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5EAD" w14:textId="77777777" w:rsidR="00A77D16" w:rsidRDefault="00A77D16" w:rsidP="00517A6D">
      <w:pPr>
        <w:spacing w:after="0" w:line="240" w:lineRule="auto"/>
      </w:pPr>
      <w:r>
        <w:separator/>
      </w:r>
    </w:p>
  </w:endnote>
  <w:endnote w:type="continuationSeparator" w:id="0">
    <w:p w14:paraId="607BE86F" w14:textId="77777777" w:rsidR="00A77D16" w:rsidRDefault="00A77D16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DF96" w14:textId="77777777" w:rsidR="00A77D16" w:rsidRDefault="00A77D16" w:rsidP="00517A6D">
      <w:pPr>
        <w:spacing w:after="0" w:line="240" w:lineRule="auto"/>
      </w:pPr>
      <w:r>
        <w:separator/>
      </w:r>
    </w:p>
  </w:footnote>
  <w:footnote w:type="continuationSeparator" w:id="0">
    <w:p w14:paraId="0053CE49" w14:textId="77777777" w:rsidR="00A77D16" w:rsidRDefault="00A77D16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31050C"/>
    <w:rsid w:val="00337566"/>
    <w:rsid w:val="00343BC7"/>
    <w:rsid w:val="00364CE4"/>
    <w:rsid w:val="003B17EC"/>
    <w:rsid w:val="00517A6D"/>
    <w:rsid w:val="007A7362"/>
    <w:rsid w:val="007F7ECD"/>
    <w:rsid w:val="00837EA0"/>
    <w:rsid w:val="00A77D16"/>
    <w:rsid w:val="00A96192"/>
    <w:rsid w:val="00AE4E75"/>
    <w:rsid w:val="00C43125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2">
    <w:name w:val="Tabela - Siatka2"/>
    <w:basedOn w:val="Standardowy"/>
    <w:next w:val="Tabela-Siatka"/>
    <w:uiPriority w:val="39"/>
    <w:rsid w:val="00AE4E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E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6</cp:revision>
  <cp:lastPrinted>2023-01-13T12:57:00Z</cp:lastPrinted>
  <dcterms:created xsi:type="dcterms:W3CDTF">2023-07-17T08:54:00Z</dcterms:created>
  <dcterms:modified xsi:type="dcterms:W3CDTF">2023-07-17T11:22:00Z</dcterms:modified>
</cp:coreProperties>
</file>