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0511" w14:textId="77777777" w:rsidR="008D412D" w:rsidRDefault="008D412D" w:rsidP="008D412D">
      <w:pPr>
        <w:spacing w:after="313" w:line="260" w:lineRule="auto"/>
        <w:ind w:left="1518" w:hanging="10"/>
        <w:jc w:val="left"/>
      </w:pPr>
      <w:r>
        <w:rPr>
          <w:color w:val="181717"/>
          <w:sz w:val="20"/>
        </w:rPr>
        <w:t>SZCZEGÓŁOWY WYKAZ CZYNNOŚCI ZAWODOWYCH ORTOPTYSTKI</w:t>
      </w:r>
    </w:p>
    <w:p w14:paraId="2A601CF1" w14:textId="77777777" w:rsidR="008D412D" w:rsidRDefault="008D412D" w:rsidP="008D412D">
      <w:pPr>
        <w:numPr>
          <w:ilvl w:val="0"/>
          <w:numId w:val="1"/>
        </w:numPr>
        <w:spacing w:after="123" w:line="259" w:lineRule="auto"/>
        <w:ind w:right="52" w:hanging="360"/>
      </w:pPr>
      <w:r>
        <w:t xml:space="preserve">Wykonywanie badań </w:t>
      </w:r>
      <w:proofErr w:type="spellStart"/>
      <w:r>
        <w:t>ortoptycznych</w:t>
      </w:r>
      <w:proofErr w:type="spellEnd"/>
      <w:r>
        <w:t xml:space="preserve"> i określonych badań okulistycznych: </w:t>
      </w:r>
    </w:p>
    <w:p w14:paraId="44431321" w14:textId="77777777" w:rsidR="008D412D" w:rsidRDefault="008D412D" w:rsidP="008D412D">
      <w:pPr>
        <w:numPr>
          <w:ilvl w:val="1"/>
          <w:numId w:val="1"/>
        </w:numPr>
        <w:spacing w:after="26"/>
        <w:ind w:right="52" w:hanging="360"/>
      </w:pPr>
      <w:r>
        <w:t xml:space="preserve">ocena stanu psychofizycznego pacjenta przed wyborem metody badania </w:t>
      </w:r>
      <w:proofErr w:type="spellStart"/>
      <w:r>
        <w:t>ortoptycznego</w:t>
      </w:r>
      <w:proofErr w:type="spellEnd"/>
      <w:r>
        <w:t xml:space="preserve"> lub określonego badania okulistycznego; </w:t>
      </w:r>
    </w:p>
    <w:p w14:paraId="5C41C110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 xml:space="preserve">przygotowywanie </w:t>
      </w:r>
      <w:r>
        <w:tab/>
        <w:t xml:space="preserve">pacjenta </w:t>
      </w:r>
      <w:r>
        <w:tab/>
        <w:t xml:space="preserve">do </w:t>
      </w:r>
      <w:r>
        <w:tab/>
        <w:t xml:space="preserve">badań </w:t>
      </w:r>
      <w:r>
        <w:tab/>
      </w:r>
      <w:proofErr w:type="spellStart"/>
      <w:r>
        <w:t>ortoptycznych</w:t>
      </w:r>
      <w:proofErr w:type="spellEnd"/>
      <w:r>
        <w:t xml:space="preserve"> </w:t>
      </w:r>
      <w:r>
        <w:tab/>
        <w:t xml:space="preserve">i </w:t>
      </w:r>
      <w:r>
        <w:tab/>
        <w:t xml:space="preserve">określonych </w:t>
      </w:r>
      <w:r>
        <w:tab/>
        <w:t xml:space="preserve">badań okulistycznych; </w:t>
      </w:r>
    </w:p>
    <w:p w14:paraId="6198681D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 xml:space="preserve">dobieranie metod i narzędzi w celu wykonania badania okulistycznego lub </w:t>
      </w:r>
      <w:proofErr w:type="spellStart"/>
      <w:r>
        <w:t>ortoptycznego</w:t>
      </w:r>
      <w:proofErr w:type="spellEnd"/>
      <w:r>
        <w:t xml:space="preserve"> stosownie do możliwości pacjenta; </w:t>
      </w:r>
    </w:p>
    <w:p w14:paraId="2EDF108E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 xml:space="preserve">wykonywanie pomiarów pola widzenia w celu rozpoznania przez lekarza zaburzeń drogi wzrokowej; </w:t>
      </w:r>
    </w:p>
    <w:p w14:paraId="3E8AE044" w14:textId="77777777" w:rsidR="008D412D" w:rsidRDefault="008D412D" w:rsidP="008D412D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klasyfikowanie oczopląsu oraz zespołu blokady oczopląsu przez konwergencję; </w:t>
      </w:r>
    </w:p>
    <w:p w14:paraId="70CA71E2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 xml:space="preserve">rozpoznawanie przyczyny i czasu powstania choroby </w:t>
      </w:r>
      <w:proofErr w:type="spellStart"/>
      <w:r>
        <w:t>zezowej</w:t>
      </w:r>
      <w:proofErr w:type="spellEnd"/>
      <w:r>
        <w:t xml:space="preserve">, niedowidzenia i innych zaburzeń widzenia na podstawie wywiadu; </w:t>
      </w:r>
    </w:p>
    <w:p w14:paraId="217FDB7F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>wykonywanie badań ostrości widzenia, wielkości kąta zeza, parametrów obuocznego widzenia, fiksacji, korespondencji siatkówkowej, konwergencji, ruchomości gałek ocznych, akomodacji, z uwzględnieniem wieku i rozwoju psychomotorycznego pacjenta;</w:t>
      </w:r>
      <w:r>
        <w:rPr>
          <w:rFonts w:ascii="Calibri" w:eastAsia="Calibri" w:hAnsi="Calibri" w:cs="Calibri"/>
          <w:sz w:val="22"/>
        </w:rPr>
        <w:t xml:space="preserve"> </w:t>
      </w:r>
    </w:p>
    <w:p w14:paraId="41145C4C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 xml:space="preserve">wykonywanie badań wskazujących na przyczynę zeza porażennego, takich jak: ekran Hessa, smuga Hessa, badanie na synoptoforze lub </w:t>
      </w:r>
      <w:proofErr w:type="spellStart"/>
      <w:r>
        <w:t>synoptometrze</w:t>
      </w:r>
      <w:proofErr w:type="spellEnd"/>
      <w:r>
        <w:t xml:space="preserve"> obuocznego widzenia w dziewięciu kierunkach spojrzenia;</w:t>
      </w:r>
      <w:r>
        <w:rPr>
          <w:rFonts w:ascii="Calibri" w:eastAsia="Calibri" w:hAnsi="Calibri" w:cs="Calibri"/>
          <w:sz w:val="22"/>
        </w:rPr>
        <w:t xml:space="preserve"> </w:t>
      </w:r>
    </w:p>
    <w:p w14:paraId="45259C30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 xml:space="preserve">wykonywanie badań ruchomości gałek ocznych, kąta zeza, obuocznego widzenia, korespondencji, fiksacji, akomodacji, diplopii i </w:t>
      </w:r>
      <w:proofErr w:type="spellStart"/>
      <w:r>
        <w:t>koordynometrii</w:t>
      </w:r>
      <w:proofErr w:type="spellEnd"/>
      <w:r>
        <w:t xml:space="preserve">; </w:t>
      </w:r>
    </w:p>
    <w:p w14:paraId="4EE5A957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 xml:space="preserve">wykonywanie badań okulistycznych, takich jak: badanie wady refrakcji na refraktometrze, badanie pola widzenia i badanie ciśnienia </w:t>
      </w:r>
      <w:proofErr w:type="spellStart"/>
      <w:r>
        <w:t>śródgałkowego</w:t>
      </w:r>
      <w:proofErr w:type="spellEnd"/>
      <w:r>
        <w:t xml:space="preserve"> na zlecenie lekarza specjalisty w dziedzinie okulistyki; </w:t>
      </w:r>
    </w:p>
    <w:p w14:paraId="5B9E4885" w14:textId="77777777" w:rsidR="008D412D" w:rsidRDefault="008D412D" w:rsidP="008D412D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dokonywanie pomiaru wady refrakcji za pomocą </w:t>
      </w:r>
      <w:proofErr w:type="spellStart"/>
      <w:r>
        <w:t>autorefraktometru</w:t>
      </w:r>
      <w:proofErr w:type="spellEnd"/>
      <w:r>
        <w:t xml:space="preserve">; </w:t>
      </w:r>
    </w:p>
    <w:p w14:paraId="6250EEF4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 xml:space="preserve">ustalanie diagnozy </w:t>
      </w:r>
      <w:proofErr w:type="spellStart"/>
      <w:r>
        <w:t>ortoptycznej</w:t>
      </w:r>
      <w:proofErr w:type="spellEnd"/>
      <w:r>
        <w:t xml:space="preserve"> na podstawie uzyskanych wyników badań okulistycznych; </w:t>
      </w:r>
    </w:p>
    <w:p w14:paraId="55EC0245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>ustalanie przebiegu leczenia niedowidzenia, zeza i innych zaburzeń widzenia na podstawie przeprowadzonych badań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okulistycznych; </w:t>
      </w:r>
    </w:p>
    <w:p w14:paraId="5A200607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>ocena rokowania leczenia niedowidzenia, zeza i oczopląsu na podstawie uzyskanych wyników badań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okulistycznych; </w:t>
      </w:r>
    </w:p>
    <w:p w14:paraId="19942924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lastRenderedPageBreak/>
        <w:t>dokonywanie zapisu wady wzroku na podstawie przeprowadzonego badania okulistycznego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u pacjentów z zezem, niedowidzeniem i oczopląsem; </w:t>
      </w:r>
    </w:p>
    <w:p w14:paraId="63FB0173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 xml:space="preserve">ocena wady na podstawie otrzymanych wyników badań okulistycznych, skierowań lub okularów pacjenta u pacjentów z zezem, niedowidzeniem i oczopląsem. </w:t>
      </w:r>
    </w:p>
    <w:p w14:paraId="2F737B89" w14:textId="77777777" w:rsidR="008D412D" w:rsidRDefault="008D412D" w:rsidP="008D412D">
      <w:pPr>
        <w:numPr>
          <w:ilvl w:val="0"/>
          <w:numId w:val="1"/>
        </w:numPr>
        <w:ind w:right="52" w:hanging="360"/>
      </w:pPr>
      <w:r>
        <w:t xml:space="preserve">Prowadzenie leczenia zachowawczego w niedowidzeniu, zezie i innych zaburzeniach widzenia obuocznego: </w:t>
      </w:r>
    </w:p>
    <w:p w14:paraId="7C56F9AD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 xml:space="preserve">planowanie leczenia, kontrola wyników i ocena rokowania w przebiegu zeza, niedowidzenia oraz innych zaburzeń widzenia na podstawie badań </w:t>
      </w:r>
      <w:proofErr w:type="spellStart"/>
      <w:r>
        <w:t>ortoptycznych</w:t>
      </w:r>
      <w:proofErr w:type="spellEnd"/>
      <w:r>
        <w:t xml:space="preserve"> i okulistycznych; </w:t>
      </w:r>
    </w:p>
    <w:p w14:paraId="2FB569EB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 xml:space="preserve">dobieranie korekcji optycznej, w tym pryzmatycznej, adekwatnie do problemu wzrokowego w leczeniu zeza, niedowidzenia, </w:t>
      </w:r>
      <w:proofErr w:type="spellStart"/>
      <w:r>
        <w:t>słabowidzenia</w:t>
      </w:r>
      <w:proofErr w:type="spellEnd"/>
      <w:r>
        <w:t xml:space="preserve"> o różnej etiologii i innych zaburzeniach widzenia obuocznego u dzieci i dorosłych na zlecenie lekarza specjalisty w dziedzinie okulistyki; </w:t>
      </w:r>
    </w:p>
    <w:p w14:paraId="5DAD30D0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 xml:space="preserve">dobieranie metod terapeutycznych w leczeniu zeza, niedowidzenia oraz innych zaburzeń widzenia obuocznego i innych funkcji wzrokowych; </w:t>
      </w:r>
    </w:p>
    <w:p w14:paraId="58369099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 xml:space="preserve">przeprowadzanie terapii w zezie, zaburzeniach widzenia obuocznego i innych funkcji wzrokowych oraz niedowidzeniu; </w:t>
      </w:r>
    </w:p>
    <w:p w14:paraId="40563325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 xml:space="preserve">stosowanie produktów leczniczych rozszerzających źrenice i porażających akomodację lub innych produktów leczniczych niezbędnych w terapii </w:t>
      </w:r>
      <w:proofErr w:type="spellStart"/>
      <w:r>
        <w:t>ortoptycznej</w:t>
      </w:r>
      <w:proofErr w:type="spellEnd"/>
      <w:r>
        <w:t xml:space="preserve"> na zlecenie lekarza specjalisty w dziedzinie okulistyki. </w:t>
      </w:r>
    </w:p>
    <w:p w14:paraId="45F4EC0E" w14:textId="77777777" w:rsidR="008D412D" w:rsidRDefault="008D412D" w:rsidP="008D412D">
      <w:pPr>
        <w:numPr>
          <w:ilvl w:val="0"/>
          <w:numId w:val="1"/>
        </w:numPr>
        <w:spacing w:after="123" w:line="259" w:lineRule="auto"/>
        <w:ind w:right="52" w:hanging="360"/>
      </w:pPr>
      <w:r>
        <w:t xml:space="preserve">Dobieranie pomocy optycznych i nieoptycznych:   </w:t>
      </w:r>
    </w:p>
    <w:p w14:paraId="6010B837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 xml:space="preserve">dobieranie korekcji optycznej, w tym pryzmatycznej, adekwatnie do problemu wzrokowego w leczeniu zeza, niedowidzenia, </w:t>
      </w:r>
      <w:proofErr w:type="spellStart"/>
      <w:r>
        <w:t>słabowidzenia</w:t>
      </w:r>
      <w:proofErr w:type="spellEnd"/>
      <w:r>
        <w:t xml:space="preserve"> o różnej etiologii i innych zaburzeń widzenia obuocznego u dzieci i dorosłych na zlecenie lekarza specjalisty w dziedzinie okulistyki; </w:t>
      </w:r>
    </w:p>
    <w:p w14:paraId="7C77FBBB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 xml:space="preserve">dobieranie pomocy optycznych i nieoptycznych wspomagających widzenie w leczeniu zeza, niedowidzenia oraz dolegliwości </w:t>
      </w:r>
      <w:proofErr w:type="spellStart"/>
      <w:r>
        <w:t>astenopijnych</w:t>
      </w:r>
      <w:proofErr w:type="spellEnd"/>
      <w:r>
        <w:t xml:space="preserve">; </w:t>
      </w:r>
    </w:p>
    <w:p w14:paraId="22012866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 xml:space="preserve">projektowanie i wykonywanie pomocy nieoptycznych wspomagających leczenie zeza, niedowidzenia, </w:t>
      </w:r>
      <w:proofErr w:type="spellStart"/>
      <w:r>
        <w:t>słabowidzenia</w:t>
      </w:r>
      <w:proofErr w:type="spellEnd"/>
      <w:r>
        <w:t xml:space="preserve"> o różnej etiologii oraz dolegliwościach </w:t>
      </w:r>
      <w:proofErr w:type="spellStart"/>
      <w:r>
        <w:t>astenopijnych</w:t>
      </w:r>
      <w:proofErr w:type="spellEnd"/>
      <w:r>
        <w:t xml:space="preserve">. </w:t>
      </w:r>
    </w:p>
    <w:p w14:paraId="2177A773" w14:textId="77777777" w:rsidR="008D412D" w:rsidRDefault="008D412D" w:rsidP="008D412D">
      <w:pPr>
        <w:numPr>
          <w:ilvl w:val="0"/>
          <w:numId w:val="1"/>
        </w:numPr>
        <w:ind w:right="52" w:hanging="360"/>
      </w:pPr>
      <w:r>
        <w:t xml:space="preserve">Współpraca z pacjentem, lekarzem specjalistą w dziedzinie okulistyki, </w:t>
      </w:r>
      <w:proofErr w:type="spellStart"/>
      <w:r>
        <w:t>optometrystą</w:t>
      </w:r>
      <w:proofErr w:type="spellEnd"/>
      <w:r>
        <w:t xml:space="preserve"> i zespołem wielodyscyplinarnym: </w:t>
      </w:r>
    </w:p>
    <w:p w14:paraId="065FAAD1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 xml:space="preserve">współpraca z lekarzem specjalistą w dziedzinie okulistyki, innymi specjalistami i fizjoterapeutą w zakresie leczenia zeza, niedowidzenia i innych zaburzeń widzenia; </w:t>
      </w:r>
    </w:p>
    <w:p w14:paraId="1F28C4B5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lastRenderedPageBreak/>
        <w:t>stosowanie produktów leczniczych rozszerzających źrenice i porażających akomodację lub innych produktów leczniczych zleconych przez lekarza specjalistę w dziedzinie okulistyki koniecznych do wykonania badań okulistycznych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na zlecenie lekarza specjalisty w dziedzinie okulistyki; </w:t>
      </w:r>
    </w:p>
    <w:p w14:paraId="7A0F10BE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 xml:space="preserve">komunikowanie się z pacjentem w zakresie planowanych sposobów leczenia zeza, niedowidzenia i innych zaburzeń widzenia; </w:t>
      </w:r>
    </w:p>
    <w:p w14:paraId="2F0243AF" w14:textId="77777777" w:rsidR="008D412D" w:rsidRDefault="008D412D" w:rsidP="008D412D">
      <w:pPr>
        <w:numPr>
          <w:ilvl w:val="1"/>
          <w:numId w:val="1"/>
        </w:numPr>
        <w:ind w:right="52" w:hanging="360"/>
      </w:pPr>
      <w:r>
        <w:t xml:space="preserve">wydawanie opinii w zakresie stanu widzenia obuocznego, zeza, niedowidzenia, oczopląsu i innych zaburzeń widzenia u dzieci i dorosłych. </w:t>
      </w:r>
    </w:p>
    <w:p w14:paraId="04EB5164" w14:textId="77777777" w:rsidR="008D412D" w:rsidRDefault="008D412D" w:rsidP="008D412D">
      <w:pPr>
        <w:numPr>
          <w:ilvl w:val="0"/>
          <w:numId w:val="1"/>
        </w:numPr>
        <w:ind w:right="52" w:hanging="360"/>
      </w:pPr>
      <w:r>
        <w:t xml:space="preserve">Prowadzenie profilaktyki narządu wzroku, w tym wykonywanie badań przesiewowych i bilansowych u dzieci i dorosłych. </w:t>
      </w:r>
    </w:p>
    <w:p w14:paraId="78B548A2" w14:textId="77777777" w:rsidR="00AF1CBB" w:rsidRDefault="008D412D"/>
    <w:sectPr w:rsidR="00AF1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DD3"/>
    <w:multiLevelType w:val="hybridMultilevel"/>
    <w:tmpl w:val="E1AC2C64"/>
    <w:lvl w:ilvl="0" w:tplc="83FE4BA0">
      <w:start w:val="1"/>
      <w:numFmt w:val="decimal"/>
      <w:lvlText w:val="%1."/>
      <w:lvlJc w:val="left"/>
      <w:pPr>
        <w:ind w:left="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6D78A">
      <w:start w:val="1"/>
      <w:numFmt w:val="decimal"/>
      <w:lvlText w:val="%2)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ACF06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4FCC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69FA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AF58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C65B6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3E980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0E03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BD"/>
    <w:rsid w:val="008D412D"/>
    <w:rsid w:val="00A84E0A"/>
    <w:rsid w:val="00AF54BD"/>
    <w:rsid w:val="00C9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45CD2-21D4-4CA9-8E10-5ADDBACA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12D"/>
    <w:pPr>
      <w:spacing w:after="5" w:line="362" w:lineRule="auto"/>
      <w:ind w:left="761" w:hanging="36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Krystaszek</dc:creator>
  <cp:keywords/>
  <dc:description/>
  <cp:lastModifiedBy>Arleta Krystaszek</cp:lastModifiedBy>
  <cp:revision>2</cp:revision>
  <dcterms:created xsi:type="dcterms:W3CDTF">2026-05-19T11:36:00Z</dcterms:created>
  <dcterms:modified xsi:type="dcterms:W3CDTF">2026-05-19T11:36:00Z</dcterms:modified>
</cp:coreProperties>
</file>