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A117" w14:textId="6585D3E8" w:rsidR="00941A8E" w:rsidRPr="00941A8E" w:rsidRDefault="00941A8E" w:rsidP="00941A8E">
      <w:pPr>
        <w:jc w:val="center"/>
        <w:rPr>
          <w:rFonts w:ascii="Times New Roman" w:hAnsi="Times New Roman" w:cs="Times New Roman"/>
          <w:b/>
          <w:bCs/>
        </w:rPr>
      </w:pPr>
      <w:bookmarkStart w:id="0" w:name="_Hlk207347488"/>
      <w:r w:rsidRPr="00941A8E">
        <w:rPr>
          <w:rFonts w:ascii="Times New Roman" w:hAnsi="Times New Roman" w:cs="Times New Roman"/>
          <w:b/>
          <w:bCs/>
        </w:rPr>
        <w:t>ZESTAWIENIE UWAG</w:t>
      </w:r>
    </w:p>
    <w:p w14:paraId="0FBEC59A" w14:textId="37038379" w:rsidR="00941A8E" w:rsidRPr="00941A8E" w:rsidRDefault="00535DE0" w:rsidP="00941A8E">
      <w:pPr>
        <w:jc w:val="center"/>
        <w:rPr>
          <w:rFonts w:ascii="Times New Roman" w:hAnsi="Times New Roman" w:cs="Times New Roman"/>
          <w:b/>
          <w:bCs/>
        </w:rPr>
      </w:pPr>
      <w:r w:rsidRPr="00941A8E">
        <w:rPr>
          <w:rFonts w:ascii="Times New Roman" w:hAnsi="Times New Roman" w:cs="Times New Roman"/>
          <w:b/>
          <w:bCs/>
        </w:rPr>
        <w:t xml:space="preserve">DO PROJEKTU </w:t>
      </w:r>
      <w:r>
        <w:rPr>
          <w:rFonts w:ascii="Times New Roman" w:hAnsi="Times New Roman" w:cs="Times New Roman"/>
          <w:b/>
          <w:bCs/>
        </w:rPr>
        <w:t>USTAWY O ZMIANIE USTAWY – PRAWO O USTROJU SĄDÓW POWSZECHNYCH (UD379)</w:t>
      </w:r>
    </w:p>
    <w:p w14:paraId="24AF5B0C" w14:textId="49545D15" w:rsidR="00941A8E" w:rsidRPr="00941A8E" w:rsidRDefault="00941A8E" w:rsidP="00941A8E">
      <w:pPr>
        <w:jc w:val="center"/>
        <w:rPr>
          <w:rFonts w:ascii="Times New Roman" w:hAnsi="Times New Roman" w:cs="Times New Roman"/>
          <w:b/>
          <w:bCs/>
        </w:rPr>
      </w:pPr>
      <w:r w:rsidRPr="00941A8E">
        <w:rPr>
          <w:rFonts w:ascii="Times New Roman" w:hAnsi="Times New Roman" w:cs="Times New Roman"/>
          <w:b/>
          <w:bCs/>
        </w:rPr>
        <w:t xml:space="preserve">ZGŁOSZONYCH </w:t>
      </w:r>
      <w:r w:rsidR="00442CC3">
        <w:rPr>
          <w:rFonts w:ascii="Times New Roman" w:hAnsi="Times New Roman" w:cs="Times New Roman"/>
          <w:b/>
          <w:bCs/>
        </w:rPr>
        <w:t xml:space="preserve">W RAMACH </w:t>
      </w:r>
      <w:r w:rsidR="000B271D">
        <w:rPr>
          <w:rFonts w:ascii="Times New Roman" w:hAnsi="Times New Roman" w:cs="Times New Roman"/>
          <w:b/>
          <w:bCs/>
        </w:rPr>
        <w:t>OPINIOWANIA</w:t>
      </w:r>
      <w:r w:rsidR="00E96915">
        <w:rPr>
          <w:rFonts w:ascii="Times New Roman" w:hAnsi="Times New Roman" w:cs="Times New Roman"/>
          <w:b/>
          <w:bCs/>
        </w:rPr>
        <w:t xml:space="preserve"> I KONSULTACJI</w:t>
      </w:r>
    </w:p>
    <w:tbl>
      <w:tblPr>
        <w:tblStyle w:val="Tabela-Siatka"/>
        <w:tblW w:w="14737" w:type="dxa"/>
        <w:jc w:val="center"/>
        <w:tblLayout w:type="fixed"/>
        <w:tblCellMar>
          <w:top w:w="57" w:type="dxa"/>
          <w:left w:w="85" w:type="dxa"/>
          <w:bottom w:w="57" w:type="dxa"/>
          <w:right w:w="85" w:type="dxa"/>
        </w:tblCellMar>
        <w:tblLook w:val="04A0" w:firstRow="1" w:lastRow="0" w:firstColumn="1" w:lastColumn="0" w:noHBand="0" w:noVBand="1"/>
      </w:tblPr>
      <w:tblGrid>
        <w:gridCol w:w="551"/>
        <w:gridCol w:w="1546"/>
        <w:gridCol w:w="1547"/>
        <w:gridCol w:w="5571"/>
        <w:gridCol w:w="5522"/>
      </w:tblGrid>
      <w:tr w:rsidR="00941A8E" w:rsidRPr="00941A8E" w14:paraId="0CC27005" w14:textId="77777777" w:rsidTr="00D770D8">
        <w:trPr>
          <w:trHeight w:val="860"/>
          <w:jc w:val="center"/>
        </w:trPr>
        <w:tc>
          <w:tcPr>
            <w:tcW w:w="55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6449460" w14:textId="77777777" w:rsidR="00941A8E" w:rsidRPr="00941A8E" w:rsidRDefault="00941A8E" w:rsidP="001B5104">
            <w:pPr>
              <w:spacing w:line="278" w:lineRule="auto"/>
              <w:jc w:val="center"/>
              <w:rPr>
                <w:rFonts w:ascii="Times New Roman" w:hAnsi="Times New Roman" w:cs="Times New Roman"/>
                <w:b/>
                <w:bCs/>
              </w:rPr>
            </w:pPr>
            <w:r w:rsidRPr="00941A8E">
              <w:rPr>
                <w:rFonts w:ascii="Times New Roman" w:hAnsi="Times New Roman" w:cs="Times New Roman"/>
                <w:b/>
                <w:bCs/>
              </w:rPr>
              <w:t>Lp.</w:t>
            </w:r>
          </w:p>
        </w:tc>
        <w:tc>
          <w:tcPr>
            <w:tcW w:w="1546"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FFD2FD8" w14:textId="77777777" w:rsidR="00941A8E" w:rsidRPr="00941A8E" w:rsidRDefault="00941A8E" w:rsidP="001B5104">
            <w:pPr>
              <w:spacing w:line="278" w:lineRule="auto"/>
              <w:jc w:val="center"/>
              <w:rPr>
                <w:rFonts w:ascii="Times New Roman" w:hAnsi="Times New Roman" w:cs="Times New Roman"/>
                <w:b/>
                <w:bCs/>
              </w:rPr>
            </w:pPr>
            <w:r w:rsidRPr="00941A8E">
              <w:rPr>
                <w:rFonts w:ascii="Times New Roman" w:hAnsi="Times New Roman" w:cs="Times New Roman"/>
                <w:b/>
                <w:bCs/>
              </w:rPr>
              <w:t>Jednostka redakcyjna</w:t>
            </w:r>
          </w:p>
        </w:tc>
        <w:tc>
          <w:tcPr>
            <w:tcW w:w="1547"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F214CCE" w14:textId="77777777" w:rsidR="00941A8E" w:rsidRPr="00941A8E" w:rsidRDefault="00941A8E" w:rsidP="001B5104">
            <w:pPr>
              <w:spacing w:line="278" w:lineRule="auto"/>
              <w:jc w:val="center"/>
              <w:rPr>
                <w:rFonts w:ascii="Times New Roman" w:hAnsi="Times New Roman" w:cs="Times New Roman"/>
                <w:b/>
                <w:bCs/>
              </w:rPr>
            </w:pPr>
            <w:r w:rsidRPr="00941A8E">
              <w:rPr>
                <w:rFonts w:ascii="Times New Roman" w:hAnsi="Times New Roman" w:cs="Times New Roman"/>
                <w:b/>
                <w:bCs/>
              </w:rPr>
              <w:t>Podmiot zgłaszający uwagę</w:t>
            </w:r>
          </w:p>
        </w:tc>
        <w:tc>
          <w:tcPr>
            <w:tcW w:w="557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B8C64C8" w14:textId="77777777" w:rsidR="00941A8E" w:rsidRPr="00941A8E" w:rsidRDefault="00941A8E" w:rsidP="001B5104">
            <w:pPr>
              <w:spacing w:line="278" w:lineRule="auto"/>
              <w:jc w:val="center"/>
              <w:rPr>
                <w:rFonts w:ascii="Times New Roman" w:hAnsi="Times New Roman" w:cs="Times New Roman"/>
                <w:b/>
                <w:bCs/>
              </w:rPr>
            </w:pPr>
            <w:r w:rsidRPr="00941A8E">
              <w:rPr>
                <w:rFonts w:ascii="Times New Roman" w:hAnsi="Times New Roman" w:cs="Times New Roman"/>
                <w:b/>
                <w:bCs/>
              </w:rPr>
              <w:t>Treść uwagi</w:t>
            </w:r>
          </w:p>
        </w:tc>
        <w:tc>
          <w:tcPr>
            <w:tcW w:w="5522"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40346DE" w14:textId="1D567F13" w:rsidR="00941A8E" w:rsidRPr="00941A8E" w:rsidRDefault="00737453" w:rsidP="001B5104">
            <w:pPr>
              <w:spacing w:line="278" w:lineRule="auto"/>
              <w:jc w:val="center"/>
              <w:rPr>
                <w:rFonts w:ascii="Times New Roman" w:hAnsi="Times New Roman" w:cs="Times New Roman"/>
                <w:b/>
                <w:bCs/>
              </w:rPr>
            </w:pPr>
            <w:r>
              <w:rPr>
                <w:rFonts w:ascii="Times New Roman" w:hAnsi="Times New Roman" w:cs="Times New Roman"/>
                <w:b/>
                <w:bCs/>
              </w:rPr>
              <w:t>S</w:t>
            </w:r>
            <w:r w:rsidR="008423FB">
              <w:rPr>
                <w:rFonts w:ascii="Times New Roman" w:hAnsi="Times New Roman" w:cs="Times New Roman"/>
                <w:b/>
                <w:bCs/>
              </w:rPr>
              <w:t>tanowisk</w:t>
            </w:r>
            <w:r w:rsidR="009D60FC">
              <w:rPr>
                <w:rFonts w:ascii="Times New Roman" w:hAnsi="Times New Roman" w:cs="Times New Roman"/>
                <w:b/>
                <w:bCs/>
              </w:rPr>
              <w:t>o</w:t>
            </w:r>
            <w:r w:rsidR="00941A8E" w:rsidRPr="00941A8E">
              <w:rPr>
                <w:rFonts w:ascii="Times New Roman" w:hAnsi="Times New Roman" w:cs="Times New Roman"/>
                <w:b/>
                <w:bCs/>
              </w:rPr>
              <w:t xml:space="preserve"> </w:t>
            </w:r>
            <w:r>
              <w:rPr>
                <w:rFonts w:ascii="Times New Roman" w:hAnsi="Times New Roman" w:cs="Times New Roman"/>
                <w:b/>
                <w:bCs/>
              </w:rPr>
              <w:t>projektodawcy</w:t>
            </w:r>
          </w:p>
        </w:tc>
      </w:tr>
      <w:tr w:rsidR="00D827E1" w:rsidRPr="00941A8E" w14:paraId="3B75C448"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6092E4BC" w14:textId="77777777" w:rsidR="00D827E1" w:rsidRPr="007173A9" w:rsidRDefault="00D827E1" w:rsidP="009F4276">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7E5DDEDA" w14:textId="69B392F1" w:rsidR="00087A92" w:rsidRDefault="008509C2" w:rsidP="00C940AE">
            <w:pPr>
              <w:jc w:val="center"/>
              <w:rPr>
                <w:rFonts w:ascii="Times New Roman" w:hAnsi="Times New Roman" w:cs="Times New Roman"/>
                <w:sz w:val="22"/>
                <w:szCs w:val="22"/>
              </w:rPr>
            </w:pPr>
            <w:r>
              <w:rPr>
                <w:rFonts w:ascii="Times New Roman" w:hAnsi="Times New Roman" w:cs="Times New Roman"/>
                <w:sz w:val="22"/>
                <w:szCs w:val="22"/>
              </w:rPr>
              <w:t>art. 1 pkt 1</w:t>
            </w:r>
          </w:p>
        </w:tc>
        <w:tc>
          <w:tcPr>
            <w:tcW w:w="1547" w:type="dxa"/>
            <w:tcBorders>
              <w:top w:val="single" w:sz="4" w:space="0" w:color="auto"/>
              <w:left w:val="single" w:sz="4" w:space="0" w:color="auto"/>
              <w:bottom w:val="single" w:sz="4" w:space="0" w:color="auto"/>
              <w:right w:val="single" w:sz="4" w:space="0" w:color="auto"/>
            </w:tcBorders>
          </w:tcPr>
          <w:p w14:paraId="723B5A3D" w14:textId="6F7EEA3F" w:rsidR="00D827E1" w:rsidRDefault="008509C2" w:rsidP="00D827E1">
            <w:pPr>
              <w:spacing w:after="120"/>
              <w:jc w:val="center"/>
              <w:rPr>
                <w:rFonts w:ascii="Times New Roman" w:hAnsi="Times New Roman" w:cs="Times New Roman"/>
                <w:sz w:val="22"/>
                <w:szCs w:val="22"/>
              </w:rPr>
            </w:pPr>
            <w:r>
              <w:rPr>
                <w:rFonts w:ascii="Times New Roman" w:hAnsi="Times New Roman" w:cs="Times New Roman"/>
                <w:sz w:val="22"/>
                <w:szCs w:val="22"/>
              </w:rPr>
              <w:t xml:space="preserve">Sąd Najwyższy </w:t>
            </w:r>
          </w:p>
        </w:tc>
        <w:tc>
          <w:tcPr>
            <w:tcW w:w="5571" w:type="dxa"/>
            <w:tcBorders>
              <w:top w:val="single" w:sz="4" w:space="0" w:color="auto"/>
              <w:left w:val="single" w:sz="4" w:space="0" w:color="auto"/>
              <w:bottom w:val="single" w:sz="4" w:space="0" w:color="auto"/>
              <w:right w:val="single" w:sz="4" w:space="0" w:color="auto"/>
            </w:tcBorders>
          </w:tcPr>
          <w:p w14:paraId="72ED6693" w14:textId="77777777" w:rsidR="008509C2" w:rsidRPr="008509C2" w:rsidRDefault="008509C2" w:rsidP="008509C2">
            <w:pPr>
              <w:spacing w:after="120"/>
              <w:jc w:val="both"/>
              <w:rPr>
                <w:rFonts w:ascii="Times New Roman" w:hAnsi="Times New Roman" w:cs="Times New Roman"/>
                <w:sz w:val="22"/>
                <w:szCs w:val="22"/>
              </w:rPr>
            </w:pPr>
            <w:r w:rsidRPr="008509C2">
              <w:rPr>
                <w:rFonts w:ascii="Times New Roman" w:hAnsi="Times New Roman" w:cs="Times New Roman"/>
                <w:sz w:val="22"/>
                <w:szCs w:val="22"/>
              </w:rPr>
              <w:t>Po pierwsze, w projekcie przewiduje się dodanie art. 5 § 2a, który stanowi, że osoba głucha ma prawo do występowania przed sądem w znanym przez nią języku migowym i bezpłatnego korzystania z pomocy tłumacza tego języka. Przepis ten jest identyczny w swej konstrukcji jak unormowanie obecnie obowiązującego art. 5 § 2 ustawy z dnia 27 lipca 2001 r. – Prawo o ustroju sądów powszechnych (</w:t>
            </w:r>
            <w:proofErr w:type="spellStart"/>
            <w:r w:rsidRPr="008509C2">
              <w:rPr>
                <w:rFonts w:ascii="Times New Roman" w:hAnsi="Times New Roman" w:cs="Times New Roman"/>
                <w:sz w:val="22"/>
                <w:szCs w:val="22"/>
              </w:rPr>
              <w:t>t.j</w:t>
            </w:r>
            <w:proofErr w:type="spellEnd"/>
            <w:r w:rsidRPr="008509C2">
              <w:rPr>
                <w:rFonts w:ascii="Times New Roman" w:hAnsi="Times New Roman" w:cs="Times New Roman"/>
                <w:sz w:val="22"/>
                <w:szCs w:val="22"/>
              </w:rPr>
              <w:t xml:space="preserve">. Dz.U. z 2023 r. poz. 1860, dalej: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który zapewnia bezpłatną pomoc tłumacza osobie niewładającej w wystarczającym stopniu językiem polskim. W projekcie nie przewidziano jednak, jak ma to miejsce w przypadku tłumacza języka naturalnego, procedury przyznawania tłumacza języka migowego. Wypełnienie tej luki wymaga stosownej nowelizacji art. 5 § 3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który stanowi, że o przyznaniu tłumacza osobie, o której mowa w § 2, orzeka sąd właściwy do rozpoznania sprawy w pierwszej instancji. Wniosek o przyznanie tłumacza zgłoszony w toku sprawy rozpoznaje sąd tej instancji, w której sprawa się toczy. Zmiana powinna polegać na zmodyfikowaniu odesłania zawartego w powyższym unormowaniu przez wymienienie w nim nie tylko § 2, ale także dodawanego § 2a. Biorąc bowiem pod uwagę, że pomoc tłumacza języka migowego odbywa się na takich samych zasadach jak języka naturalnego, także kwestie proceduralne związane z przyznaniem tłumacza powinny być uregulowane tak samo.  </w:t>
            </w:r>
          </w:p>
          <w:p w14:paraId="6A01B88A" w14:textId="5518E57E" w:rsidR="00D827E1" w:rsidRDefault="00936E65" w:rsidP="00734A70">
            <w:pPr>
              <w:spacing w:after="120"/>
              <w:jc w:val="both"/>
              <w:rPr>
                <w:rFonts w:ascii="Times New Roman" w:hAnsi="Times New Roman" w:cs="Times New Roman"/>
                <w:sz w:val="22"/>
                <w:szCs w:val="22"/>
              </w:rPr>
            </w:pPr>
            <w:r>
              <w:rPr>
                <w:rFonts w:ascii="Times New Roman" w:hAnsi="Times New Roman" w:cs="Times New Roman"/>
                <w:sz w:val="22"/>
                <w:szCs w:val="22"/>
              </w:rPr>
              <w:t xml:space="preserve"> </w:t>
            </w:r>
          </w:p>
        </w:tc>
        <w:tc>
          <w:tcPr>
            <w:tcW w:w="5522" w:type="dxa"/>
            <w:tcBorders>
              <w:top w:val="single" w:sz="4" w:space="0" w:color="auto"/>
              <w:left w:val="single" w:sz="4" w:space="0" w:color="auto"/>
              <w:bottom w:val="single" w:sz="4" w:space="0" w:color="auto"/>
              <w:right w:val="single" w:sz="4" w:space="0" w:color="auto"/>
            </w:tcBorders>
          </w:tcPr>
          <w:p w14:paraId="5F117301" w14:textId="177E1883" w:rsidR="00D827E1" w:rsidRPr="0040571C" w:rsidRDefault="0040571C" w:rsidP="00FD71D4">
            <w:pPr>
              <w:spacing w:after="60"/>
              <w:jc w:val="both"/>
              <w:rPr>
                <w:rFonts w:ascii="Times New Roman" w:hAnsi="Times New Roman" w:cs="Times New Roman"/>
                <w:sz w:val="22"/>
                <w:szCs w:val="22"/>
              </w:rPr>
            </w:pPr>
            <w:r w:rsidRPr="0040571C">
              <w:rPr>
                <w:rFonts w:ascii="Times New Roman" w:hAnsi="Times New Roman" w:cs="Times New Roman"/>
                <w:sz w:val="22"/>
                <w:szCs w:val="22"/>
              </w:rPr>
              <w:t>Uwaga uwzględniona</w:t>
            </w:r>
            <w:r>
              <w:rPr>
                <w:rFonts w:ascii="Times New Roman" w:hAnsi="Times New Roman" w:cs="Times New Roman"/>
                <w:sz w:val="22"/>
                <w:szCs w:val="22"/>
              </w:rPr>
              <w:t>.</w:t>
            </w:r>
          </w:p>
        </w:tc>
      </w:tr>
      <w:tr w:rsidR="00371B48" w:rsidRPr="00941A8E" w14:paraId="7F3F2802"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2E269B22" w14:textId="77777777" w:rsidR="00371B48" w:rsidRPr="00C673CF" w:rsidRDefault="00371B48" w:rsidP="00371B48">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7CC240C7" w14:textId="7EBC37A4" w:rsidR="00371B48" w:rsidRPr="00360867" w:rsidRDefault="008509C2" w:rsidP="00371B48">
            <w:pPr>
              <w:jc w:val="center"/>
              <w:rPr>
                <w:rFonts w:ascii="Times New Roman" w:hAnsi="Times New Roman" w:cs="Times New Roman"/>
                <w:sz w:val="22"/>
                <w:szCs w:val="22"/>
              </w:rPr>
            </w:pPr>
            <w:r>
              <w:rPr>
                <w:rFonts w:ascii="Times New Roman" w:hAnsi="Times New Roman" w:cs="Times New Roman"/>
                <w:sz w:val="22"/>
                <w:szCs w:val="22"/>
              </w:rPr>
              <w:t xml:space="preserve">art. 1 pkt 1 </w:t>
            </w:r>
          </w:p>
        </w:tc>
        <w:tc>
          <w:tcPr>
            <w:tcW w:w="1547" w:type="dxa"/>
            <w:tcBorders>
              <w:top w:val="single" w:sz="4" w:space="0" w:color="auto"/>
              <w:left w:val="single" w:sz="4" w:space="0" w:color="auto"/>
              <w:bottom w:val="single" w:sz="4" w:space="0" w:color="auto"/>
              <w:right w:val="single" w:sz="4" w:space="0" w:color="auto"/>
            </w:tcBorders>
          </w:tcPr>
          <w:p w14:paraId="741F928D" w14:textId="3B931C12" w:rsidR="00371B48" w:rsidRDefault="008509C2" w:rsidP="00371B48">
            <w:pPr>
              <w:spacing w:after="120"/>
              <w:rPr>
                <w:rFonts w:ascii="Times New Roman" w:hAnsi="Times New Roman" w:cs="Times New Roman"/>
                <w:sz w:val="22"/>
                <w:szCs w:val="22"/>
              </w:rPr>
            </w:pPr>
            <w:r>
              <w:rPr>
                <w:rFonts w:ascii="Times New Roman" w:hAnsi="Times New Roman" w:cs="Times New Roman"/>
                <w:sz w:val="22"/>
                <w:szCs w:val="22"/>
              </w:rPr>
              <w:t xml:space="preserve">Stowarzyszenie Polski Instytut Sprawa Głuchych </w:t>
            </w:r>
          </w:p>
        </w:tc>
        <w:tc>
          <w:tcPr>
            <w:tcW w:w="5571" w:type="dxa"/>
            <w:tcBorders>
              <w:top w:val="single" w:sz="4" w:space="0" w:color="auto"/>
              <w:left w:val="single" w:sz="4" w:space="0" w:color="auto"/>
              <w:bottom w:val="single" w:sz="4" w:space="0" w:color="auto"/>
              <w:right w:val="single" w:sz="4" w:space="0" w:color="auto"/>
            </w:tcBorders>
          </w:tcPr>
          <w:p w14:paraId="31413D9E"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Działając w imieniu Stowarzyszenia Polski Instytut Praw Głuchych, w ramach procesu konsultacji publicznych, zgłaszamy uwagę do przedstawionego projektu w zakresie brzmienia projektowanego art. 5 § 2a. Wnosimy o nadanie mu następującej, doprecyzowanej treści:</w:t>
            </w:r>
          </w:p>
          <w:p w14:paraId="2EE5A66C"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2a. Osoba głucha ma prawo do występowania przed sądem w wybranym przez siebie języku migowym, w szczególności w polskim języku migowym (PJM),                                            oraz do bezpłatnego korzystania z pomocy tłumacza zapewniającego skuteczną komunikację”.</w:t>
            </w:r>
          </w:p>
          <w:p w14:paraId="3B2E56C6"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UZASADNIENIE MERYTORYCZNE</w:t>
            </w:r>
          </w:p>
          <w:p w14:paraId="7BC3C617"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1. Wdrożenie standardów międzynarodowych i konstytucyjnych</w:t>
            </w:r>
          </w:p>
          <w:p w14:paraId="20934A3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Proponowana przez Instytut modyfikacja stanowi niezbędne przełożenie                                                        na grunt krajowy art. 13 Konwencji ONZ o prawach osób niepełnosprawnych. </w:t>
            </w:r>
          </w:p>
          <w:p w14:paraId="4D93863C"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W obecnym brzmieniu projektowanym przez Ministerstwo ("w znanym przez nią języku migowym") standard ten jest niepełny. Proponowana przez nas zmiana stanowi pełniejszą realizację art. 45 ust. 1 Konstytucji RP (prawo do sądu), gwarantując, że dostęp do wymiaru sprawiedliwości nie będzie jedynie formalny, lecz faktyczny.</w:t>
            </w:r>
          </w:p>
          <w:p w14:paraId="2F918C9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2. Podmiotowość komunikacyjna i ranga Polskiego Języka Migowego (PJM)</w:t>
            </w:r>
          </w:p>
          <w:p w14:paraId="7DCBE3D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Wskazanie wprost na Polski Język Migowy (PJM) jest uzasadnione jego statusem jako języka naturalnego, posiadającego własną strukturę gramatyczną. </w:t>
            </w:r>
          </w:p>
          <w:p w14:paraId="11F148B0"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Użycie w projekcie rządowym ogólnego sformułowania "znany język" jest zbyt nieostre i może w praktyce prowadzić do narzucania Systemu Językowo-Migowego (SJM). </w:t>
            </w:r>
          </w:p>
          <w:p w14:paraId="26B58324" w14:textId="77777777" w:rsidR="00371B48"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Przyznanie stronie prawa do wyboru języka jest wyrazem szacunku dla jej podmiotowości                      i gwarancją swobody wypowiedzi procesowej.</w:t>
            </w:r>
          </w:p>
          <w:p w14:paraId="3AE10664"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3. Standard „skutecznej komunikacji” jako gwarancja prawna</w:t>
            </w:r>
          </w:p>
          <w:p w14:paraId="65BF0F1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lastRenderedPageBreak/>
              <w:t xml:space="preserve">Wprowadzenie wymogu zapewnienia „skutecznej komunikacji” jest kluczowe.                                      Sam fakt obecności tłumacza "znanego języka" (jak proponuje rząd) nie gwarantuje zrozumienia specjalistycznej terminologii prawniczej. </w:t>
            </w:r>
          </w:p>
          <w:p w14:paraId="6DB36469"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Standard „skutecznej komunikacji” przenosi nacisk na rzeczywistą zrozumiałość przekazu.  Pełni on funkcję zabezpieczającą – pozwala na zmianę biegłego w sytuacji, gdy bariery lingwistyczne uniemożliwiają osobie głuchej realną obronę swoich praw.</w:t>
            </w:r>
          </w:p>
          <w:p w14:paraId="161FF5AD"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4. Sprawność postępowań i rzetelność orzekania</w:t>
            </w:r>
          </w:p>
          <w:p w14:paraId="6320A61E"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Z punktu widzenia nauki prawa, skuteczna komunikacja jest  warunkiem koniecznym                              do prawidłowego ustalenia faktów. </w:t>
            </w:r>
          </w:p>
          <w:p w14:paraId="7691B68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Precyzyjne określenie standardu tłumaczenia w art. 5 § 2a bezpośrednio wpłynie na trafność wyroków i ograniczy liczbę skarg kasacyjnych czy apelacji opartych na zarzutach naruszenia prawa do obrony i niewłaściwego zrozumienia intencji strony.</w:t>
            </w:r>
          </w:p>
          <w:p w14:paraId="4F14F70B"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Reasumując:</w:t>
            </w:r>
          </w:p>
          <w:p w14:paraId="72564745"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Przyjęcie poprawki w brzmieniu zaproponowanym przez Instytut jest niezbędne dla zapewnienia spójności polskiego systemu prawnego z zobowiązaniami międzynarodowymi. </w:t>
            </w:r>
          </w:p>
          <w:p w14:paraId="72F91FF1" w14:textId="77777777" w:rsidR="008509C2" w:rsidRPr="008509C2"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Postulowana treść art. 5 § 2a eliminuje ryzyko tworzenia przepisów o charakterze iluzorycznym, zastępując nieostre sformułowania projektodawcy precyzyjnymi gwarancjami procesowymi.                Tak sformułowana norma staje się realnym instrumentem ochrony prawnej, a nie jedynie symbolicznym zapisem w ustawie ustrojowej.</w:t>
            </w:r>
          </w:p>
          <w:p w14:paraId="6FB23524" w14:textId="5A4B66BF" w:rsidR="008509C2" w:rsidRPr="00D8753C" w:rsidRDefault="008509C2" w:rsidP="008509C2">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Implementacja zaproponowanych rozwiązań jest warunkiem niezbędnym dla urzeczywistnienia konstytucyjnych i konwencyjnych standardów ochrony prawnej, co pozwoli na wyeliminowanie barier o charakterze dyskryminacyjnym i zapewnienie pełnej </w:t>
            </w:r>
            <w:proofErr w:type="spellStart"/>
            <w:r w:rsidRPr="008509C2">
              <w:rPr>
                <w:rFonts w:ascii="Times New Roman" w:hAnsi="Times New Roman" w:cs="Times New Roman"/>
                <w:sz w:val="22"/>
                <w:szCs w:val="22"/>
              </w:rPr>
              <w:t>inkluzywności</w:t>
            </w:r>
            <w:proofErr w:type="spellEnd"/>
            <w:r w:rsidRPr="008509C2">
              <w:rPr>
                <w:rFonts w:ascii="Times New Roman" w:hAnsi="Times New Roman" w:cs="Times New Roman"/>
                <w:sz w:val="22"/>
                <w:szCs w:val="22"/>
              </w:rPr>
              <w:t xml:space="preserve"> postępowań sądowych.</w:t>
            </w:r>
          </w:p>
        </w:tc>
        <w:tc>
          <w:tcPr>
            <w:tcW w:w="5522" w:type="dxa"/>
            <w:tcBorders>
              <w:top w:val="single" w:sz="4" w:space="0" w:color="auto"/>
              <w:left w:val="single" w:sz="4" w:space="0" w:color="auto"/>
              <w:bottom w:val="single" w:sz="4" w:space="0" w:color="auto"/>
              <w:right w:val="single" w:sz="4" w:space="0" w:color="auto"/>
            </w:tcBorders>
          </w:tcPr>
          <w:p w14:paraId="770B155A" w14:textId="6A312DD6" w:rsidR="00371B48" w:rsidRPr="0040571C" w:rsidRDefault="0040571C" w:rsidP="00371B48">
            <w:pPr>
              <w:spacing w:after="60"/>
              <w:jc w:val="both"/>
              <w:rPr>
                <w:rFonts w:ascii="Times New Roman" w:hAnsi="Times New Roman" w:cs="Times New Roman"/>
                <w:sz w:val="22"/>
                <w:szCs w:val="22"/>
              </w:rPr>
            </w:pPr>
            <w:r w:rsidRPr="0040571C">
              <w:rPr>
                <w:rFonts w:ascii="Times New Roman" w:hAnsi="Times New Roman" w:cs="Times New Roman"/>
                <w:sz w:val="22"/>
                <w:szCs w:val="22"/>
              </w:rPr>
              <w:lastRenderedPageBreak/>
              <w:t xml:space="preserve">Uwaga nieuwzględniona. </w:t>
            </w:r>
            <w:r>
              <w:rPr>
                <w:rFonts w:ascii="Times New Roman" w:hAnsi="Times New Roman" w:cs="Times New Roman"/>
                <w:sz w:val="22"/>
                <w:szCs w:val="22"/>
              </w:rPr>
              <w:t xml:space="preserve">Projektowane umożliwienie uprawnionemu korzystania z pomocy tłumacza języka powiązane z prawem występowania przed sądem w </w:t>
            </w:r>
            <w:r w:rsidRPr="0040571C">
              <w:rPr>
                <w:rFonts w:ascii="Times New Roman" w:hAnsi="Times New Roman" w:cs="Times New Roman"/>
                <w:sz w:val="22"/>
                <w:szCs w:val="22"/>
              </w:rPr>
              <w:t xml:space="preserve">znanym </w:t>
            </w:r>
            <w:r>
              <w:rPr>
                <w:rFonts w:ascii="Times New Roman" w:hAnsi="Times New Roman" w:cs="Times New Roman"/>
                <w:sz w:val="22"/>
                <w:szCs w:val="22"/>
              </w:rPr>
              <w:t xml:space="preserve">osobie uprawnionej </w:t>
            </w:r>
            <w:r w:rsidRPr="0040571C">
              <w:rPr>
                <w:rFonts w:ascii="Times New Roman" w:hAnsi="Times New Roman" w:cs="Times New Roman"/>
                <w:sz w:val="22"/>
                <w:szCs w:val="22"/>
              </w:rPr>
              <w:t>języku migowym</w:t>
            </w:r>
            <w:r>
              <w:rPr>
                <w:rFonts w:ascii="Times New Roman" w:hAnsi="Times New Roman" w:cs="Times New Roman"/>
                <w:sz w:val="22"/>
                <w:szCs w:val="22"/>
              </w:rPr>
              <w:t xml:space="preserve"> w sposób dostateczny gwarantuje możliwość korzystania z wybranego przez uprawnionego języka migowego. Jednocześnie potencjalne problemy ze skutecznością tłumaczenia – podobnie jak w przypadku osoby niewładającej językiem polskim – nie są przedmiotem szczególnej regulacji, mogą zaś stać się podstawą zmiany tłumacza i przybrania innego (nie jest bowiem spełniona </w:t>
            </w:r>
            <w:r w:rsidR="00D770D8">
              <w:rPr>
                <w:rFonts w:ascii="Times New Roman" w:hAnsi="Times New Roman" w:cs="Times New Roman"/>
                <w:sz w:val="22"/>
                <w:szCs w:val="22"/>
              </w:rPr>
              <w:t xml:space="preserve">uprawnienie </w:t>
            </w:r>
            <w:r w:rsidRPr="0040571C">
              <w:rPr>
                <w:rFonts w:ascii="Times New Roman" w:hAnsi="Times New Roman" w:cs="Times New Roman"/>
                <w:sz w:val="22"/>
                <w:szCs w:val="22"/>
              </w:rPr>
              <w:t xml:space="preserve">występowania przed sądem w znanym przez </w:t>
            </w:r>
            <w:r w:rsidR="00D770D8">
              <w:rPr>
                <w:rFonts w:ascii="Times New Roman" w:hAnsi="Times New Roman" w:cs="Times New Roman"/>
                <w:sz w:val="22"/>
                <w:szCs w:val="22"/>
              </w:rPr>
              <w:t xml:space="preserve">daną osobę </w:t>
            </w:r>
            <w:r w:rsidRPr="0040571C">
              <w:rPr>
                <w:rFonts w:ascii="Times New Roman" w:hAnsi="Times New Roman" w:cs="Times New Roman"/>
                <w:sz w:val="22"/>
                <w:szCs w:val="22"/>
              </w:rPr>
              <w:t>języku migowym</w:t>
            </w:r>
            <w:r w:rsidR="00D770D8">
              <w:rPr>
                <w:rFonts w:ascii="Times New Roman" w:hAnsi="Times New Roman" w:cs="Times New Roman"/>
                <w:sz w:val="22"/>
                <w:szCs w:val="22"/>
              </w:rPr>
              <w:t>, jeżeli tłumacz nie gwarantuje odpowiedniego poziomu tłumaczenia</w:t>
            </w:r>
            <w:r>
              <w:rPr>
                <w:rFonts w:ascii="Times New Roman" w:hAnsi="Times New Roman" w:cs="Times New Roman"/>
                <w:sz w:val="22"/>
                <w:szCs w:val="22"/>
              </w:rPr>
              <w:t>)</w:t>
            </w:r>
            <w:r w:rsidR="00D770D8">
              <w:rPr>
                <w:rFonts w:ascii="Times New Roman" w:hAnsi="Times New Roman" w:cs="Times New Roman"/>
                <w:sz w:val="22"/>
                <w:szCs w:val="22"/>
              </w:rPr>
              <w:t>.</w:t>
            </w:r>
            <w:r>
              <w:rPr>
                <w:rFonts w:ascii="Times New Roman" w:hAnsi="Times New Roman" w:cs="Times New Roman"/>
                <w:sz w:val="22"/>
                <w:szCs w:val="22"/>
              </w:rPr>
              <w:t xml:space="preserve"> </w:t>
            </w:r>
          </w:p>
        </w:tc>
      </w:tr>
      <w:tr w:rsidR="00121602" w:rsidRPr="00941A8E" w14:paraId="5916AF82"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79534626" w14:textId="77777777" w:rsidR="00121602" w:rsidRPr="00C673CF" w:rsidRDefault="00121602" w:rsidP="00371B48">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0AB72781" w14:textId="5924F6BC" w:rsidR="00121602" w:rsidRDefault="00121602" w:rsidP="00371B48">
            <w:pPr>
              <w:jc w:val="center"/>
              <w:rPr>
                <w:rFonts w:ascii="Times New Roman" w:hAnsi="Times New Roman" w:cs="Times New Roman"/>
                <w:sz w:val="22"/>
                <w:szCs w:val="22"/>
              </w:rPr>
            </w:pPr>
            <w:r>
              <w:rPr>
                <w:rFonts w:ascii="Times New Roman" w:hAnsi="Times New Roman" w:cs="Times New Roman"/>
                <w:sz w:val="22"/>
                <w:szCs w:val="22"/>
              </w:rPr>
              <w:t xml:space="preserve">art. 1 pkt 1 </w:t>
            </w:r>
          </w:p>
        </w:tc>
        <w:tc>
          <w:tcPr>
            <w:tcW w:w="1547" w:type="dxa"/>
            <w:tcBorders>
              <w:top w:val="single" w:sz="4" w:space="0" w:color="auto"/>
              <w:left w:val="single" w:sz="4" w:space="0" w:color="auto"/>
              <w:bottom w:val="single" w:sz="4" w:space="0" w:color="auto"/>
              <w:right w:val="single" w:sz="4" w:space="0" w:color="auto"/>
            </w:tcBorders>
          </w:tcPr>
          <w:p w14:paraId="2F73318B" w14:textId="20BD99E4" w:rsidR="00121602" w:rsidRDefault="00121602" w:rsidP="00371B48">
            <w:pPr>
              <w:spacing w:after="120"/>
              <w:rPr>
                <w:rFonts w:ascii="Times New Roman" w:hAnsi="Times New Roman" w:cs="Times New Roman"/>
                <w:sz w:val="22"/>
                <w:szCs w:val="22"/>
              </w:rPr>
            </w:pPr>
            <w:r>
              <w:rPr>
                <w:rFonts w:ascii="Times New Roman" w:hAnsi="Times New Roman" w:cs="Times New Roman"/>
                <w:sz w:val="22"/>
                <w:szCs w:val="22"/>
              </w:rPr>
              <w:t>Polski Związek Głuchych</w:t>
            </w:r>
          </w:p>
        </w:tc>
        <w:tc>
          <w:tcPr>
            <w:tcW w:w="5571" w:type="dxa"/>
            <w:tcBorders>
              <w:top w:val="single" w:sz="4" w:space="0" w:color="auto"/>
              <w:left w:val="single" w:sz="4" w:space="0" w:color="auto"/>
              <w:bottom w:val="single" w:sz="4" w:space="0" w:color="auto"/>
              <w:right w:val="single" w:sz="4" w:space="0" w:color="auto"/>
            </w:tcBorders>
          </w:tcPr>
          <w:p w14:paraId="68E1CAA0" w14:textId="77777777" w:rsidR="002C2104" w:rsidRP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Polski Związek Głuchych popiera proponowane zmiany w w/w projekcie ustawy w zakresie drugiego celu, w którym planuje się wprowadzenie jednoznacznie brzmiącego przepisu umożliwiającego osobom głuchym bezpłatną pomoc tłumacza języka migowego w postępowaniach sądowych na tych samych zasadach jak osoby niewładające w wystarczającym stopniu językiem polskim korzystają z pomocy tłumacza przysięgłego.</w:t>
            </w:r>
          </w:p>
          <w:p w14:paraId="39273D75" w14:textId="77777777" w:rsidR="002C2104" w:rsidRP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Proponowana zmiana jest właściwa i zgodna z Konwencją o Prawach Osób z Niepełnosprawnych. Zmiana ta umożliwi osobom głuchym korzystanie z bezpłatnej pomocy tłumacza języka migowego w postępowaniach sądowych na tych samych zasadach jak osobom słyszącym, niewładającym w wystarczającym stopniu językiem polskim, którzy korzystają z pomocy tłumacza przysięgłego.</w:t>
            </w:r>
          </w:p>
          <w:p w14:paraId="71406561" w14:textId="65D11F65" w:rsidR="00121602" w:rsidRPr="008509C2"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Dla osób głuchych naturalnym i pierwszym językiem jest język migowy, w przypadku obywateli polskich jest to polski język migowy.</w:t>
            </w:r>
          </w:p>
        </w:tc>
        <w:tc>
          <w:tcPr>
            <w:tcW w:w="5522" w:type="dxa"/>
            <w:tcBorders>
              <w:top w:val="single" w:sz="4" w:space="0" w:color="auto"/>
              <w:left w:val="single" w:sz="4" w:space="0" w:color="auto"/>
              <w:bottom w:val="single" w:sz="4" w:space="0" w:color="auto"/>
              <w:right w:val="single" w:sz="4" w:space="0" w:color="auto"/>
            </w:tcBorders>
          </w:tcPr>
          <w:p w14:paraId="4E7E29CE" w14:textId="561B69BE" w:rsidR="00121602" w:rsidRPr="0040571C" w:rsidRDefault="002C2104" w:rsidP="00371B48">
            <w:pPr>
              <w:spacing w:after="60"/>
              <w:jc w:val="both"/>
              <w:rPr>
                <w:rFonts w:ascii="Times New Roman" w:hAnsi="Times New Roman" w:cs="Times New Roman"/>
                <w:sz w:val="22"/>
                <w:szCs w:val="22"/>
              </w:rPr>
            </w:pPr>
            <w:r>
              <w:rPr>
                <w:rFonts w:ascii="Times New Roman" w:hAnsi="Times New Roman" w:cs="Times New Roman"/>
                <w:sz w:val="22"/>
                <w:szCs w:val="22"/>
              </w:rPr>
              <w:t>Uwaga niewymagająca stanowiska</w:t>
            </w:r>
          </w:p>
        </w:tc>
      </w:tr>
      <w:tr w:rsidR="002C2104" w:rsidRPr="00941A8E" w14:paraId="73922FD0"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3D48FFAE" w14:textId="77777777" w:rsidR="002C2104" w:rsidRPr="00C673CF" w:rsidRDefault="002C2104" w:rsidP="00371B48">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34857BAC" w14:textId="41E9CFC8" w:rsidR="002C2104" w:rsidRDefault="002C2104" w:rsidP="00371B48">
            <w:pPr>
              <w:jc w:val="center"/>
              <w:rPr>
                <w:rFonts w:ascii="Times New Roman" w:hAnsi="Times New Roman" w:cs="Times New Roman"/>
                <w:sz w:val="22"/>
                <w:szCs w:val="22"/>
              </w:rPr>
            </w:pPr>
            <w:r>
              <w:rPr>
                <w:rFonts w:ascii="Times New Roman" w:hAnsi="Times New Roman" w:cs="Times New Roman"/>
                <w:sz w:val="22"/>
                <w:szCs w:val="22"/>
              </w:rPr>
              <w:t>art. 1 pkt 1</w:t>
            </w:r>
          </w:p>
        </w:tc>
        <w:tc>
          <w:tcPr>
            <w:tcW w:w="1547" w:type="dxa"/>
            <w:tcBorders>
              <w:top w:val="single" w:sz="4" w:space="0" w:color="auto"/>
              <w:left w:val="single" w:sz="4" w:space="0" w:color="auto"/>
              <w:bottom w:val="single" w:sz="4" w:space="0" w:color="auto"/>
              <w:right w:val="single" w:sz="4" w:space="0" w:color="auto"/>
            </w:tcBorders>
          </w:tcPr>
          <w:p w14:paraId="7FE63791" w14:textId="74F57AF1" w:rsidR="002C2104" w:rsidRDefault="002C2104" w:rsidP="00371B48">
            <w:pPr>
              <w:spacing w:after="120"/>
              <w:rPr>
                <w:rFonts w:ascii="Times New Roman" w:hAnsi="Times New Roman" w:cs="Times New Roman"/>
                <w:sz w:val="22"/>
                <w:szCs w:val="22"/>
              </w:rPr>
            </w:pPr>
            <w:r w:rsidRPr="002C2104">
              <w:rPr>
                <w:rFonts w:ascii="Times New Roman" w:hAnsi="Times New Roman" w:cs="Times New Roman"/>
                <w:sz w:val="22"/>
                <w:szCs w:val="22"/>
              </w:rPr>
              <w:t>Polska Izba Informatyki i Telekomunikacji</w:t>
            </w:r>
          </w:p>
        </w:tc>
        <w:tc>
          <w:tcPr>
            <w:tcW w:w="5571" w:type="dxa"/>
            <w:tcBorders>
              <w:top w:val="single" w:sz="4" w:space="0" w:color="auto"/>
              <w:left w:val="single" w:sz="4" w:space="0" w:color="auto"/>
              <w:bottom w:val="single" w:sz="4" w:space="0" w:color="auto"/>
              <w:right w:val="single" w:sz="4" w:space="0" w:color="auto"/>
            </w:tcBorders>
          </w:tcPr>
          <w:p w14:paraId="622B92CE" w14:textId="0997E6C6" w:rsid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 xml:space="preserve">PIIT z uznaniem odnosi się inicjatywy resortu sprawiedliwości. Jej celem jest uporządkowanie przepisów w zakresie dostępu do tłumacza języka migowego we wszystkich aspektach funkcjonowania sądów powszechnych. Sugerowane przez PIIT do projektu zmiany nie dotyczą zakresu obowiązku zapewnienia tłumacza języka migowego. Uregulowane jest to w ustawie dnia 19 lipca 2019 r. o zapewnianiu dostępności osobom ze szczególnymi potrzebami oraz przepisach regulujących postępowania sądowe. Proponowane przez PIIT zmiany zmierzają do doprecyzowania osób władnych do podejmowania decyzji o zapewnieniu tłumaczenia oraz dostosowania (ograniczenia) zakresu zobowiązania do tłumaczenia na język migowy do przepisów ustawy z roku 2011 o polskim języku migowym oraz w/w ustawy z 2019 r. </w:t>
            </w:r>
          </w:p>
          <w:p w14:paraId="6B071150" w14:textId="77777777" w:rsid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Ustawa z dnia 27 lipca 2001 r. o ustroju sądów powszechnych (</w:t>
            </w:r>
            <w:proofErr w:type="spellStart"/>
            <w:r w:rsidRPr="002C2104">
              <w:rPr>
                <w:rFonts w:ascii="Times New Roman" w:hAnsi="Times New Roman" w:cs="Times New Roman"/>
                <w:sz w:val="22"/>
                <w:szCs w:val="22"/>
              </w:rPr>
              <w:t>u.s.p</w:t>
            </w:r>
            <w:proofErr w:type="spellEnd"/>
            <w:r w:rsidRPr="002C2104">
              <w:rPr>
                <w:rFonts w:ascii="Times New Roman" w:hAnsi="Times New Roman" w:cs="Times New Roman"/>
                <w:sz w:val="22"/>
                <w:szCs w:val="22"/>
              </w:rPr>
              <w:t>.) zasadniczo reguluje wyłącznie administracyjne funkcjonowanie sądów</w:t>
            </w:r>
            <w:r w:rsidRPr="002C2104">
              <w:rPr>
                <w:rFonts w:ascii="Times New Roman" w:hAnsi="Times New Roman" w:cs="Times New Roman"/>
                <w:b/>
                <w:bCs/>
                <w:sz w:val="22"/>
                <w:szCs w:val="22"/>
              </w:rPr>
              <w:t xml:space="preserve">, </w:t>
            </w:r>
            <w:r w:rsidRPr="002C2104">
              <w:rPr>
                <w:rFonts w:ascii="Times New Roman" w:hAnsi="Times New Roman" w:cs="Times New Roman"/>
                <w:sz w:val="22"/>
                <w:szCs w:val="22"/>
              </w:rPr>
              <w:t xml:space="preserve">a nie postępowanie przed nimi. W </w:t>
            </w:r>
            <w:r w:rsidRPr="002C2104">
              <w:rPr>
                <w:rFonts w:ascii="Times New Roman" w:hAnsi="Times New Roman" w:cs="Times New Roman"/>
                <w:sz w:val="22"/>
                <w:szCs w:val="22"/>
              </w:rPr>
              <w:lastRenderedPageBreak/>
              <w:t xml:space="preserve">odniesieniu do kontaktu głuchej osoby z sądem w każdej sytuacji – od zasięgnięcia informacji, przez udział w postępowaniu oraz otrzymanie informacji o jego wyniku (np. odpis wyroku) – w każdej z nich Głuchy ma prawo do komunikowania się w formie dla tej osoby zrozumiałej, z uwzględnieniem rodzaju jej niepełnosprawności. </w:t>
            </w:r>
          </w:p>
          <w:p w14:paraId="143EB757" w14:textId="30EB67C5" w:rsidR="002C2104" w:rsidRP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 xml:space="preserve">Przepisy ustawy z dnia 19 sierpnia 2011 r. o języku migowym i innych środkach komunikowania się gwarantują Głuchym obsługę w języku migowym w kontaktach z organami administracji publicznej. Dostępność zobowiązane są zapewnić jednostki sektora finansów publicznych </w:t>
            </w:r>
            <w:r>
              <w:rPr>
                <w:rFonts w:ascii="Times New Roman" w:hAnsi="Times New Roman" w:cs="Times New Roman"/>
                <w:sz w:val="22"/>
                <w:szCs w:val="22"/>
              </w:rPr>
              <w:t xml:space="preserve"> </w:t>
            </w:r>
            <w:r w:rsidRPr="002C2104">
              <w:rPr>
                <w:rFonts w:ascii="Times New Roman" w:hAnsi="Times New Roman" w:cs="Times New Roman"/>
                <w:sz w:val="22"/>
                <w:szCs w:val="22"/>
              </w:rPr>
              <w:t xml:space="preserve">w rozumieniu art. 9 ustawy z dnia 27 sierpnia 2009 r. o finansach publicznych (Dz. U. z 2023 r. </w:t>
            </w:r>
            <w:r>
              <w:rPr>
                <w:rFonts w:ascii="Times New Roman" w:hAnsi="Times New Roman" w:cs="Times New Roman"/>
                <w:sz w:val="22"/>
                <w:szCs w:val="22"/>
              </w:rPr>
              <w:t xml:space="preserve"> </w:t>
            </w:r>
            <w:r w:rsidRPr="002C2104">
              <w:rPr>
                <w:rFonts w:ascii="Times New Roman" w:hAnsi="Times New Roman" w:cs="Times New Roman"/>
                <w:sz w:val="22"/>
                <w:szCs w:val="22"/>
              </w:rPr>
              <w:t xml:space="preserve">poz. 1270, z </w:t>
            </w:r>
            <w:proofErr w:type="spellStart"/>
            <w:r w:rsidRPr="002C2104">
              <w:rPr>
                <w:rFonts w:ascii="Times New Roman" w:hAnsi="Times New Roman" w:cs="Times New Roman"/>
                <w:sz w:val="22"/>
                <w:szCs w:val="22"/>
              </w:rPr>
              <w:t>późn</w:t>
            </w:r>
            <w:proofErr w:type="spellEnd"/>
            <w:r w:rsidRPr="002C2104">
              <w:rPr>
                <w:rFonts w:ascii="Times New Roman" w:hAnsi="Times New Roman" w:cs="Times New Roman"/>
                <w:sz w:val="22"/>
                <w:szCs w:val="22"/>
              </w:rPr>
              <w:t xml:space="preserve">. zm.). Obejmuje to organy władzy publicznej, w tym organy administracji </w:t>
            </w:r>
            <w:r>
              <w:rPr>
                <w:rFonts w:ascii="Times New Roman" w:hAnsi="Times New Roman" w:cs="Times New Roman"/>
                <w:sz w:val="22"/>
                <w:szCs w:val="22"/>
              </w:rPr>
              <w:t xml:space="preserve"> </w:t>
            </w:r>
            <w:r w:rsidRPr="002C2104">
              <w:rPr>
                <w:rFonts w:ascii="Times New Roman" w:hAnsi="Times New Roman" w:cs="Times New Roman"/>
                <w:sz w:val="22"/>
                <w:szCs w:val="22"/>
              </w:rPr>
              <w:t>rządowej, organy kontroli państwowej i ochrony prawa oraz sądy i trybunały.</w:t>
            </w:r>
          </w:p>
          <w:p w14:paraId="59DC0A5E" w14:textId="713CD63D" w:rsidR="002C2104" w:rsidRDefault="002C2104" w:rsidP="002C2104">
            <w:pPr>
              <w:autoSpaceDE w:val="0"/>
              <w:autoSpaceDN w:val="0"/>
              <w:adjustRightInd w:val="0"/>
              <w:spacing w:after="60"/>
              <w:jc w:val="both"/>
              <w:rPr>
                <w:rFonts w:ascii="Times New Roman" w:hAnsi="Times New Roman" w:cs="Times New Roman"/>
                <w:sz w:val="22"/>
                <w:szCs w:val="22"/>
              </w:rPr>
            </w:pPr>
            <w:r w:rsidRPr="002C2104">
              <w:rPr>
                <w:rFonts w:ascii="Times New Roman" w:hAnsi="Times New Roman" w:cs="Times New Roman"/>
                <w:sz w:val="22"/>
                <w:szCs w:val="22"/>
              </w:rPr>
              <w:t>Jak wynika z wyżej przytoczonych przepisów, Głuchy w sferze administracyjnych kontaktów z sądem ma zagwarantowane udogodnienia z zakresu dostępności cyfrowej i dostępności</w:t>
            </w:r>
            <w:r w:rsidR="002F4FFB">
              <w:t xml:space="preserve"> </w:t>
            </w:r>
            <w:r w:rsidR="002F4FFB" w:rsidRPr="002F4FFB">
              <w:rPr>
                <w:rFonts w:ascii="Times New Roman" w:hAnsi="Times New Roman" w:cs="Times New Roman"/>
                <w:sz w:val="22"/>
                <w:szCs w:val="22"/>
              </w:rPr>
              <w:t>informacyjno-komunikacyjnej. W sytuacjach poza zakresem postępowania sądowego o udogodnieniach dla Głuchego powinien decydować koordynator dostępności w danym sądzie lub dyrektor administracyjny</w:t>
            </w:r>
            <w:r w:rsidR="002F4FFB">
              <w:rPr>
                <w:rFonts w:ascii="Times New Roman" w:hAnsi="Times New Roman" w:cs="Times New Roman"/>
                <w:sz w:val="22"/>
                <w:szCs w:val="22"/>
              </w:rPr>
              <w:t xml:space="preserve">. </w:t>
            </w:r>
          </w:p>
          <w:p w14:paraId="3590DA5E" w14:textId="29C0BF19" w:rsidR="002F4FFB" w:rsidRDefault="002F4FFB" w:rsidP="002C2104">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Nieco zaskakujące jest umieszczenie przepisu nakazującego ustanowienie tłumacza dla celów występowania przed sądem w ustawie o ustroju sądów powszechnych, która reguluje administracyjną sferę funkcjonowania sądu, a nie w przepisach odrębnych jak </w:t>
            </w:r>
            <w:proofErr w:type="spellStart"/>
            <w:r w:rsidRPr="002F4FFB">
              <w:rPr>
                <w:rFonts w:ascii="Times New Roman" w:hAnsi="Times New Roman" w:cs="Times New Roman"/>
                <w:sz w:val="22"/>
                <w:szCs w:val="22"/>
              </w:rPr>
              <w:t>kpc</w:t>
            </w:r>
            <w:proofErr w:type="spellEnd"/>
            <w:r w:rsidRPr="002F4FFB">
              <w:rPr>
                <w:rFonts w:ascii="Times New Roman" w:hAnsi="Times New Roman" w:cs="Times New Roman"/>
                <w:sz w:val="22"/>
                <w:szCs w:val="22"/>
              </w:rPr>
              <w:t xml:space="preserve"> lub </w:t>
            </w:r>
            <w:proofErr w:type="spellStart"/>
            <w:r w:rsidRPr="002F4FFB">
              <w:rPr>
                <w:rFonts w:ascii="Times New Roman" w:hAnsi="Times New Roman" w:cs="Times New Roman"/>
                <w:sz w:val="22"/>
                <w:szCs w:val="22"/>
              </w:rPr>
              <w:t>kpk</w:t>
            </w:r>
            <w:proofErr w:type="spellEnd"/>
            <w:r w:rsidRPr="002F4FFB">
              <w:rPr>
                <w:rFonts w:ascii="Times New Roman" w:hAnsi="Times New Roman" w:cs="Times New Roman"/>
                <w:sz w:val="22"/>
                <w:szCs w:val="22"/>
              </w:rPr>
              <w:t>.</w:t>
            </w:r>
          </w:p>
          <w:p w14:paraId="50010EE2" w14:textId="3FD34A8B" w:rsidR="002C2104" w:rsidRDefault="002F4FFB" w:rsidP="002C2104">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Jeżeli jednak celem tego przepisu jest zagwarantowanie prawa do rzetelnego procesu, unikanie dyskryminacji oraz zapewnienie komunikacji społecznej gwarantowanej przez Konstytucję RP, to potwierdzenie, iż sąd, stwierdzając okoliczność nieposługiwania się przez daną osobę w wystarczający sposób językiem urzędowym sądu, </w:t>
            </w:r>
            <w:r w:rsidRPr="002F4FFB">
              <w:rPr>
                <w:rFonts w:ascii="Times New Roman" w:hAnsi="Times New Roman" w:cs="Times New Roman"/>
                <w:sz w:val="22"/>
                <w:szCs w:val="22"/>
              </w:rPr>
              <w:lastRenderedPageBreak/>
              <w:t>zobowiązany jest zapewnić udział tłumacza w postępowaniu, jest okolicznością pozytywną.</w:t>
            </w:r>
          </w:p>
          <w:p w14:paraId="440093DA" w14:textId="0B7E08F6" w:rsidR="002F4FFB" w:rsidRPr="002C2104" w:rsidRDefault="002F4FFB" w:rsidP="002C2104">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Dotychczasowa ustawa o sądach powszechnych w ułomny sposób gwarantuje Głuchemu prawo do korzystania z tłumaczenia. Zawiera gwarancję prawną (§§ 1–2, 2a), ale mechanizm jej realizacji (§ 3 art. 5 ustawy o ustroju sądów powszechnych) wydaje się działać jedynie na etapie postępowania (sądowego). W postępowaniu cywilnym (w tym rejestrowym), karnym, etc. i tak zachodzi potrzeba stosowania przepisów regulujących dane postępowanie (np. w karnym art. 74 </w:t>
            </w:r>
            <w:proofErr w:type="spellStart"/>
            <w:r w:rsidRPr="002F4FFB">
              <w:rPr>
                <w:rFonts w:ascii="Times New Roman" w:hAnsi="Times New Roman" w:cs="Times New Roman"/>
                <w:sz w:val="22"/>
                <w:szCs w:val="22"/>
              </w:rPr>
              <w:t>kpk</w:t>
            </w:r>
            <w:proofErr w:type="spellEnd"/>
            <w:r w:rsidRPr="002F4FFB">
              <w:rPr>
                <w:rFonts w:ascii="Times New Roman" w:hAnsi="Times New Roman" w:cs="Times New Roman"/>
                <w:sz w:val="22"/>
                <w:szCs w:val="22"/>
              </w:rPr>
              <w:t xml:space="preserve"> i 204 </w:t>
            </w:r>
            <w:proofErr w:type="spellStart"/>
            <w:r w:rsidRPr="002F4FFB">
              <w:rPr>
                <w:rFonts w:ascii="Times New Roman" w:hAnsi="Times New Roman" w:cs="Times New Roman"/>
                <w:sz w:val="22"/>
                <w:szCs w:val="22"/>
              </w:rPr>
              <w:t>kpk</w:t>
            </w:r>
            <w:proofErr w:type="spellEnd"/>
            <w:r w:rsidRPr="002F4FFB">
              <w:rPr>
                <w:rFonts w:ascii="Times New Roman" w:hAnsi="Times New Roman" w:cs="Times New Roman"/>
                <w:sz w:val="22"/>
                <w:szCs w:val="22"/>
              </w:rPr>
              <w:t>). Przepis w obecnym brzmieniu nakłada obowiązek zapewnienia tłumacza w każdym języku migowym, a nie tylko w ramach języków wymienionych w ustawie o polskim języku migowym. W odniesieniu do postępowania przed sądem jest to przepis uzasadniony w kontekście prawa do rzetelnego procesu. Na etapie kontaktu administracyjnego byłby niespójny z innymi, ustawowymi regulacjami i mógłby generować dodatkowe koszty dla sądu.</w:t>
            </w:r>
          </w:p>
          <w:p w14:paraId="18C02127"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Proponowana w art. 1 pkt. 1) projektu nowelizacja (zmiana w art. 5 ustawy o ustroju sądów powszechnych) idzie w dobrym kierunku. Przepisy powinny jasno określać prawo Głuchego do porozumiewania się z sądem w toku procesu. W sferze administrowania wymiaru sprawiedliwości powinny być analogiczne do istniejących, regulacji polskiego prawa </w:t>
            </w:r>
            <w:proofErr w:type="spellStart"/>
            <w:r w:rsidRPr="002F4FFB">
              <w:rPr>
                <w:rFonts w:ascii="Times New Roman" w:hAnsi="Times New Roman" w:cs="Times New Roman"/>
                <w:sz w:val="22"/>
                <w:szCs w:val="22"/>
              </w:rPr>
              <w:t>dostępnościowego</w:t>
            </w:r>
            <w:proofErr w:type="spellEnd"/>
            <w:r w:rsidRPr="002F4FFB">
              <w:rPr>
                <w:rFonts w:ascii="Times New Roman" w:hAnsi="Times New Roman" w:cs="Times New Roman"/>
                <w:sz w:val="22"/>
                <w:szCs w:val="22"/>
              </w:rPr>
              <w:t>. W sferze administracyjnych kontaktów z sądem nie zachodzi potrzeba korzystania z pomocy biegłego.</w:t>
            </w:r>
          </w:p>
          <w:p w14:paraId="1DC49E1D"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9. Sugerujemy zmianę redakcji przepisu art. 5. [Język urzędowy przed sądami; korzystanie z pomocy tłumacza] na następującą:</w:t>
            </w:r>
          </w:p>
          <w:p w14:paraId="1AF27E90"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1. Językiem urzędowym przed sądami jest język polski.</w:t>
            </w:r>
          </w:p>
          <w:p w14:paraId="63EE2919" w14:textId="77777777" w:rsid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2. O udogodnieniach dla osób głuchych w zakresie kontaktu z sądem decyduje dyrektor administracyjny. Zapewnia m.in. bezpłatne skorzystanie z tłumacza w znanym osobie głuchej języku migowym, o którym mowa w ustawie z dnia 19 sierpnia 2011 r. o języku migowym i innych środkach komunikowania się.</w:t>
            </w:r>
          </w:p>
          <w:p w14:paraId="0C40F265" w14:textId="739D4528"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lastRenderedPageBreak/>
              <w:t>§ 4. O przyznaniu tłumacza osobie, o której mowa w § 3, orzeka sąd właściwy do rozpoznania sprawy w pierwszej instancji. Wniosek o przyznanie tłumacza zgłoszony w toku sprawy rozpoznaje sąd tej instancji, w której sprawa się toczy.”</w:t>
            </w:r>
          </w:p>
          <w:p w14:paraId="0948107E" w14:textId="42AB90EA" w:rsidR="002C2104"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3. Osoba niewładająca w wystarczającym stopniu językiem polskim ma prawo do występowania przed sądem w znanym przez nią języku i bezpłatnego korzystania z pomocy tłumacza. Do osoby głuchej przepis stosuje się odpowiednio.</w:t>
            </w:r>
          </w:p>
          <w:p w14:paraId="5DC562B7"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Proponowany przepis w sferze administrowania sądem jest spójny z polskim prawem </w:t>
            </w:r>
            <w:proofErr w:type="spellStart"/>
            <w:r w:rsidRPr="002F4FFB">
              <w:rPr>
                <w:rFonts w:ascii="Times New Roman" w:hAnsi="Times New Roman" w:cs="Times New Roman"/>
                <w:sz w:val="22"/>
                <w:szCs w:val="22"/>
              </w:rPr>
              <w:t>dostępnościowym</w:t>
            </w:r>
            <w:proofErr w:type="spellEnd"/>
            <w:r w:rsidRPr="002F4FFB">
              <w:rPr>
                <w:rFonts w:ascii="Times New Roman" w:hAnsi="Times New Roman" w:cs="Times New Roman"/>
                <w:sz w:val="22"/>
                <w:szCs w:val="22"/>
              </w:rPr>
              <w:t xml:space="preserve">, </w:t>
            </w:r>
            <w:proofErr w:type="spellStart"/>
            <w:r w:rsidRPr="002F4FFB">
              <w:rPr>
                <w:rFonts w:ascii="Times New Roman" w:hAnsi="Times New Roman" w:cs="Times New Roman"/>
                <w:sz w:val="22"/>
                <w:szCs w:val="22"/>
              </w:rPr>
              <w:t>t.j</w:t>
            </w:r>
            <w:proofErr w:type="spellEnd"/>
            <w:r w:rsidRPr="002F4FFB">
              <w:rPr>
                <w:rFonts w:ascii="Times New Roman" w:hAnsi="Times New Roman" w:cs="Times New Roman"/>
                <w:sz w:val="22"/>
                <w:szCs w:val="22"/>
              </w:rPr>
              <w:t xml:space="preserve">. prawem Głuchego do komunikowania się w sferze publicznej w znanym mu języku migowym. Nakłada na sądy, na etapie </w:t>
            </w:r>
            <w:proofErr w:type="spellStart"/>
            <w:r w:rsidRPr="002F4FFB">
              <w:rPr>
                <w:rFonts w:ascii="Times New Roman" w:hAnsi="Times New Roman" w:cs="Times New Roman"/>
                <w:sz w:val="22"/>
                <w:szCs w:val="22"/>
              </w:rPr>
              <w:t>przedprocesowym</w:t>
            </w:r>
            <w:proofErr w:type="spellEnd"/>
            <w:r w:rsidRPr="002F4FFB">
              <w:rPr>
                <w:rFonts w:ascii="Times New Roman" w:hAnsi="Times New Roman" w:cs="Times New Roman"/>
                <w:sz w:val="22"/>
                <w:szCs w:val="22"/>
              </w:rPr>
              <w:t xml:space="preserve">, obowiązek zapewnienia tłumaczenia na języki migowe, o których mowa w ustawie z 2011, a nie na każdy język migowy znany osobie, która pojawi się w sekretariacie sądu. Wskazuje kierownika jednostki jako osobę właściwą do zapewnienia udogodnień i odpowiedzialną za zapewnienie tłumacza. Na tym etapie nie ma możliwości ani potrzeby ustanowienia biegłego dla tłumaczenia języka migowego. Wymagania co do zakresu usługi i jakości tłumaczenia określone są w umowach zawieranych od 2019 r. przez dyrektorów administracyjnych. Potwierdza to istniejąca praktyka, skonkretyzowana w usłudze tłumacza PJM online dla sądów. Wyraźnie rozgranicza obowiązki w sferze administracyjnego i orzeczniczego funkcjonowania sądu. Wydaje się, że przepisy </w:t>
            </w:r>
            <w:proofErr w:type="spellStart"/>
            <w:r w:rsidRPr="002F4FFB">
              <w:rPr>
                <w:rFonts w:ascii="Times New Roman" w:hAnsi="Times New Roman" w:cs="Times New Roman"/>
                <w:sz w:val="22"/>
                <w:szCs w:val="22"/>
              </w:rPr>
              <w:t>kpc</w:t>
            </w:r>
            <w:proofErr w:type="spellEnd"/>
            <w:r w:rsidRPr="002F4FFB">
              <w:rPr>
                <w:rFonts w:ascii="Times New Roman" w:hAnsi="Times New Roman" w:cs="Times New Roman"/>
                <w:sz w:val="22"/>
                <w:szCs w:val="22"/>
              </w:rPr>
              <w:t xml:space="preserve"> i </w:t>
            </w:r>
            <w:proofErr w:type="spellStart"/>
            <w:r w:rsidRPr="002F4FFB">
              <w:rPr>
                <w:rFonts w:ascii="Times New Roman" w:hAnsi="Times New Roman" w:cs="Times New Roman"/>
                <w:sz w:val="22"/>
                <w:szCs w:val="22"/>
              </w:rPr>
              <w:t>kpk</w:t>
            </w:r>
            <w:proofErr w:type="spellEnd"/>
            <w:r w:rsidRPr="002F4FFB">
              <w:rPr>
                <w:rFonts w:ascii="Times New Roman" w:hAnsi="Times New Roman" w:cs="Times New Roman"/>
                <w:sz w:val="22"/>
                <w:szCs w:val="22"/>
              </w:rPr>
              <w:t xml:space="preserve"> w wystarczającym stopniu gwarantują prawo do rzetelnego procesu i obowiązek ustanowienia tłumacza (jakiegokolwiek języka migowego), ale art. 5 (nowy § 3 i 4) można pozostawić jako dodatkową wytyczną dla sądu. Zwłaszcza, że znajdzie zastosowanie w każdym postępowaniu przed sądem.</w:t>
            </w:r>
          </w:p>
          <w:p w14:paraId="1D63B153" w14:textId="7868E483" w:rsidR="002F4FFB" w:rsidRPr="002C2104"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 xml:space="preserve">11. Na kanwie komentowanego przepisu można rozważyć celowość upowszechnienia w sądach apelacyjnych stanowiska koordynatora ds. dostępności, uprawnionego na </w:t>
            </w:r>
            <w:r w:rsidRPr="002F4FFB">
              <w:rPr>
                <w:rFonts w:ascii="Times New Roman" w:hAnsi="Times New Roman" w:cs="Times New Roman"/>
                <w:sz w:val="22"/>
                <w:szCs w:val="22"/>
              </w:rPr>
              <w:lastRenderedPageBreak/>
              <w:t>mocy stosownych porozumień, do działania we wszystkich sądach apelacji.</w:t>
            </w:r>
          </w:p>
          <w:p w14:paraId="3DEEBDD2" w14:textId="77777777" w:rsidR="002C2104" w:rsidRPr="002C2104" w:rsidRDefault="002C2104" w:rsidP="002C2104">
            <w:pPr>
              <w:autoSpaceDE w:val="0"/>
              <w:autoSpaceDN w:val="0"/>
              <w:adjustRightInd w:val="0"/>
              <w:spacing w:after="60"/>
              <w:jc w:val="both"/>
              <w:rPr>
                <w:rFonts w:ascii="Times New Roman" w:hAnsi="Times New Roman" w:cs="Times New Roman"/>
                <w:sz w:val="22"/>
                <w:szCs w:val="22"/>
              </w:rPr>
            </w:pPr>
          </w:p>
        </w:tc>
        <w:tc>
          <w:tcPr>
            <w:tcW w:w="5522" w:type="dxa"/>
            <w:tcBorders>
              <w:top w:val="single" w:sz="4" w:space="0" w:color="auto"/>
              <w:left w:val="single" w:sz="4" w:space="0" w:color="auto"/>
              <w:bottom w:val="single" w:sz="4" w:space="0" w:color="auto"/>
              <w:right w:val="single" w:sz="4" w:space="0" w:color="auto"/>
            </w:tcBorders>
          </w:tcPr>
          <w:p w14:paraId="0AF4FCC8" w14:textId="27C0B4CF" w:rsidR="002C2104" w:rsidRDefault="002F4FFB" w:rsidP="00371B48">
            <w:pPr>
              <w:spacing w:after="60"/>
              <w:jc w:val="both"/>
              <w:rPr>
                <w:rFonts w:ascii="Times New Roman" w:hAnsi="Times New Roman" w:cs="Times New Roman"/>
                <w:sz w:val="22"/>
                <w:szCs w:val="22"/>
              </w:rPr>
            </w:pPr>
            <w:r>
              <w:rPr>
                <w:rFonts w:ascii="Times New Roman" w:hAnsi="Times New Roman" w:cs="Times New Roman"/>
                <w:sz w:val="22"/>
                <w:szCs w:val="22"/>
              </w:rPr>
              <w:lastRenderedPageBreak/>
              <w:t>Uwagi nieuwzględnione, niezasadne.</w:t>
            </w:r>
          </w:p>
        </w:tc>
      </w:tr>
      <w:tr w:rsidR="00CF43E6" w:rsidRPr="00941A8E" w14:paraId="15F69F9F"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4BA9D1CD" w14:textId="77777777" w:rsidR="00CF43E6" w:rsidRPr="00C673CF" w:rsidRDefault="00CF43E6" w:rsidP="00CF43E6">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4CE27C64" w14:textId="62D68431" w:rsidR="00CF43E6" w:rsidRPr="00360867" w:rsidRDefault="00CF43E6" w:rsidP="00CF43E6">
            <w:pPr>
              <w:jc w:val="center"/>
              <w:rPr>
                <w:rFonts w:ascii="Times New Roman" w:hAnsi="Times New Roman" w:cs="Times New Roman"/>
                <w:sz w:val="22"/>
                <w:szCs w:val="22"/>
              </w:rPr>
            </w:pPr>
            <w:r>
              <w:rPr>
                <w:rFonts w:ascii="Times New Roman" w:hAnsi="Times New Roman" w:cs="Times New Roman"/>
                <w:sz w:val="22"/>
                <w:szCs w:val="22"/>
              </w:rPr>
              <w:t>art. 1 pkt 2 lit. a</w:t>
            </w:r>
          </w:p>
        </w:tc>
        <w:tc>
          <w:tcPr>
            <w:tcW w:w="1547" w:type="dxa"/>
            <w:tcBorders>
              <w:top w:val="single" w:sz="4" w:space="0" w:color="auto"/>
              <w:left w:val="single" w:sz="4" w:space="0" w:color="auto"/>
              <w:bottom w:val="single" w:sz="4" w:space="0" w:color="auto"/>
              <w:right w:val="single" w:sz="4" w:space="0" w:color="auto"/>
            </w:tcBorders>
          </w:tcPr>
          <w:p w14:paraId="27CAD6C8" w14:textId="357474CB" w:rsidR="00CF43E6" w:rsidRDefault="00CF43E6" w:rsidP="00CF43E6">
            <w:pPr>
              <w:spacing w:after="120"/>
              <w:rPr>
                <w:rFonts w:ascii="Times New Roman" w:hAnsi="Times New Roman" w:cs="Times New Roman"/>
                <w:sz w:val="22"/>
                <w:szCs w:val="22"/>
              </w:rPr>
            </w:pPr>
            <w:r>
              <w:rPr>
                <w:rFonts w:ascii="Times New Roman" w:hAnsi="Times New Roman" w:cs="Times New Roman"/>
                <w:sz w:val="22"/>
                <w:szCs w:val="22"/>
              </w:rPr>
              <w:t xml:space="preserve">Sąd Najwyższy </w:t>
            </w:r>
          </w:p>
        </w:tc>
        <w:tc>
          <w:tcPr>
            <w:tcW w:w="5571" w:type="dxa"/>
            <w:tcBorders>
              <w:top w:val="single" w:sz="4" w:space="0" w:color="auto"/>
              <w:left w:val="single" w:sz="4" w:space="0" w:color="auto"/>
              <w:bottom w:val="single" w:sz="4" w:space="0" w:color="auto"/>
              <w:right w:val="single" w:sz="4" w:space="0" w:color="auto"/>
            </w:tcBorders>
          </w:tcPr>
          <w:p w14:paraId="2B9E70F4" w14:textId="3BDD32FB" w:rsidR="00CF43E6" w:rsidRPr="0097380A" w:rsidRDefault="00CF43E6" w:rsidP="00CF43E6">
            <w:pPr>
              <w:autoSpaceDE w:val="0"/>
              <w:autoSpaceDN w:val="0"/>
              <w:adjustRightInd w:val="0"/>
              <w:spacing w:after="60"/>
              <w:jc w:val="both"/>
              <w:rPr>
                <w:rFonts w:ascii="Times New Roman" w:hAnsi="Times New Roman" w:cs="Times New Roman"/>
                <w:sz w:val="22"/>
                <w:szCs w:val="22"/>
              </w:rPr>
            </w:pPr>
            <w:r w:rsidRPr="008509C2">
              <w:rPr>
                <w:rFonts w:ascii="Times New Roman" w:hAnsi="Times New Roman" w:cs="Times New Roman"/>
                <w:sz w:val="22"/>
                <w:szCs w:val="22"/>
              </w:rPr>
              <w:t xml:space="preserve">Po drugie, należy zauważyć, że projektodawcy proponują zawrzeć w zmodyfikowanym art. 157 § 1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sformułowanie „system teleinformatyczny, którego administratorem jest Minister Sprawiedliwości”. Wskazanie jednak, że to Minister Sprawiedliwości jest administratorem systemu, biorąc pod uwagę treść art. 175da § 3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w zw. z art. 175da § 1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jest zbędne. Z tych ostatnich przepisów jednoznacznie wynika bowiem, że system teleinformatyczny, w którym znajduje się lista biegłych sądowych jest sądowym systemem teleinformatycznym w rozumieniu art. 175da § 1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a te systemy, co wynika z art. 175da § 3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są administrowane przez Ministra Sprawiedliwości. Nie ma zatem, jak wskazano to powyżej, potrzeby powielania w art. 157 § 1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 xml:space="preserve">. w brzmieniu proponowanym w projekcie treści już wynikającej z art. 175da § 1 i 3 </w:t>
            </w:r>
            <w:proofErr w:type="spellStart"/>
            <w:r w:rsidRPr="008509C2">
              <w:rPr>
                <w:rFonts w:ascii="Times New Roman" w:hAnsi="Times New Roman" w:cs="Times New Roman"/>
                <w:sz w:val="22"/>
                <w:szCs w:val="22"/>
              </w:rPr>
              <w:t>u.s.p</w:t>
            </w:r>
            <w:proofErr w:type="spellEnd"/>
            <w:r w:rsidRPr="008509C2">
              <w:rPr>
                <w:rFonts w:ascii="Times New Roman" w:hAnsi="Times New Roman" w:cs="Times New Roman"/>
                <w:sz w:val="22"/>
                <w:szCs w:val="22"/>
              </w:rPr>
              <w:t>.</w:t>
            </w:r>
          </w:p>
        </w:tc>
        <w:tc>
          <w:tcPr>
            <w:tcW w:w="5522" w:type="dxa"/>
            <w:tcBorders>
              <w:top w:val="single" w:sz="4" w:space="0" w:color="auto"/>
              <w:left w:val="single" w:sz="4" w:space="0" w:color="auto"/>
              <w:bottom w:val="single" w:sz="4" w:space="0" w:color="auto"/>
              <w:right w:val="single" w:sz="4" w:space="0" w:color="auto"/>
            </w:tcBorders>
          </w:tcPr>
          <w:p w14:paraId="78600040" w14:textId="638EF8E4" w:rsidR="00CF43E6" w:rsidRPr="00D770D8" w:rsidRDefault="00D770D8" w:rsidP="00CF43E6">
            <w:pPr>
              <w:spacing w:after="60"/>
              <w:jc w:val="both"/>
              <w:rPr>
                <w:rFonts w:ascii="Times New Roman" w:hAnsi="Times New Roman" w:cs="Times New Roman"/>
                <w:sz w:val="22"/>
                <w:szCs w:val="22"/>
              </w:rPr>
            </w:pPr>
            <w:r w:rsidRPr="00D770D8">
              <w:rPr>
                <w:rFonts w:ascii="Times New Roman" w:hAnsi="Times New Roman" w:cs="Times New Roman"/>
                <w:sz w:val="22"/>
                <w:szCs w:val="22"/>
              </w:rPr>
              <w:t>Uwaga uwzględniona.</w:t>
            </w:r>
          </w:p>
        </w:tc>
      </w:tr>
      <w:tr w:rsidR="00CF43E6" w:rsidRPr="00941A8E" w14:paraId="38194875"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1E4A698F" w14:textId="77777777" w:rsidR="00CF43E6" w:rsidRPr="00C673CF" w:rsidRDefault="00CF43E6" w:rsidP="00CF43E6">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27C05F27" w14:textId="1B7903CE" w:rsidR="00CF43E6" w:rsidRDefault="00CF43E6" w:rsidP="00CF43E6">
            <w:pPr>
              <w:jc w:val="center"/>
              <w:rPr>
                <w:rFonts w:ascii="Times New Roman" w:hAnsi="Times New Roman" w:cs="Times New Roman"/>
                <w:sz w:val="22"/>
                <w:szCs w:val="22"/>
              </w:rPr>
            </w:pPr>
            <w:r>
              <w:rPr>
                <w:rFonts w:ascii="Times New Roman" w:hAnsi="Times New Roman" w:cs="Times New Roman"/>
                <w:sz w:val="22"/>
                <w:szCs w:val="22"/>
              </w:rPr>
              <w:t>art. 1 pkt 2 lit. a i b</w:t>
            </w:r>
          </w:p>
        </w:tc>
        <w:tc>
          <w:tcPr>
            <w:tcW w:w="1547" w:type="dxa"/>
            <w:tcBorders>
              <w:top w:val="single" w:sz="4" w:space="0" w:color="auto"/>
              <w:left w:val="single" w:sz="4" w:space="0" w:color="auto"/>
              <w:bottom w:val="single" w:sz="4" w:space="0" w:color="auto"/>
              <w:right w:val="single" w:sz="4" w:space="0" w:color="auto"/>
            </w:tcBorders>
          </w:tcPr>
          <w:p w14:paraId="1A0F2A98" w14:textId="4FDC8365" w:rsidR="00CF43E6" w:rsidRDefault="00CF43E6" w:rsidP="00CF43E6">
            <w:pPr>
              <w:spacing w:after="120"/>
              <w:rPr>
                <w:rFonts w:ascii="Times New Roman" w:hAnsi="Times New Roman" w:cs="Times New Roman"/>
                <w:sz w:val="22"/>
                <w:szCs w:val="22"/>
              </w:rPr>
            </w:pPr>
            <w:r w:rsidRPr="004207D9">
              <w:rPr>
                <w:rFonts w:ascii="Times New Roman" w:hAnsi="Times New Roman" w:cs="Times New Roman"/>
                <w:sz w:val="22"/>
                <w:szCs w:val="22"/>
              </w:rPr>
              <w:t>Prezes</w:t>
            </w:r>
            <w:r>
              <w:rPr>
                <w:rFonts w:ascii="Times New Roman" w:hAnsi="Times New Roman" w:cs="Times New Roman"/>
                <w:sz w:val="22"/>
                <w:szCs w:val="22"/>
              </w:rPr>
              <w:t xml:space="preserve"> </w:t>
            </w:r>
            <w:r w:rsidRPr="004207D9">
              <w:rPr>
                <w:rFonts w:ascii="Times New Roman" w:hAnsi="Times New Roman" w:cs="Times New Roman"/>
                <w:sz w:val="22"/>
                <w:szCs w:val="22"/>
              </w:rPr>
              <w:t>Urzędu Ochrony</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Danych </w:t>
            </w:r>
            <w:r>
              <w:rPr>
                <w:rFonts w:ascii="Times New Roman" w:hAnsi="Times New Roman" w:cs="Times New Roman"/>
                <w:sz w:val="22"/>
                <w:szCs w:val="22"/>
              </w:rPr>
              <w:t xml:space="preserve"> O</w:t>
            </w:r>
            <w:r w:rsidRPr="004207D9">
              <w:rPr>
                <w:rFonts w:ascii="Times New Roman" w:hAnsi="Times New Roman" w:cs="Times New Roman"/>
                <w:sz w:val="22"/>
                <w:szCs w:val="22"/>
              </w:rPr>
              <w:t>sobowych</w:t>
            </w:r>
          </w:p>
        </w:tc>
        <w:tc>
          <w:tcPr>
            <w:tcW w:w="5571" w:type="dxa"/>
            <w:tcBorders>
              <w:top w:val="single" w:sz="4" w:space="0" w:color="auto"/>
              <w:left w:val="single" w:sz="4" w:space="0" w:color="auto"/>
              <w:bottom w:val="single" w:sz="4" w:space="0" w:color="auto"/>
              <w:right w:val="single" w:sz="4" w:space="0" w:color="auto"/>
            </w:tcBorders>
          </w:tcPr>
          <w:p w14:paraId="5B61FD8C" w14:textId="77777777" w:rsidR="00CF43E6"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Stosownie do dyspozycji art. 157 § 1 ustawy – Prawo o ustroju sądów powszechnych</w:t>
            </w:r>
            <w:r>
              <w:rPr>
                <w:rFonts w:ascii="Times New Roman" w:hAnsi="Times New Roman" w:cs="Times New Roman"/>
                <w:sz w:val="22"/>
                <w:szCs w:val="22"/>
              </w:rPr>
              <w:t xml:space="preserve"> </w:t>
            </w:r>
            <w:r w:rsidRPr="004207D9">
              <w:rPr>
                <w:rFonts w:ascii="Times New Roman" w:hAnsi="Times New Roman" w:cs="Times New Roman"/>
                <w:sz w:val="22"/>
                <w:szCs w:val="22"/>
              </w:rPr>
              <w:t>powoływanej dalej z zastosowaniem skrótu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w brzmieniu nadanym przez art. 1 pkt</w:t>
            </w:r>
            <w:r>
              <w:rPr>
                <w:rFonts w:ascii="Times New Roman" w:hAnsi="Times New Roman" w:cs="Times New Roman"/>
                <w:sz w:val="22"/>
                <w:szCs w:val="22"/>
              </w:rPr>
              <w:t xml:space="preserve"> </w:t>
            </w:r>
            <w:r w:rsidRPr="004207D9">
              <w:rPr>
                <w:rFonts w:ascii="Times New Roman" w:hAnsi="Times New Roman" w:cs="Times New Roman"/>
                <w:sz w:val="22"/>
                <w:szCs w:val="22"/>
              </w:rPr>
              <w:t>2 lit. a projektu, każdy z prezesów sądów okręgowych ma prowadzić – nowo tworzoną –</w:t>
            </w:r>
            <w:r>
              <w:rPr>
                <w:rFonts w:ascii="Times New Roman" w:hAnsi="Times New Roman" w:cs="Times New Roman"/>
                <w:sz w:val="22"/>
                <w:szCs w:val="22"/>
              </w:rPr>
              <w:t xml:space="preserve">  </w:t>
            </w:r>
            <w:r w:rsidRPr="004207D9">
              <w:rPr>
                <w:rFonts w:ascii="Times New Roman" w:hAnsi="Times New Roman" w:cs="Times New Roman"/>
                <w:sz w:val="22"/>
                <w:szCs w:val="22"/>
              </w:rPr>
              <w:t>listę biegłych sądowych i wykorzystywać do prowadzenia tej listy system</w:t>
            </w:r>
            <w:r>
              <w:rPr>
                <w:rFonts w:ascii="Times New Roman" w:hAnsi="Times New Roman" w:cs="Times New Roman"/>
                <w:sz w:val="22"/>
                <w:szCs w:val="22"/>
              </w:rPr>
              <w:t xml:space="preserve"> </w:t>
            </w:r>
            <w:r w:rsidRPr="004207D9">
              <w:rPr>
                <w:rFonts w:ascii="Times New Roman" w:hAnsi="Times New Roman" w:cs="Times New Roman"/>
                <w:sz w:val="22"/>
                <w:szCs w:val="22"/>
              </w:rPr>
              <w:t>teleinformatyczny, którego administratorem jest Minister Sprawiedliwości. W świetle</w:t>
            </w:r>
            <w:r>
              <w:rPr>
                <w:rFonts w:ascii="Times New Roman" w:hAnsi="Times New Roman" w:cs="Times New Roman"/>
                <w:sz w:val="22"/>
                <w:szCs w:val="22"/>
              </w:rPr>
              <w:t xml:space="preserve"> </w:t>
            </w:r>
            <w:r w:rsidRPr="004207D9">
              <w:rPr>
                <w:rFonts w:ascii="Times New Roman" w:hAnsi="Times New Roman" w:cs="Times New Roman"/>
                <w:sz w:val="22"/>
                <w:szCs w:val="22"/>
              </w:rPr>
              <w:t>wyjaśnień zamieszczonych w uzasadnieniu projektu (str. 2) system teleinformatyczny,</w:t>
            </w:r>
            <w:r>
              <w:rPr>
                <w:rFonts w:ascii="Times New Roman" w:hAnsi="Times New Roman" w:cs="Times New Roman"/>
                <w:sz w:val="22"/>
                <w:szCs w:val="22"/>
              </w:rPr>
              <w:t xml:space="preserve"> </w:t>
            </w:r>
            <w:r w:rsidRPr="004207D9">
              <w:rPr>
                <w:rFonts w:ascii="Times New Roman" w:hAnsi="Times New Roman" w:cs="Times New Roman"/>
                <w:sz w:val="22"/>
                <w:szCs w:val="22"/>
              </w:rPr>
              <w:t>w którym ma być prowadzona lista biegłych sądowych (a precyzyjniej – listy biegłych</w:t>
            </w:r>
            <w:r>
              <w:rPr>
                <w:rFonts w:ascii="Times New Roman" w:hAnsi="Times New Roman" w:cs="Times New Roman"/>
                <w:sz w:val="22"/>
                <w:szCs w:val="22"/>
              </w:rPr>
              <w:t xml:space="preserve"> </w:t>
            </w:r>
            <w:r w:rsidRPr="004207D9">
              <w:rPr>
                <w:rFonts w:ascii="Times New Roman" w:hAnsi="Times New Roman" w:cs="Times New Roman"/>
                <w:sz w:val="22"/>
                <w:szCs w:val="22"/>
              </w:rPr>
              <w:t>sądowych prowadzone przez poszczególnych prezesów sądów okręgowych), jest jednym</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z sądowych systemów teleinformatycznych, o których mowa w art. 175da § 2 i 3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w:t>
            </w:r>
          </w:p>
          <w:p w14:paraId="252A13C8" w14:textId="77777777" w:rsidR="00CF43E6" w:rsidRDefault="00CF43E6" w:rsidP="00CF43E6">
            <w:pPr>
              <w:autoSpaceDE w:val="0"/>
              <w:autoSpaceDN w:val="0"/>
              <w:adjustRightInd w:val="0"/>
              <w:spacing w:after="60"/>
              <w:jc w:val="both"/>
              <w:rPr>
                <w:rFonts w:ascii="Times New Roman" w:hAnsi="Times New Roman" w:cs="Times New Roman"/>
                <w:sz w:val="22"/>
                <w:szCs w:val="22"/>
              </w:rPr>
            </w:pPr>
          </w:p>
          <w:p w14:paraId="069D40A6" w14:textId="63DE6D01" w:rsidR="00CF43E6" w:rsidRPr="004207D9"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 xml:space="preserve">Zgodnie z art. 157 § 1b pkt 4 in fine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dodawanym przez art. 1 pkt 2 lit. b projektu,</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nowo tworzona lista biegłych </w:t>
            </w:r>
            <w:r w:rsidRPr="004207D9">
              <w:rPr>
                <w:rFonts w:ascii="Times New Roman" w:hAnsi="Times New Roman" w:cs="Times New Roman"/>
                <w:sz w:val="22"/>
                <w:szCs w:val="22"/>
              </w:rPr>
              <w:lastRenderedPageBreak/>
              <w:t>sądowych ma zawierać m.in. numer telefonu biegłego</w:t>
            </w:r>
            <w:r>
              <w:rPr>
                <w:rFonts w:ascii="Times New Roman" w:hAnsi="Times New Roman" w:cs="Times New Roman"/>
                <w:sz w:val="22"/>
                <w:szCs w:val="22"/>
              </w:rPr>
              <w:t xml:space="preserve"> </w:t>
            </w:r>
            <w:r w:rsidRPr="004207D9">
              <w:rPr>
                <w:rFonts w:ascii="Times New Roman" w:hAnsi="Times New Roman" w:cs="Times New Roman"/>
                <w:sz w:val="22"/>
                <w:szCs w:val="22"/>
              </w:rPr>
              <w:t>sądowego. Tymczasem brak jest przepisu prawa materialnego, który nakładałby na</w:t>
            </w:r>
            <w:r>
              <w:rPr>
                <w:rFonts w:ascii="Times New Roman" w:hAnsi="Times New Roman" w:cs="Times New Roman"/>
                <w:sz w:val="22"/>
                <w:szCs w:val="22"/>
              </w:rPr>
              <w:t xml:space="preserve"> </w:t>
            </w:r>
            <w:r w:rsidRPr="004207D9">
              <w:rPr>
                <w:rFonts w:ascii="Times New Roman" w:hAnsi="Times New Roman" w:cs="Times New Roman"/>
                <w:sz w:val="22"/>
                <w:szCs w:val="22"/>
              </w:rPr>
              <w:t>biegłego sądowego obowiązek posiadania i posługiwania się telefonem dla celów</w:t>
            </w:r>
          </w:p>
          <w:p w14:paraId="4E3EA7DA" w14:textId="77777777" w:rsidR="00CF43E6"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służbowych [to jest realizacji zadań (obowiązków) biegłego sądowego].</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W myśl bowiem (nienowelizowanego przez projekt) art. 157 § 1a zdanie pierwsze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w:t>
            </w:r>
            <w:r>
              <w:rPr>
                <w:rFonts w:ascii="Times New Roman" w:hAnsi="Times New Roman" w:cs="Times New Roman"/>
                <w:sz w:val="22"/>
                <w:szCs w:val="22"/>
              </w:rPr>
              <w:t xml:space="preserve"> </w:t>
            </w:r>
            <w:r w:rsidRPr="004207D9">
              <w:rPr>
                <w:rFonts w:ascii="Times New Roman" w:hAnsi="Times New Roman" w:cs="Times New Roman"/>
                <w:sz w:val="22"/>
                <w:szCs w:val="22"/>
              </w:rPr>
              <w:t>„Biegły wpisany na listę biegłych sądowych ma obowiązek posiadania konta w portalu</w:t>
            </w:r>
            <w:r>
              <w:rPr>
                <w:rFonts w:ascii="Times New Roman" w:hAnsi="Times New Roman" w:cs="Times New Roman"/>
                <w:sz w:val="22"/>
                <w:szCs w:val="22"/>
              </w:rPr>
              <w:t xml:space="preserve"> </w:t>
            </w:r>
            <w:r w:rsidRPr="004207D9">
              <w:rPr>
                <w:rFonts w:ascii="Times New Roman" w:hAnsi="Times New Roman" w:cs="Times New Roman"/>
                <w:sz w:val="22"/>
                <w:szCs w:val="22"/>
              </w:rPr>
              <w:t>informacyjnym […]”. Portal informacyjny to system informatyczny uregulowany w</w:t>
            </w:r>
            <w:r>
              <w:rPr>
                <w:rFonts w:ascii="Times New Roman" w:hAnsi="Times New Roman" w:cs="Times New Roman"/>
                <w:sz w:val="22"/>
                <w:szCs w:val="22"/>
              </w:rPr>
              <w:t xml:space="preserve"> </w:t>
            </w:r>
            <w:r w:rsidRPr="004207D9">
              <w:rPr>
                <w:rFonts w:ascii="Times New Roman" w:hAnsi="Times New Roman" w:cs="Times New Roman"/>
                <w:sz w:val="22"/>
                <w:szCs w:val="22"/>
              </w:rPr>
              <w:t>rozporządzeniu Ministra Sprawiedliwości w sprawie portalu informacyjnego</w:t>
            </w:r>
            <w:r>
              <w:rPr>
                <w:rFonts w:ascii="Times New Roman" w:hAnsi="Times New Roman" w:cs="Times New Roman"/>
                <w:sz w:val="22"/>
                <w:szCs w:val="22"/>
              </w:rPr>
              <w:t xml:space="preserve"> </w:t>
            </w:r>
            <w:r w:rsidRPr="004207D9">
              <w:rPr>
                <w:rFonts w:ascii="Times New Roman" w:hAnsi="Times New Roman" w:cs="Times New Roman"/>
                <w:sz w:val="22"/>
                <w:szCs w:val="22"/>
              </w:rPr>
              <w:t>powoływanym dalej z zastosowaniem skrótu „rozporządzenie w sprawie portalu</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informacyjnego”, wydanym na podstawie art. 53e § 2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Abstrahując od kwestii, że</w:t>
            </w:r>
            <w:r>
              <w:rPr>
                <w:rFonts w:ascii="Times New Roman" w:hAnsi="Times New Roman" w:cs="Times New Roman"/>
                <w:sz w:val="22"/>
                <w:szCs w:val="22"/>
              </w:rPr>
              <w:t xml:space="preserve"> </w:t>
            </w:r>
            <w:r w:rsidRPr="004207D9">
              <w:rPr>
                <w:rFonts w:ascii="Times New Roman" w:hAnsi="Times New Roman" w:cs="Times New Roman"/>
                <w:sz w:val="22"/>
                <w:szCs w:val="22"/>
              </w:rPr>
              <w:t>określone obowiązki zostały nałożone na użytkownika portalu informacyjnego jedynie w</w:t>
            </w:r>
            <w:r>
              <w:rPr>
                <w:rFonts w:ascii="Times New Roman" w:hAnsi="Times New Roman" w:cs="Times New Roman"/>
                <w:sz w:val="22"/>
                <w:szCs w:val="22"/>
              </w:rPr>
              <w:t xml:space="preserve"> </w:t>
            </w:r>
            <w:r w:rsidRPr="004207D9">
              <w:rPr>
                <w:rFonts w:ascii="Times New Roman" w:hAnsi="Times New Roman" w:cs="Times New Roman"/>
                <w:sz w:val="22"/>
                <w:szCs w:val="22"/>
              </w:rPr>
              <w:t>rozporządzeniu, a nie w ustawie, § 4 ust. 1 pkt 4 rozporządzenia w sprawie portalu</w:t>
            </w:r>
            <w:r>
              <w:rPr>
                <w:rFonts w:ascii="Times New Roman" w:hAnsi="Times New Roman" w:cs="Times New Roman"/>
                <w:sz w:val="22"/>
                <w:szCs w:val="22"/>
              </w:rPr>
              <w:t xml:space="preserve"> </w:t>
            </w:r>
            <w:r w:rsidRPr="004207D9">
              <w:rPr>
                <w:rFonts w:ascii="Times New Roman" w:hAnsi="Times New Roman" w:cs="Times New Roman"/>
                <w:sz w:val="22"/>
                <w:szCs w:val="22"/>
              </w:rPr>
              <w:t>informacyjnego dla założenia konta osoby fizycznej w portalu informacyjnym wymaga</w:t>
            </w:r>
            <w:r>
              <w:rPr>
                <w:rFonts w:ascii="Times New Roman" w:hAnsi="Times New Roman" w:cs="Times New Roman"/>
                <w:sz w:val="22"/>
                <w:szCs w:val="22"/>
              </w:rPr>
              <w:t xml:space="preserve"> </w:t>
            </w:r>
            <w:r w:rsidRPr="004207D9">
              <w:rPr>
                <w:rFonts w:ascii="Times New Roman" w:hAnsi="Times New Roman" w:cs="Times New Roman"/>
                <w:sz w:val="22"/>
                <w:szCs w:val="22"/>
              </w:rPr>
              <w:t>numeru telefonu jedynie opcjonalnie.</w:t>
            </w:r>
          </w:p>
          <w:p w14:paraId="1E5CF03E" w14:textId="12A755AF" w:rsidR="00CF43E6" w:rsidRPr="004207D9"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Tym samym – wobec brzmienia § 4 ust. 1 pkt 4 rozporządzenia w sprawie portalu</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informacyjnego, w powiązaniu z art. 157 § 1a zdanie pierwsze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 brak jest podstaw</w:t>
            </w:r>
            <w:r>
              <w:rPr>
                <w:rFonts w:ascii="Times New Roman" w:hAnsi="Times New Roman" w:cs="Times New Roman"/>
                <w:sz w:val="22"/>
                <w:szCs w:val="22"/>
              </w:rPr>
              <w:t xml:space="preserve"> </w:t>
            </w:r>
            <w:r w:rsidRPr="004207D9">
              <w:rPr>
                <w:rFonts w:ascii="Times New Roman" w:hAnsi="Times New Roman" w:cs="Times New Roman"/>
                <w:sz w:val="22"/>
                <w:szCs w:val="22"/>
              </w:rPr>
              <w:t>prawnych do żądania zamieszczania na liście biegłych sądowych numeru telefonu</w:t>
            </w:r>
            <w:r>
              <w:rPr>
                <w:rFonts w:ascii="Times New Roman" w:hAnsi="Times New Roman" w:cs="Times New Roman"/>
                <w:sz w:val="22"/>
                <w:szCs w:val="22"/>
              </w:rPr>
              <w:t xml:space="preserve"> </w:t>
            </w:r>
            <w:r w:rsidRPr="004207D9">
              <w:rPr>
                <w:rFonts w:ascii="Times New Roman" w:hAnsi="Times New Roman" w:cs="Times New Roman"/>
                <w:sz w:val="22"/>
                <w:szCs w:val="22"/>
              </w:rPr>
              <w:t>biegłego sądowego. Umieszczenie takiej danej (informacji) w (zasadniczo) publicznie</w:t>
            </w:r>
            <w:r>
              <w:rPr>
                <w:rFonts w:ascii="Times New Roman" w:hAnsi="Times New Roman" w:cs="Times New Roman"/>
                <w:sz w:val="22"/>
                <w:szCs w:val="22"/>
              </w:rPr>
              <w:t xml:space="preserve"> </w:t>
            </w:r>
            <w:r w:rsidRPr="004207D9">
              <w:rPr>
                <w:rFonts w:ascii="Times New Roman" w:hAnsi="Times New Roman" w:cs="Times New Roman"/>
                <w:sz w:val="22"/>
                <w:szCs w:val="22"/>
              </w:rPr>
              <w:t>dostępnym rejestrze może być bowiem jedynie pochodną obowiązku przetwarzania tej</w:t>
            </w:r>
            <w:r>
              <w:rPr>
                <w:rFonts w:ascii="Times New Roman" w:hAnsi="Times New Roman" w:cs="Times New Roman"/>
                <w:sz w:val="22"/>
                <w:szCs w:val="22"/>
              </w:rPr>
              <w:t xml:space="preserve"> </w:t>
            </w:r>
            <w:r w:rsidRPr="004207D9">
              <w:rPr>
                <w:rFonts w:ascii="Times New Roman" w:hAnsi="Times New Roman" w:cs="Times New Roman"/>
                <w:sz w:val="22"/>
                <w:szCs w:val="22"/>
              </w:rPr>
              <w:t>danej, a obowiązku taki nie wynika z obowiązujących przepisów. Co za tym idzie</w:t>
            </w:r>
          </w:p>
          <w:p w14:paraId="01E0A5D2" w14:textId="77777777" w:rsidR="00CF43E6"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 xml:space="preserve">opiniowany art. 157 § 1b pkt 4 in fine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dodawany przez art. 1 pkt 2 lit. b projektu,</w:t>
            </w:r>
            <w:r>
              <w:rPr>
                <w:rFonts w:ascii="Times New Roman" w:hAnsi="Times New Roman" w:cs="Times New Roman"/>
                <w:sz w:val="22"/>
                <w:szCs w:val="22"/>
              </w:rPr>
              <w:t xml:space="preserve"> </w:t>
            </w:r>
            <w:r w:rsidRPr="004207D9">
              <w:rPr>
                <w:rFonts w:ascii="Times New Roman" w:hAnsi="Times New Roman" w:cs="Times New Roman"/>
                <w:sz w:val="22"/>
                <w:szCs w:val="22"/>
              </w:rPr>
              <w:t>narusza zasadę legalizmu (zgodności z prawem) z art. 5 ust. 1 lit. a) rozporządzenia</w:t>
            </w:r>
            <w:r>
              <w:rPr>
                <w:rFonts w:ascii="Times New Roman" w:hAnsi="Times New Roman" w:cs="Times New Roman"/>
                <w:sz w:val="22"/>
                <w:szCs w:val="22"/>
              </w:rPr>
              <w:t xml:space="preserve"> </w:t>
            </w:r>
            <w:r w:rsidRPr="004207D9">
              <w:rPr>
                <w:rFonts w:ascii="Times New Roman" w:hAnsi="Times New Roman" w:cs="Times New Roman"/>
                <w:sz w:val="22"/>
                <w:szCs w:val="22"/>
              </w:rPr>
              <w:t>2016/6797.</w:t>
            </w:r>
          </w:p>
          <w:p w14:paraId="75D92F39" w14:textId="77777777" w:rsidR="00CF43E6" w:rsidRDefault="00CF43E6" w:rsidP="00CF43E6">
            <w:pPr>
              <w:autoSpaceDE w:val="0"/>
              <w:autoSpaceDN w:val="0"/>
              <w:adjustRightInd w:val="0"/>
              <w:spacing w:after="60"/>
              <w:jc w:val="both"/>
              <w:rPr>
                <w:rFonts w:ascii="Times New Roman" w:hAnsi="Times New Roman" w:cs="Times New Roman"/>
                <w:sz w:val="22"/>
                <w:szCs w:val="22"/>
              </w:rPr>
            </w:pPr>
          </w:p>
          <w:p w14:paraId="52E1D160" w14:textId="3C7E8CB7" w:rsidR="00CF43E6" w:rsidRPr="008509C2" w:rsidRDefault="00CF43E6" w:rsidP="00CF43E6">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W świetle – wynikającej z art. 87 rozporządzenia 2016/6798 – zasady szczególnej ochrony</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krajowego numeru </w:t>
            </w:r>
            <w:r w:rsidRPr="004207D9">
              <w:rPr>
                <w:rFonts w:ascii="Times New Roman" w:hAnsi="Times New Roman" w:cs="Times New Roman"/>
                <w:sz w:val="22"/>
                <w:szCs w:val="22"/>
              </w:rPr>
              <w:lastRenderedPageBreak/>
              <w:t>identyfikacyjnego, którym w polskim systemie prawnym jest numer</w:t>
            </w:r>
            <w:r>
              <w:rPr>
                <w:rFonts w:ascii="Times New Roman" w:hAnsi="Times New Roman" w:cs="Times New Roman"/>
                <w:sz w:val="22"/>
                <w:szCs w:val="22"/>
              </w:rPr>
              <w:t xml:space="preserve"> </w:t>
            </w:r>
            <w:r w:rsidRPr="004207D9">
              <w:rPr>
                <w:rFonts w:ascii="Times New Roman" w:hAnsi="Times New Roman" w:cs="Times New Roman"/>
                <w:sz w:val="22"/>
                <w:szCs w:val="22"/>
              </w:rPr>
              <w:t>PESEL, niezrozumiały dla organu właściwego w sprawie ochrony danych</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osobowych jest art. 157 § 1d zdanie drugie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dodawany przez art. 1 pkt 2 lit. b</w:t>
            </w:r>
            <w:r>
              <w:rPr>
                <w:rFonts w:ascii="Times New Roman" w:hAnsi="Times New Roman" w:cs="Times New Roman"/>
                <w:sz w:val="22"/>
                <w:szCs w:val="22"/>
              </w:rPr>
              <w:t xml:space="preserve"> </w:t>
            </w:r>
            <w:r w:rsidRPr="004207D9">
              <w:rPr>
                <w:rFonts w:ascii="Times New Roman" w:hAnsi="Times New Roman" w:cs="Times New Roman"/>
                <w:sz w:val="22"/>
                <w:szCs w:val="22"/>
              </w:rPr>
              <w:t>projektu, zgodnie z którym biegły może wyrazić zgodę na ujawnienie na liście biegłych</w:t>
            </w:r>
            <w:r>
              <w:rPr>
                <w:rFonts w:ascii="Times New Roman" w:hAnsi="Times New Roman" w:cs="Times New Roman"/>
                <w:sz w:val="22"/>
                <w:szCs w:val="22"/>
              </w:rPr>
              <w:t xml:space="preserve"> </w:t>
            </w:r>
            <w:r w:rsidRPr="004207D9">
              <w:rPr>
                <w:rFonts w:ascii="Times New Roman" w:hAnsi="Times New Roman" w:cs="Times New Roman"/>
                <w:sz w:val="22"/>
                <w:szCs w:val="22"/>
              </w:rPr>
              <w:t>sądowych dostępnej w siedzibie sądu oraz za pośrednictwem wyszukiwarki biegłych</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sądowych swój numer PESEL (art. 157 § 1d zdanie drugie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odsyła m.in. do art. 157 §</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1b pkt 2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Wobec pominięcia tej kwestii w uzasadnieniu, które dość szczegółowo</w:t>
            </w:r>
            <w:r>
              <w:rPr>
                <w:rFonts w:ascii="Times New Roman" w:hAnsi="Times New Roman" w:cs="Times New Roman"/>
                <w:sz w:val="22"/>
                <w:szCs w:val="22"/>
              </w:rPr>
              <w:t xml:space="preserve"> </w:t>
            </w:r>
            <w:r w:rsidRPr="004207D9">
              <w:rPr>
                <w:rFonts w:ascii="Times New Roman" w:hAnsi="Times New Roman" w:cs="Times New Roman"/>
                <w:sz w:val="22"/>
                <w:szCs w:val="22"/>
              </w:rPr>
              <w:t>odnosi się do kwestii upubliczniania danych osobowych biegłych sądowych zawartych na</w:t>
            </w:r>
            <w:r>
              <w:rPr>
                <w:rFonts w:ascii="Times New Roman" w:hAnsi="Times New Roman" w:cs="Times New Roman"/>
                <w:sz w:val="22"/>
                <w:szCs w:val="22"/>
              </w:rPr>
              <w:t xml:space="preserve"> </w:t>
            </w:r>
            <w:r w:rsidRPr="004207D9">
              <w:rPr>
                <w:rFonts w:ascii="Times New Roman" w:hAnsi="Times New Roman" w:cs="Times New Roman"/>
                <w:sz w:val="22"/>
                <w:szCs w:val="22"/>
              </w:rPr>
              <w:t>listach biegłych sądowych (str. 4), organ nadzorczy zwraca się do projektodawcy o</w:t>
            </w:r>
            <w:r>
              <w:rPr>
                <w:rFonts w:ascii="Times New Roman" w:hAnsi="Times New Roman" w:cs="Times New Roman"/>
                <w:sz w:val="22"/>
                <w:szCs w:val="22"/>
              </w:rPr>
              <w:t xml:space="preserve"> </w:t>
            </w:r>
            <w:r w:rsidRPr="004207D9">
              <w:rPr>
                <w:rFonts w:ascii="Times New Roman" w:hAnsi="Times New Roman" w:cs="Times New Roman"/>
                <w:sz w:val="22"/>
                <w:szCs w:val="22"/>
              </w:rPr>
              <w:t>wskazanie celu przedmiotowej regulacji.</w:t>
            </w:r>
          </w:p>
        </w:tc>
        <w:tc>
          <w:tcPr>
            <w:tcW w:w="5522" w:type="dxa"/>
            <w:tcBorders>
              <w:top w:val="single" w:sz="4" w:space="0" w:color="auto"/>
              <w:left w:val="single" w:sz="4" w:space="0" w:color="auto"/>
              <w:bottom w:val="single" w:sz="4" w:space="0" w:color="auto"/>
              <w:right w:val="single" w:sz="4" w:space="0" w:color="auto"/>
            </w:tcBorders>
          </w:tcPr>
          <w:p w14:paraId="67164FF4" w14:textId="41B92D92" w:rsidR="00D770D8" w:rsidRPr="0009368D" w:rsidRDefault="00D770D8" w:rsidP="0009368D">
            <w:pPr>
              <w:spacing w:after="60"/>
              <w:jc w:val="both"/>
              <w:rPr>
                <w:rFonts w:ascii="Times New Roman" w:hAnsi="Times New Roman" w:cs="Times New Roman"/>
                <w:bCs/>
                <w:sz w:val="22"/>
                <w:szCs w:val="22"/>
              </w:rPr>
            </w:pPr>
            <w:r w:rsidRPr="0009368D">
              <w:rPr>
                <w:rFonts w:ascii="Times New Roman" w:hAnsi="Times New Roman" w:cs="Times New Roman"/>
                <w:bCs/>
                <w:sz w:val="22"/>
                <w:szCs w:val="22"/>
              </w:rPr>
              <w:lastRenderedPageBreak/>
              <w:t xml:space="preserve">Uwaga dotycząca dopuszczalności zamieszczania na liście biegłych sądowych numeru telefonu biegłego sądowego nieuwzględniona. W ocenie projektodawcy </w:t>
            </w:r>
            <w:r w:rsidR="0009368D" w:rsidRPr="0009368D">
              <w:rPr>
                <w:rFonts w:ascii="Times New Roman" w:hAnsi="Times New Roman" w:cs="Times New Roman"/>
                <w:bCs/>
                <w:sz w:val="22"/>
                <w:szCs w:val="22"/>
              </w:rPr>
              <w:t xml:space="preserve">z faktu obowiązkowego zamieszczenia na liście biegłych sądowych nr telefonu biegłego wynika obowiązek udostępnienia takich danych przez biegłego w toku ubiegania się o powołanie biegłym. Biegli ustanowieni przed wejściem w życie ustawy – zgodnie z art. 2 nowelizacji – będą mogli lecz nie będą musieli uzupełnić tę informację. </w:t>
            </w:r>
          </w:p>
          <w:p w14:paraId="3FCC1CE0" w14:textId="77777777" w:rsidR="00D770D8" w:rsidRPr="0009368D" w:rsidRDefault="00D770D8" w:rsidP="00CF43E6">
            <w:pPr>
              <w:spacing w:after="60"/>
              <w:jc w:val="both"/>
              <w:rPr>
                <w:rFonts w:ascii="Times New Roman" w:hAnsi="Times New Roman" w:cs="Times New Roman"/>
                <w:bCs/>
                <w:sz w:val="22"/>
                <w:szCs w:val="22"/>
              </w:rPr>
            </w:pPr>
          </w:p>
          <w:p w14:paraId="3C2A26A4" w14:textId="7393BF9D" w:rsidR="00CF43E6" w:rsidRPr="0009368D" w:rsidRDefault="00D770D8" w:rsidP="00CF43E6">
            <w:pPr>
              <w:spacing w:after="60"/>
              <w:jc w:val="both"/>
              <w:rPr>
                <w:rFonts w:ascii="Times New Roman" w:hAnsi="Times New Roman" w:cs="Times New Roman"/>
                <w:bCs/>
                <w:sz w:val="22"/>
                <w:szCs w:val="22"/>
              </w:rPr>
            </w:pPr>
            <w:r w:rsidRPr="0009368D">
              <w:rPr>
                <w:rFonts w:ascii="Times New Roman" w:hAnsi="Times New Roman" w:cs="Times New Roman"/>
                <w:bCs/>
                <w:sz w:val="22"/>
                <w:szCs w:val="22"/>
              </w:rPr>
              <w:t>Uwaga dotycząca możliwości ujawniania numeru PESEL w ramach powszechnie dostępnej listy biegłych sądowych uwzględniona.</w:t>
            </w:r>
          </w:p>
        </w:tc>
      </w:tr>
      <w:tr w:rsidR="00CF43E6" w:rsidRPr="00941A8E" w14:paraId="19BB334F"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6F35C6DF" w14:textId="77777777" w:rsidR="00CF43E6" w:rsidRPr="00C673CF" w:rsidRDefault="00CF43E6" w:rsidP="00CF43E6">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7D1B41FC" w14:textId="5C2B34CD" w:rsidR="00CF43E6" w:rsidRPr="00360867" w:rsidRDefault="00CF43E6" w:rsidP="00CF43E6">
            <w:pPr>
              <w:jc w:val="center"/>
              <w:rPr>
                <w:rFonts w:ascii="Times New Roman" w:hAnsi="Times New Roman" w:cs="Times New Roman"/>
                <w:sz w:val="22"/>
                <w:szCs w:val="22"/>
              </w:rPr>
            </w:pPr>
            <w:r>
              <w:rPr>
                <w:rFonts w:ascii="Times New Roman" w:hAnsi="Times New Roman" w:cs="Times New Roman"/>
                <w:sz w:val="22"/>
                <w:szCs w:val="22"/>
              </w:rPr>
              <w:t>art. 1 pkt 2 lit. b</w:t>
            </w:r>
          </w:p>
        </w:tc>
        <w:tc>
          <w:tcPr>
            <w:tcW w:w="1547" w:type="dxa"/>
            <w:tcBorders>
              <w:top w:val="single" w:sz="4" w:space="0" w:color="auto"/>
              <w:left w:val="single" w:sz="4" w:space="0" w:color="auto"/>
              <w:bottom w:val="single" w:sz="4" w:space="0" w:color="auto"/>
              <w:right w:val="single" w:sz="4" w:space="0" w:color="auto"/>
            </w:tcBorders>
          </w:tcPr>
          <w:p w14:paraId="19BF4CD2" w14:textId="3D99873C" w:rsidR="00CF43E6" w:rsidRDefault="00CF43E6" w:rsidP="00CF43E6">
            <w:pPr>
              <w:spacing w:after="120"/>
              <w:rPr>
                <w:rFonts w:ascii="Times New Roman" w:hAnsi="Times New Roman" w:cs="Times New Roman"/>
                <w:sz w:val="22"/>
                <w:szCs w:val="22"/>
              </w:rPr>
            </w:pPr>
            <w:r>
              <w:rPr>
                <w:rFonts w:ascii="Times New Roman" w:hAnsi="Times New Roman" w:cs="Times New Roman"/>
                <w:sz w:val="22"/>
                <w:szCs w:val="22"/>
              </w:rPr>
              <w:t xml:space="preserve">SA w Wrocławiu </w:t>
            </w:r>
          </w:p>
        </w:tc>
        <w:tc>
          <w:tcPr>
            <w:tcW w:w="5571" w:type="dxa"/>
            <w:tcBorders>
              <w:top w:val="single" w:sz="4" w:space="0" w:color="auto"/>
              <w:left w:val="single" w:sz="4" w:space="0" w:color="auto"/>
              <w:bottom w:val="single" w:sz="4" w:space="0" w:color="auto"/>
              <w:right w:val="single" w:sz="4" w:space="0" w:color="auto"/>
            </w:tcBorders>
          </w:tcPr>
          <w:p w14:paraId="28C991A4" w14:textId="77777777" w:rsidR="00CF43E6" w:rsidRDefault="00CF43E6" w:rsidP="00CF43E6">
            <w:pPr>
              <w:autoSpaceDE w:val="0"/>
              <w:autoSpaceDN w:val="0"/>
              <w:adjustRightInd w:val="0"/>
              <w:spacing w:after="60"/>
              <w:jc w:val="both"/>
              <w:rPr>
                <w:rFonts w:ascii="Times New Roman" w:hAnsi="Times New Roman" w:cs="Times New Roman"/>
                <w:sz w:val="22"/>
                <w:szCs w:val="22"/>
              </w:rPr>
            </w:pPr>
            <w:r w:rsidRPr="001B51E4">
              <w:rPr>
                <w:rFonts w:ascii="Times New Roman" w:hAnsi="Times New Roman" w:cs="Times New Roman"/>
                <w:sz w:val="22"/>
                <w:szCs w:val="22"/>
              </w:rPr>
              <w:t>Odpowiadając na pismo z dnia 30 marca 2026 r. (DL-IV.460.5.2026), dotyczące</w:t>
            </w:r>
            <w:r>
              <w:rPr>
                <w:rFonts w:ascii="Times New Roman" w:hAnsi="Times New Roman" w:cs="Times New Roman"/>
                <w:sz w:val="22"/>
                <w:szCs w:val="22"/>
              </w:rPr>
              <w:t xml:space="preserve"> </w:t>
            </w:r>
            <w:r w:rsidRPr="001B51E4">
              <w:rPr>
                <w:rFonts w:ascii="Times New Roman" w:hAnsi="Times New Roman" w:cs="Times New Roman"/>
                <w:sz w:val="22"/>
                <w:szCs w:val="22"/>
              </w:rPr>
              <w:t>projektu ustawy o zmianie ustawy – Prawo o ustroju sądów powszechnych (z dnia 27 marca</w:t>
            </w:r>
            <w:r>
              <w:rPr>
                <w:rFonts w:ascii="Times New Roman" w:hAnsi="Times New Roman" w:cs="Times New Roman"/>
                <w:sz w:val="22"/>
                <w:szCs w:val="22"/>
              </w:rPr>
              <w:t xml:space="preserve"> </w:t>
            </w:r>
            <w:r w:rsidRPr="001B51E4">
              <w:rPr>
                <w:rFonts w:ascii="Times New Roman" w:hAnsi="Times New Roman" w:cs="Times New Roman"/>
                <w:sz w:val="22"/>
                <w:szCs w:val="22"/>
              </w:rPr>
              <w:t>2026 r., nr w wykazie UD379), uprzejmie informuję, że w okręgu apelacji wrocławskiej uwagi</w:t>
            </w:r>
            <w:r>
              <w:rPr>
                <w:rFonts w:ascii="Times New Roman" w:hAnsi="Times New Roman" w:cs="Times New Roman"/>
                <w:sz w:val="22"/>
                <w:szCs w:val="22"/>
              </w:rPr>
              <w:t xml:space="preserve"> </w:t>
            </w:r>
            <w:r w:rsidRPr="001B51E4">
              <w:rPr>
                <w:rFonts w:ascii="Times New Roman" w:hAnsi="Times New Roman" w:cs="Times New Roman"/>
                <w:sz w:val="22"/>
                <w:szCs w:val="22"/>
              </w:rPr>
              <w:t>do projektu zgłosił Inspektor Ochrony Danych w Sądzie Apelacyjnym we Wrocławiu:</w:t>
            </w:r>
            <w:r>
              <w:rPr>
                <w:rFonts w:ascii="Times New Roman" w:hAnsi="Times New Roman" w:cs="Times New Roman"/>
                <w:sz w:val="22"/>
                <w:szCs w:val="22"/>
              </w:rPr>
              <w:t xml:space="preserve"> </w:t>
            </w:r>
          </w:p>
          <w:p w14:paraId="5AF2D9E5" w14:textId="6D7C2E17" w:rsidR="00CF43E6" w:rsidRPr="0097380A" w:rsidRDefault="00CF43E6" w:rsidP="00CF43E6">
            <w:pPr>
              <w:autoSpaceDE w:val="0"/>
              <w:autoSpaceDN w:val="0"/>
              <w:adjustRightInd w:val="0"/>
              <w:spacing w:after="60"/>
              <w:jc w:val="both"/>
              <w:rPr>
                <w:rFonts w:ascii="Times New Roman" w:hAnsi="Times New Roman" w:cs="Times New Roman"/>
                <w:sz w:val="22"/>
                <w:szCs w:val="22"/>
              </w:rPr>
            </w:pPr>
            <w:r w:rsidRPr="001B51E4">
              <w:rPr>
                <w:rFonts w:ascii="Times New Roman" w:hAnsi="Times New Roman" w:cs="Times New Roman"/>
                <w:sz w:val="22"/>
                <w:szCs w:val="22"/>
              </w:rPr>
              <w:t>„W ocenie Inspektora Ochrony Danych przedłożony projekt zmian jest zgodny</w:t>
            </w:r>
            <w:r>
              <w:rPr>
                <w:rFonts w:ascii="Times New Roman" w:hAnsi="Times New Roman" w:cs="Times New Roman"/>
                <w:sz w:val="22"/>
                <w:szCs w:val="22"/>
              </w:rPr>
              <w:t xml:space="preserve"> </w:t>
            </w:r>
            <w:r w:rsidRPr="001B51E4">
              <w:rPr>
                <w:rFonts w:ascii="Times New Roman" w:hAnsi="Times New Roman" w:cs="Times New Roman"/>
                <w:sz w:val="22"/>
                <w:szCs w:val="22"/>
              </w:rPr>
              <w:t>z przepisami ochrony danych osobowych. Niemniej jednak przewidziane w projektowanym</w:t>
            </w:r>
            <w:r>
              <w:rPr>
                <w:rFonts w:ascii="Times New Roman" w:hAnsi="Times New Roman" w:cs="Times New Roman"/>
                <w:sz w:val="22"/>
                <w:szCs w:val="22"/>
              </w:rPr>
              <w:t xml:space="preserve"> </w:t>
            </w:r>
            <w:r w:rsidRPr="001B51E4">
              <w:rPr>
                <w:rFonts w:ascii="Times New Roman" w:hAnsi="Times New Roman" w:cs="Times New Roman"/>
                <w:sz w:val="22"/>
                <w:szCs w:val="22"/>
              </w:rPr>
              <w:t>art. 157 § 1d. założenie, iż biegły może wyrazić zgodę na ujawnienie na liście biegłych</w:t>
            </w:r>
            <w:r>
              <w:rPr>
                <w:rFonts w:ascii="Times New Roman" w:hAnsi="Times New Roman" w:cs="Times New Roman"/>
                <w:sz w:val="22"/>
                <w:szCs w:val="22"/>
              </w:rPr>
              <w:t xml:space="preserve"> </w:t>
            </w:r>
            <w:r w:rsidRPr="001B51E4">
              <w:rPr>
                <w:rFonts w:ascii="Times New Roman" w:hAnsi="Times New Roman" w:cs="Times New Roman"/>
                <w:sz w:val="22"/>
                <w:szCs w:val="22"/>
              </w:rPr>
              <w:t>sądowych dostępnej w siedzibie sądu oraz za pośrednictwem wyszukiwarki biegłych sądowych</w:t>
            </w:r>
            <w:r>
              <w:rPr>
                <w:rFonts w:ascii="Times New Roman" w:hAnsi="Times New Roman" w:cs="Times New Roman"/>
                <w:sz w:val="22"/>
                <w:szCs w:val="22"/>
              </w:rPr>
              <w:t xml:space="preserve"> </w:t>
            </w:r>
            <w:r w:rsidRPr="001B51E4">
              <w:rPr>
                <w:rFonts w:ascii="Times New Roman" w:hAnsi="Times New Roman" w:cs="Times New Roman"/>
                <w:sz w:val="22"/>
                <w:szCs w:val="22"/>
              </w:rPr>
              <w:t>(dostęp zapewniony wszystkim obywatelom) także danych, o których mowa w § 1b pkt 2</w:t>
            </w:r>
            <w:r>
              <w:rPr>
                <w:rFonts w:ascii="Times New Roman" w:hAnsi="Times New Roman" w:cs="Times New Roman"/>
                <w:sz w:val="22"/>
                <w:szCs w:val="22"/>
              </w:rPr>
              <w:t xml:space="preserve"> </w:t>
            </w:r>
            <w:r w:rsidRPr="001B51E4">
              <w:rPr>
                <w:rFonts w:ascii="Times New Roman" w:hAnsi="Times New Roman" w:cs="Times New Roman"/>
                <w:sz w:val="22"/>
                <w:szCs w:val="22"/>
              </w:rPr>
              <w:t>(numer PESEL a w przypadku gdy dana osoba nie posiada numeru PESEL – serię i numer</w:t>
            </w:r>
            <w:r>
              <w:rPr>
                <w:rFonts w:ascii="Times New Roman" w:hAnsi="Times New Roman" w:cs="Times New Roman"/>
                <w:sz w:val="22"/>
                <w:szCs w:val="22"/>
              </w:rPr>
              <w:t xml:space="preserve"> </w:t>
            </w:r>
            <w:r w:rsidRPr="001B51E4">
              <w:rPr>
                <w:rFonts w:ascii="Times New Roman" w:hAnsi="Times New Roman" w:cs="Times New Roman"/>
                <w:sz w:val="22"/>
                <w:szCs w:val="22"/>
              </w:rPr>
              <w:t>dokumentu potwierdzającego tożsamość) nie znajduje uzasadnienia. Numer PESEL jest daną</w:t>
            </w:r>
            <w:r>
              <w:rPr>
                <w:rFonts w:ascii="Times New Roman" w:hAnsi="Times New Roman" w:cs="Times New Roman"/>
                <w:sz w:val="22"/>
                <w:szCs w:val="22"/>
              </w:rPr>
              <w:t xml:space="preserve"> </w:t>
            </w:r>
            <w:r w:rsidRPr="001B51E4">
              <w:rPr>
                <w:rFonts w:ascii="Times New Roman" w:hAnsi="Times New Roman" w:cs="Times New Roman"/>
                <w:sz w:val="22"/>
                <w:szCs w:val="22"/>
              </w:rPr>
              <w:t>ewidencyjną i identyfikacyjną, jego przetwarzanie musi być ściśle uzasadnione. Tym samym,</w:t>
            </w:r>
            <w:r>
              <w:rPr>
                <w:rFonts w:ascii="Times New Roman" w:hAnsi="Times New Roman" w:cs="Times New Roman"/>
                <w:sz w:val="22"/>
                <w:szCs w:val="22"/>
              </w:rPr>
              <w:t xml:space="preserve"> </w:t>
            </w:r>
            <w:r w:rsidRPr="001B51E4">
              <w:rPr>
                <w:rFonts w:ascii="Times New Roman" w:hAnsi="Times New Roman" w:cs="Times New Roman"/>
                <w:sz w:val="22"/>
                <w:szCs w:val="22"/>
              </w:rPr>
              <w:t>w ocenie Inspektora Ochrony Danych, PESEL nie jest niezbędny wszystkim użytkownikom</w:t>
            </w:r>
            <w:r>
              <w:rPr>
                <w:rFonts w:ascii="Times New Roman" w:hAnsi="Times New Roman" w:cs="Times New Roman"/>
                <w:sz w:val="22"/>
                <w:szCs w:val="22"/>
              </w:rPr>
              <w:t xml:space="preserve"> </w:t>
            </w:r>
            <w:r w:rsidRPr="001B51E4">
              <w:rPr>
                <w:rFonts w:ascii="Times New Roman" w:hAnsi="Times New Roman" w:cs="Times New Roman"/>
                <w:sz w:val="22"/>
                <w:szCs w:val="22"/>
              </w:rPr>
              <w:t xml:space="preserve">wyszukiwarki (obywatelom). Tym samym rekomenduję rozważenie </w:t>
            </w:r>
            <w:r w:rsidRPr="001B51E4">
              <w:rPr>
                <w:rFonts w:ascii="Times New Roman" w:hAnsi="Times New Roman" w:cs="Times New Roman"/>
                <w:sz w:val="22"/>
                <w:szCs w:val="22"/>
              </w:rPr>
              <w:lastRenderedPageBreak/>
              <w:t>wykreślenia tego zapisu</w:t>
            </w:r>
            <w:r>
              <w:rPr>
                <w:rFonts w:ascii="Times New Roman" w:hAnsi="Times New Roman" w:cs="Times New Roman"/>
                <w:sz w:val="22"/>
                <w:szCs w:val="22"/>
              </w:rPr>
              <w:t xml:space="preserve"> </w:t>
            </w:r>
            <w:r w:rsidRPr="001B51E4">
              <w:rPr>
                <w:rFonts w:ascii="Times New Roman" w:hAnsi="Times New Roman" w:cs="Times New Roman"/>
                <w:sz w:val="22"/>
                <w:szCs w:val="22"/>
              </w:rPr>
              <w:t>z projektu zmian. Natomiast możliwość dobrowolnego ujawnienia dodatkowych danych</w:t>
            </w:r>
            <w:r>
              <w:rPr>
                <w:rFonts w:ascii="Times New Roman" w:hAnsi="Times New Roman" w:cs="Times New Roman"/>
                <w:sz w:val="22"/>
                <w:szCs w:val="22"/>
              </w:rPr>
              <w:t xml:space="preserve"> </w:t>
            </w:r>
            <w:r w:rsidRPr="001B51E4">
              <w:rPr>
                <w:rFonts w:ascii="Times New Roman" w:hAnsi="Times New Roman" w:cs="Times New Roman"/>
                <w:sz w:val="22"/>
                <w:szCs w:val="22"/>
              </w:rPr>
              <w:t>kontaktowych jest zgodna z art. 6 ust. 1 lit. a RODO (zgoda osoby, której dane dotyczą).”</w:t>
            </w:r>
          </w:p>
        </w:tc>
        <w:tc>
          <w:tcPr>
            <w:tcW w:w="5522" w:type="dxa"/>
            <w:tcBorders>
              <w:top w:val="single" w:sz="4" w:space="0" w:color="auto"/>
              <w:left w:val="single" w:sz="4" w:space="0" w:color="auto"/>
              <w:bottom w:val="single" w:sz="4" w:space="0" w:color="auto"/>
              <w:right w:val="single" w:sz="4" w:space="0" w:color="auto"/>
            </w:tcBorders>
          </w:tcPr>
          <w:p w14:paraId="319E1C94" w14:textId="713F4E0C" w:rsidR="00CF43E6" w:rsidRPr="0009368D" w:rsidRDefault="0009368D" w:rsidP="00CF43E6">
            <w:pPr>
              <w:spacing w:after="60"/>
              <w:jc w:val="both"/>
              <w:rPr>
                <w:rFonts w:ascii="Times New Roman" w:hAnsi="Times New Roman" w:cs="Times New Roman"/>
                <w:sz w:val="22"/>
                <w:szCs w:val="22"/>
              </w:rPr>
            </w:pPr>
            <w:r w:rsidRPr="0009368D">
              <w:rPr>
                <w:rFonts w:ascii="Times New Roman" w:hAnsi="Times New Roman" w:cs="Times New Roman"/>
                <w:sz w:val="22"/>
                <w:szCs w:val="22"/>
              </w:rPr>
              <w:lastRenderedPageBreak/>
              <w:t>Uwaga uwzględniona</w:t>
            </w:r>
            <w:r w:rsidR="00523349">
              <w:rPr>
                <w:rFonts w:ascii="Times New Roman" w:hAnsi="Times New Roman" w:cs="Times New Roman"/>
                <w:sz w:val="22"/>
                <w:szCs w:val="22"/>
              </w:rPr>
              <w:t>.</w:t>
            </w:r>
          </w:p>
        </w:tc>
      </w:tr>
      <w:tr w:rsidR="00523349" w:rsidRPr="00941A8E" w14:paraId="6FA1827A"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082ABC78" w14:textId="77777777" w:rsidR="00523349" w:rsidRPr="00C673CF" w:rsidRDefault="00523349" w:rsidP="00523349">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6A8CFC7E" w14:textId="19BCE928" w:rsidR="00523349" w:rsidRDefault="00523349" w:rsidP="00523349">
            <w:pPr>
              <w:jc w:val="center"/>
              <w:rPr>
                <w:rFonts w:ascii="Times New Roman" w:hAnsi="Times New Roman" w:cs="Times New Roman"/>
                <w:sz w:val="22"/>
                <w:szCs w:val="22"/>
              </w:rPr>
            </w:pPr>
            <w:r>
              <w:rPr>
                <w:rFonts w:ascii="Times New Roman" w:hAnsi="Times New Roman" w:cs="Times New Roman"/>
                <w:sz w:val="22"/>
                <w:szCs w:val="22"/>
              </w:rPr>
              <w:t>art. 1 pkt 2 lit. b</w:t>
            </w:r>
          </w:p>
        </w:tc>
        <w:tc>
          <w:tcPr>
            <w:tcW w:w="1547" w:type="dxa"/>
            <w:tcBorders>
              <w:top w:val="single" w:sz="4" w:space="0" w:color="auto"/>
              <w:left w:val="single" w:sz="4" w:space="0" w:color="auto"/>
              <w:bottom w:val="single" w:sz="4" w:space="0" w:color="auto"/>
              <w:right w:val="single" w:sz="4" w:space="0" w:color="auto"/>
            </w:tcBorders>
          </w:tcPr>
          <w:p w14:paraId="3DBF50C1" w14:textId="04FA3F88" w:rsidR="00523349" w:rsidRDefault="00523349" w:rsidP="00523349">
            <w:pPr>
              <w:spacing w:after="120"/>
              <w:rPr>
                <w:rFonts w:ascii="Times New Roman" w:hAnsi="Times New Roman" w:cs="Times New Roman"/>
                <w:sz w:val="22"/>
                <w:szCs w:val="22"/>
              </w:rPr>
            </w:pPr>
            <w:r>
              <w:rPr>
                <w:rFonts w:ascii="Times New Roman" w:hAnsi="Times New Roman" w:cs="Times New Roman"/>
                <w:sz w:val="22"/>
                <w:szCs w:val="22"/>
              </w:rPr>
              <w:t xml:space="preserve">SA w Warszawie </w:t>
            </w:r>
          </w:p>
        </w:tc>
        <w:tc>
          <w:tcPr>
            <w:tcW w:w="5571" w:type="dxa"/>
            <w:tcBorders>
              <w:top w:val="single" w:sz="4" w:space="0" w:color="auto"/>
              <w:left w:val="single" w:sz="4" w:space="0" w:color="auto"/>
              <w:bottom w:val="single" w:sz="4" w:space="0" w:color="auto"/>
              <w:right w:val="single" w:sz="4" w:space="0" w:color="auto"/>
            </w:tcBorders>
          </w:tcPr>
          <w:p w14:paraId="6F89D3ED" w14:textId="5AB215A2" w:rsidR="00523349" w:rsidRPr="001B51E4" w:rsidRDefault="00523349" w:rsidP="00523349">
            <w:pPr>
              <w:autoSpaceDE w:val="0"/>
              <w:autoSpaceDN w:val="0"/>
              <w:adjustRightInd w:val="0"/>
              <w:spacing w:after="60"/>
              <w:jc w:val="both"/>
              <w:rPr>
                <w:rFonts w:ascii="Times New Roman" w:hAnsi="Times New Roman" w:cs="Times New Roman"/>
                <w:sz w:val="22"/>
                <w:szCs w:val="22"/>
              </w:rPr>
            </w:pPr>
            <w:r w:rsidRPr="00233CBE">
              <w:rPr>
                <w:rFonts w:ascii="Times New Roman" w:hAnsi="Times New Roman" w:cs="Times New Roman"/>
                <w:sz w:val="22"/>
                <w:szCs w:val="22"/>
              </w:rPr>
              <w:t>W art. 157 ustawy PUSP w projektowanym § 1d wskazano, że biegły może</w:t>
            </w:r>
            <w:r>
              <w:rPr>
                <w:rFonts w:ascii="Times New Roman" w:hAnsi="Times New Roman" w:cs="Times New Roman"/>
                <w:sz w:val="22"/>
                <w:szCs w:val="22"/>
              </w:rPr>
              <w:t xml:space="preserve"> </w:t>
            </w:r>
            <w:r w:rsidRPr="00233CBE">
              <w:rPr>
                <w:rFonts w:ascii="Times New Roman" w:hAnsi="Times New Roman" w:cs="Times New Roman"/>
                <w:sz w:val="22"/>
                <w:szCs w:val="22"/>
              </w:rPr>
              <w:t>wyrazić zgodę na ujawnienie na liście biegłych sądowych dostępnej w siedzibie sądu oraz</w:t>
            </w:r>
            <w:r>
              <w:rPr>
                <w:rFonts w:ascii="Times New Roman" w:hAnsi="Times New Roman" w:cs="Times New Roman"/>
                <w:sz w:val="22"/>
                <w:szCs w:val="22"/>
              </w:rPr>
              <w:t xml:space="preserve"> </w:t>
            </w:r>
            <w:r w:rsidRPr="00233CBE">
              <w:rPr>
                <w:rFonts w:ascii="Times New Roman" w:hAnsi="Times New Roman" w:cs="Times New Roman"/>
                <w:sz w:val="22"/>
                <w:szCs w:val="22"/>
              </w:rPr>
              <w:t>za pośrednictwem wyszukiwarki biegłych sądowych także danych, o których mowa w § 1b</w:t>
            </w:r>
            <w:r>
              <w:rPr>
                <w:rFonts w:ascii="Times New Roman" w:hAnsi="Times New Roman" w:cs="Times New Roman"/>
                <w:sz w:val="22"/>
                <w:szCs w:val="22"/>
              </w:rPr>
              <w:t xml:space="preserve"> </w:t>
            </w:r>
            <w:r w:rsidRPr="00233CBE">
              <w:rPr>
                <w:rFonts w:ascii="Times New Roman" w:hAnsi="Times New Roman" w:cs="Times New Roman"/>
                <w:sz w:val="22"/>
                <w:szCs w:val="22"/>
              </w:rPr>
              <w:t>pkt 2, 3 lub 4, a zatem również numeru PESEL, a w przypadku, gdy dana osoba nie posiada</w:t>
            </w:r>
            <w:r>
              <w:rPr>
                <w:rFonts w:ascii="Times New Roman" w:hAnsi="Times New Roman" w:cs="Times New Roman"/>
                <w:sz w:val="22"/>
                <w:szCs w:val="22"/>
              </w:rPr>
              <w:t xml:space="preserve"> </w:t>
            </w:r>
            <w:r w:rsidRPr="00233CBE">
              <w:rPr>
                <w:rFonts w:ascii="Times New Roman" w:hAnsi="Times New Roman" w:cs="Times New Roman"/>
                <w:sz w:val="22"/>
                <w:szCs w:val="22"/>
              </w:rPr>
              <w:t>numeru PESEL – serii i numeru dokumentu potwierdzającego tożsamość. Pomimo</w:t>
            </w:r>
            <w:r>
              <w:rPr>
                <w:rFonts w:ascii="Times New Roman" w:hAnsi="Times New Roman" w:cs="Times New Roman"/>
                <w:sz w:val="22"/>
                <w:szCs w:val="22"/>
              </w:rPr>
              <w:t xml:space="preserve"> </w:t>
            </w:r>
            <w:r w:rsidRPr="00233CBE">
              <w:rPr>
                <w:rFonts w:ascii="Times New Roman" w:hAnsi="Times New Roman" w:cs="Times New Roman"/>
                <w:sz w:val="22"/>
                <w:szCs w:val="22"/>
              </w:rPr>
              <w:t>dobrowolności podania tych danych, sugerowanie podania tych danych jest nieadekwatne</w:t>
            </w:r>
            <w:r>
              <w:rPr>
                <w:rFonts w:ascii="Times New Roman" w:hAnsi="Times New Roman" w:cs="Times New Roman"/>
                <w:sz w:val="22"/>
                <w:szCs w:val="22"/>
              </w:rPr>
              <w:t xml:space="preserve"> </w:t>
            </w:r>
            <w:r w:rsidRPr="00233CBE">
              <w:rPr>
                <w:rFonts w:ascii="Times New Roman" w:hAnsi="Times New Roman" w:cs="Times New Roman"/>
                <w:sz w:val="22"/>
                <w:szCs w:val="22"/>
              </w:rPr>
              <w:t>i naruszające zasadę minimalizacji danych, w szczególności również naruszać może</w:t>
            </w:r>
            <w:r>
              <w:rPr>
                <w:rFonts w:ascii="Times New Roman" w:hAnsi="Times New Roman" w:cs="Times New Roman"/>
                <w:sz w:val="22"/>
                <w:szCs w:val="22"/>
              </w:rPr>
              <w:t xml:space="preserve"> </w:t>
            </w:r>
            <w:r w:rsidRPr="00233CBE">
              <w:rPr>
                <w:rFonts w:ascii="Times New Roman" w:hAnsi="Times New Roman" w:cs="Times New Roman"/>
                <w:sz w:val="22"/>
                <w:szCs w:val="22"/>
              </w:rPr>
              <w:t>szczególną ochronę numeru identyfikacyjnego osoby fizycznej.</w:t>
            </w:r>
          </w:p>
        </w:tc>
        <w:tc>
          <w:tcPr>
            <w:tcW w:w="5522" w:type="dxa"/>
            <w:tcBorders>
              <w:top w:val="single" w:sz="4" w:space="0" w:color="auto"/>
              <w:left w:val="single" w:sz="4" w:space="0" w:color="auto"/>
              <w:bottom w:val="single" w:sz="4" w:space="0" w:color="auto"/>
              <w:right w:val="single" w:sz="4" w:space="0" w:color="auto"/>
            </w:tcBorders>
          </w:tcPr>
          <w:p w14:paraId="159426CF" w14:textId="33557A3D" w:rsidR="00523349" w:rsidRPr="006604C3" w:rsidRDefault="00523349" w:rsidP="00523349">
            <w:pPr>
              <w:spacing w:after="60"/>
              <w:jc w:val="both"/>
              <w:rPr>
                <w:rFonts w:ascii="Times New Roman" w:hAnsi="Times New Roman" w:cs="Times New Roman"/>
                <w:b/>
                <w:bCs/>
                <w:sz w:val="22"/>
                <w:szCs w:val="22"/>
              </w:rPr>
            </w:pPr>
            <w:r w:rsidRPr="0009368D">
              <w:rPr>
                <w:rFonts w:ascii="Times New Roman" w:hAnsi="Times New Roman" w:cs="Times New Roman"/>
                <w:sz w:val="22"/>
                <w:szCs w:val="22"/>
              </w:rPr>
              <w:t>Uwaga uwzględniona</w:t>
            </w:r>
            <w:r>
              <w:rPr>
                <w:rFonts w:ascii="Times New Roman" w:hAnsi="Times New Roman" w:cs="Times New Roman"/>
                <w:sz w:val="22"/>
                <w:szCs w:val="22"/>
              </w:rPr>
              <w:t>.</w:t>
            </w:r>
          </w:p>
        </w:tc>
      </w:tr>
      <w:tr w:rsidR="00523349" w:rsidRPr="00941A8E" w14:paraId="4A86F6E0"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07806F2E" w14:textId="77777777" w:rsidR="00523349" w:rsidRPr="00C673CF" w:rsidRDefault="00523349" w:rsidP="00523349">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6535F7C6" w14:textId="02667204" w:rsidR="00523349" w:rsidRPr="00360867" w:rsidRDefault="00523349" w:rsidP="00523349">
            <w:pPr>
              <w:jc w:val="center"/>
              <w:rPr>
                <w:rFonts w:ascii="Times New Roman" w:hAnsi="Times New Roman" w:cs="Times New Roman"/>
                <w:sz w:val="22"/>
                <w:szCs w:val="22"/>
              </w:rPr>
            </w:pPr>
            <w:r>
              <w:rPr>
                <w:rFonts w:ascii="Times New Roman" w:hAnsi="Times New Roman" w:cs="Times New Roman"/>
                <w:sz w:val="22"/>
                <w:szCs w:val="22"/>
              </w:rPr>
              <w:t>art. 1 pkt 2 lit. b</w:t>
            </w:r>
          </w:p>
        </w:tc>
        <w:tc>
          <w:tcPr>
            <w:tcW w:w="1547" w:type="dxa"/>
            <w:tcBorders>
              <w:top w:val="single" w:sz="4" w:space="0" w:color="auto"/>
              <w:left w:val="single" w:sz="4" w:space="0" w:color="auto"/>
              <w:bottom w:val="single" w:sz="4" w:space="0" w:color="auto"/>
              <w:right w:val="single" w:sz="4" w:space="0" w:color="auto"/>
            </w:tcBorders>
          </w:tcPr>
          <w:p w14:paraId="626F4C61" w14:textId="25738B8B" w:rsidR="00523349" w:rsidRDefault="00523349" w:rsidP="00523349">
            <w:pPr>
              <w:spacing w:after="120"/>
              <w:rPr>
                <w:rFonts w:ascii="Times New Roman" w:hAnsi="Times New Roman" w:cs="Times New Roman"/>
                <w:sz w:val="22"/>
                <w:szCs w:val="22"/>
              </w:rPr>
            </w:pPr>
            <w:r w:rsidRPr="004207D9">
              <w:rPr>
                <w:rFonts w:ascii="Times New Roman" w:hAnsi="Times New Roman" w:cs="Times New Roman"/>
                <w:sz w:val="22"/>
                <w:szCs w:val="22"/>
              </w:rPr>
              <w:t>Prezes</w:t>
            </w:r>
            <w:r>
              <w:rPr>
                <w:rFonts w:ascii="Times New Roman" w:hAnsi="Times New Roman" w:cs="Times New Roman"/>
                <w:sz w:val="22"/>
                <w:szCs w:val="22"/>
              </w:rPr>
              <w:t xml:space="preserve"> </w:t>
            </w:r>
            <w:r w:rsidRPr="004207D9">
              <w:rPr>
                <w:rFonts w:ascii="Times New Roman" w:hAnsi="Times New Roman" w:cs="Times New Roman"/>
                <w:sz w:val="22"/>
                <w:szCs w:val="22"/>
              </w:rPr>
              <w:t>Urzędu Ochrony</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Danych </w:t>
            </w:r>
            <w:r>
              <w:rPr>
                <w:rFonts w:ascii="Times New Roman" w:hAnsi="Times New Roman" w:cs="Times New Roman"/>
                <w:sz w:val="22"/>
                <w:szCs w:val="22"/>
              </w:rPr>
              <w:t xml:space="preserve"> O</w:t>
            </w:r>
            <w:r w:rsidRPr="004207D9">
              <w:rPr>
                <w:rFonts w:ascii="Times New Roman" w:hAnsi="Times New Roman" w:cs="Times New Roman"/>
                <w:sz w:val="22"/>
                <w:szCs w:val="22"/>
              </w:rPr>
              <w:t>sobowych</w:t>
            </w:r>
          </w:p>
        </w:tc>
        <w:tc>
          <w:tcPr>
            <w:tcW w:w="5571" w:type="dxa"/>
            <w:tcBorders>
              <w:top w:val="single" w:sz="4" w:space="0" w:color="auto"/>
              <w:left w:val="single" w:sz="4" w:space="0" w:color="auto"/>
              <w:bottom w:val="single" w:sz="4" w:space="0" w:color="auto"/>
              <w:right w:val="single" w:sz="4" w:space="0" w:color="auto"/>
            </w:tcBorders>
          </w:tcPr>
          <w:p w14:paraId="79910A4F" w14:textId="77777777" w:rsidR="00523349" w:rsidRDefault="00523349" w:rsidP="00523349">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Istotne wątpliwości organu właściwego w sprawie ochrony danych osobowych budzi art. 1</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pkt 3 projektu uchylający art. 175da § 9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w:t>
            </w:r>
          </w:p>
          <w:p w14:paraId="2183B8EC" w14:textId="77777777" w:rsidR="00523349" w:rsidRDefault="00523349" w:rsidP="00523349">
            <w:pPr>
              <w:autoSpaceDE w:val="0"/>
              <w:autoSpaceDN w:val="0"/>
              <w:adjustRightInd w:val="0"/>
              <w:spacing w:after="60"/>
              <w:jc w:val="both"/>
              <w:rPr>
                <w:rFonts w:ascii="Times New Roman" w:hAnsi="Times New Roman" w:cs="Times New Roman"/>
                <w:sz w:val="22"/>
                <w:szCs w:val="22"/>
              </w:rPr>
            </w:pPr>
          </w:p>
          <w:p w14:paraId="29C91FFF" w14:textId="4F7D4E88" w:rsidR="00523349" w:rsidRPr="004207D9" w:rsidRDefault="00523349" w:rsidP="00523349">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Opiniowany projekt dotyczy bowiem biegłych sądowych (i – w wąskim zakresie –</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uczestnictwa w postępowaniach tłumaczy języka migowego). Art. 175da § 9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który</w:t>
            </w:r>
            <w:r>
              <w:rPr>
                <w:rFonts w:ascii="Times New Roman" w:hAnsi="Times New Roman" w:cs="Times New Roman"/>
                <w:sz w:val="22"/>
                <w:szCs w:val="22"/>
              </w:rPr>
              <w:t xml:space="preserve"> </w:t>
            </w:r>
            <w:r w:rsidRPr="004207D9">
              <w:rPr>
                <w:rFonts w:ascii="Times New Roman" w:hAnsi="Times New Roman" w:cs="Times New Roman"/>
                <w:sz w:val="22"/>
                <w:szCs w:val="22"/>
              </w:rPr>
              <w:t>ma być uchylony przez art. 1 pkt 3 projektu, miał zaś być przepisem stanowiącym</w:t>
            </w:r>
            <w:r>
              <w:rPr>
                <w:rFonts w:ascii="Times New Roman" w:hAnsi="Times New Roman" w:cs="Times New Roman"/>
                <w:sz w:val="22"/>
                <w:szCs w:val="22"/>
              </w:rPr>
              <w:t xml:space="preserve"> </w:t>
            </w:r>
            <w:r w:rsidRPr="004207D9">
              <w:rPr>
                <w:rFonts w:ascii="Times New Roman" w:hAnsi="Times New Roman" w:cs="Times New Roman"/>
                <w:sz w:val="22"/>
                <w:szCs w:val="22"/>
              </w:rPr>
              <w:t>delegację ustawową dla wydania przez Ministra Sprawiedliwości, w porozumieniu z</w:t>
            </w:r>
            <w:r>
              <w:rPr>
                <w:rFonts w:ascii="Times New Roman" w:hAnsi="Times New Roman" w:cs="Times New Roman"/>
                <w:sz w:val="22"/>
                <w:szCs w:val="22"/>
              </w:rPr>
              <w:t xml:space="preserve"> </w:t>
            </w:r>
            <w:r w:rsidRPr="004207D9">
              <w:rPr>
                <w:rFonts w:ascii="Times New Roman" w:hAnsi="Times New Roman" w:cs="Times New Roman"/>
                <w:sz w:val="22"/>
                <w:szCs w:val="22"/>
              </w:rPr>
              <w:t>ministrem właściwym do spraw informatyzacji, rozporządzenia porządkującego i</w:t>
            </w:r>
            <w:r>
              <w:rPr>
                <w:rFonts w:ascii="Times New Roman" w:hAnsi="Times New Roman" w:cs="Times New Roman"/>
                <w:sz w:val="22"/>
                <w:szCs w:val="22"/>
              </w:rPr>
              <w:t xml:space="preserve"> </w:t>
            </w:r>
            <w:r w:rsidRPr="004207D9">
              <w:rPr>
                <w:rFonts w:ascii="Times New Roman" w:hAnsi="Times New Roman" w:cs="Times New Roman"/>
                <w:sz w:val="22"/>
                <w:szCs w:val="22"/>
              </w:rPr>
              <w:t>standaryzującego sądowe systemy teleinformatyczne, o których mowa w art. 175da § 1 i 2</w:t>
            </w:r>
            <w:r>
              <w:rPr>
                <w:rFonts w:ascii="Times New Roman" w:hAnsi="Times New Roman" w:cs="Times New Roman"/>
                <w:sz w:val="22"/>
                <w:szCs w:val="22"/>
              </w:rPr>
              <w:t xml:space="preserve">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w:t>
            </w:r>
          </w:p>
          <w:p w14:paraId="62D22331" w14:textId="1F3F7C6B" w:rsidR="00523349" w:rsidRPr="0097380A" w:rsidRDefault="00523349" w:rsidP="00523349">
            <w:pPr>
              <w:autoSpaceDE w:val="0"/>
              <w:autoSpaceDN w:val="0"/>
              <w:adjustRightInd w:val="0"/>
              <w:spacing w:after="60"/>
              <w:jc w:val="both"/>
              <w:rPr>
                <w:rFonts w:ascii="Times New Roman" w:hAnsi="Times New Roman" w:cs="Times New Roman"/>
                <w:sz w:val="22"/>
                <w:szCs w:val="22"/>
              </w:rPr>
            </w:pPr>
            <w:r w:rsidRPr="004207D9">
              <w:rPr>
                <w:rFonts w:ascii="Times New Roman" w:hAnsi="Times New Roman" w:cs="Times New Roman"/>
                <w:sz w:val="22"/>
                <w:szCs w:val="22"/>
              </w:rPr>
              <w:t>Biorąc zatem pod uwagę brak związku tego przepisu z zasadniczym przedmiotem</w:t>
            </w:r>
            <w:r>
              <w:rPr>
                <w:rFonts w:ascii="Times New Roman" w:hAnsi="Times New Roman" w:cs="Times New Roman"/>
                <w:sz w:val="22"/>
                <w:szCs w:val="22"/>
              </w:rPr>
              <w:t xml:space="preserve"> </w:t>
            </w:r>
            <w:r w:rsidRPr="004207D9">
              <w:rPr>
                <w:rFonts w:ascii="Times New Roman" w:hAnsi="Times New Roman" w:cs="Times New Roman"/>
                <w:sz w:val="22"/>
                <w:szCs w:val="22"/>
              </w:rPr>
              <w:t>opiniowanego projektu, jak również faktyczną istotność (ważkość) wynikającą z</w:t>
            </w:r>
            <w:r>
              <w:rPr>
                <w:rFonts w:ascii="Times New Roman" w:hAnsi="Times New Roman" w:cs="Times New Roman"/>
                <w:sz w:val="22"/>
                <w:szCs w:val="22"/>
              </w:rPr>
              <w:t xml:space="preserve"> </w:t>
            </w:r>
            <w:r w:rsidRPr="004207D9">
              <w:rPr>
                <w:rFonts w:ascii="Times New Roman" w:hAnsi="Times New Roman" w:cs="Times New Roman"/>
                <w:sz w:val="22"/>
                <w:szCs w:val="22"/>
              </w:rPr>
              <w:t>jego uchylenia, w opinii Prezesa Urzędu Ochrony Danych Osobowych tak daleko idąca</w:t>
            </w:r>
            <w:r>
              <w:rPr>
                <w:rFonts w:ascii="Times New Roman" w:hAnsi="Times New Roman" w:cs="Times New Roman"/>
                <w:sz w:val="22"/>
                <w:szCs w:val="22"/>
              </w:rPr>
              <w:t xml:space="preserve"> </w:t>
            </w:r>
            <w:r w:rsidRPr="004207D9">
              <w:rPr>
                <w:rFonts w:ascii="Times New Roman" w:hAnsi="Times New Roman" w:cs="Times New Roman"/>
                <w:sz w:val="22"/>
                <w:szCs w:val="22"/>
              </w:rPr>
              <w:t>interwencja legislacyjna powinna być przedmiotem odrębnego procesu legislacyjnego</w:t>
            </w:r>
            <w:r>
              <w:rPr>
                <w:rFonts w:ascii="Times New Roman" w:hAnsi="Times New Roman" w:cs="Times New Roman"/>
                <w:sz w:val="22"/>
                <w:szCs w:val="22"/>
              </w:rPr>
              <w:t xml:space="preserve"> </w:t>
            </w:r>
            <w:r w:rsidRPr="004207D9">
              <w:rPr>
                <w:rFonts w:ascii="Times New Roman" w:hAnsi="Times New Roman" w:cs="Times New Roman"/>
                <w:sz w:val="22"/>
                <w:szCs w:val="22"/>
              </w:rPr>
              <w:lastRenderedPageBreak/>
              <w:t>poprzedzonego przeprowadzeniem szczegółowej analizy i namysłem. Zdecydowanie</w:t>
            </w:r>
            <w:r>
              <w:rPr>
                <w:rFonts w:ascii="Times New Roman" w:hAnsi="Times New Roman" w:cs="Times New Roman"/>
                <w:sz w:val="22"/>
                <w:szCs w:val="22"/>
              </w:rPr>
              <w:t xml:space="preserve"> </w:t>
            </w:r>
            <w:r w:rsidRPr="004207D9">
              <w:rPr>
                <w:rFonts w:ascii="Times New Roman" w:hAnsi="Times New Roman" w:cs="Times New Roman"/>
                <w:sz w:val="22"/>
                <w:szCs w:val="22"/>
              </w:rPr>
              <w:t>niewystarczające jest – zdaniem organu nadzorczego – stwierdzenie (uzasadnienie – str.</w:t>
            </w:r>
            <w:r>
              <w:rPr>
                <w:rFonts w:ascii="Times New Roman" w:hAnsi="Times New Roman" w:cs="Times New Roman"/>
                <w:sz w:val="22"/>
                <w:szCs w:val="22"/>
              </w:rPr>
              <w:t xml:space="preserve"> </w:t>
            </w:r>
            <w:r w:rsidRPr="004207D9">
              <w:rPr>
                <w:rFonts w:ascii="Times New Roman" w:hAnsi="Times New Roman" w:cs="Times New Roman"/>
                <w:sz w:val="22"/>
                <w:szCs w:val="22"/>
              </w:rPr>
              <w:t xml:space="preserve">1 i 5), iż za uchyleniem art. 175da § 9 </w:t>
            </w:r>
            <w:proofErr w:type="spellStart"/>
            <w:r w:rsidRPr="004207D9">
              <w:rPr>
                <w:rFonts w:ascii="Times New Roman" w:hAnsi="Times New Roman" w:cs="Times New Roman"/>
                <w:sz w:val="22"/>
                <w:szCs w:val="22"/>
              </w:rPr>
              <w:t>u.s.p</w:t>
            </w:r>
            <w:proofErr w:type="spellEnd"/>
            <w:r w:rsidRPr="004207D9">
              <w:rPr>
                <w:rFonts w:ascii="Times New Roman" w:hAnsi="Times New Roman" w:cs="Times New Roman"/>
                <w:sz w:val="22"/>
                <w:szCs w:val="22"/>
              </w:rPr>
              <w:t>. przemawia okoliczność, że delegacja do</w:t>
            </w:r>
            <w:r>
              <w:rPr>
                <w:rFonts w:ascii="Times New Roman" w:hAnsi="Times New Roman" w:cs="Times New Roman"/>
                <w:sz w:val="22"/>
                <w:szCs w:val="22"/>
              </w:rPr>
              <w:t xml:space="preserve"> </w:t>
            </w:r>
            <w:r w:rsidRPr="004207D9">
              <w:rPr>
                <w:rFonts w:ascii="Times New Roman" w:hAnsi="Times New Roman" w:cs="Times New Roman"/>
                <w:sz w:val="22"/>
                <w:szCs w:val="22"/>
              </w:rPr>
              <w:t>wydania przez Ministra Sprawiedliwości rozporządzenia na jego podstawie nie została</w:t>
            </w:r>
            <w:r>
              <w:rPr>
                <w:rFonts w:ascii="Times New Roman" w:hAnsi="Times New Roman" w:cs="Times New Roman"/>
                <w:sz w:val="22"/>
                <w:szCs w:val="22"/>
              </w:rPr>
              <w:t xml:space="preserve"> </w:t>
            </w:r>
            <w:r w:rsidRPr="004207D9">
              <w:rPr>
                <w:rFonts w:ascii="Times New Roman" w:hAnsi="Times New Roman" w:cs="Times New Roman"/>
                <w:sz w:val="22"/>
                <w:szCs w:val="22"/>
              </w:rPr>
              <w:t>dotąd wykonana.</w:t>
            </w:r>
            <w:r>
              <w:rPr>
                <w:rFonts w:ascii="Times New Roman" w:hAnsi="Times New Roman" w:cs="Times New Roman"/>
                <w:sz w:val="22"/>
                <w:szCs w:val="22"/>
              </w:rPr>
              <w:t xml:space="preserve"> </w:t>
            </w:r>
            <w:r w:rsidRPr="004207D9">
              <w:rPr>
                <w:rFonts w:ascii="Times New Roman" w:hAnsi="Times New Roman" w:cs="Times New Roman"/>
                <w:sz w:val="22"/>
                <w:szCs w:val="22"/>
              </w:rPr>
              <w:t>Z uwagi na powyższe organ właściwy w sprawie ochrony danych osobowych wnosi o</w:t>
            </w:r>
            <w:r>
              <w:rPr>
                <w:rFonts w:ascii="Times New Roman" w:hAnsi="Times New Roman" w:cs="Times New Roman"/>
                <w:sz w:val="22"/>
                <w:szCs w:val="22"/>
              </w:rPr>
              <w:t xml:space="preserve"> </w:t>
            </w:r>
            <w:r w:rsidRPr="004207D9">
              <w:rPr>
                <w:rFonts w:ascii="Times New Roman" w:hAnsi="Times New Roman" w:cs="Times New Roman"/>
                <w:sz w:val="22"/>
                <w:szCs w:val="22"/>
              </w:rPr>
              <w:t>rozważenie usunięcia z projektu art. 1 pkt 3.</w:t>
            </w:r>
          </w:p>
        </w:tc>
        <w:tc>
          <w:tcPr>
            <w:tcW w:w="5522" w:type="dxa"/>
            <w:tcBorders>
              <w:top w:val="single" w:sz="4" w:space="0" w:color="auto"/>
              <w:left w:val="single" w:sz="4" w:space="0" w:color="auto"/>
              <w:bottom w:val="single" w:sz="4" w:space="0" w:color="auto"/>
              <w:right w:val="single" w:sz="4" w:space="0" w:color="auto"/>
            </w:tcBorders>
          </w:tcPr>
          <w:p w14:paraId="4A2C385C" w14:textId="6DF13E5B" w:rsidR="00523349" w:rsidRPr="00523349" w:rsidRDefault="00523349" w:rsidP="00523349">
            <w:pPr>
              <w:autoSpaceDE w:val="0"/>
              <w:autoSpaceDN w:val="0"/>
              <w:adjustRightInd w:val="0"/>
              <w:spacing w:after="60"/>
              <w:jc w:val="both"/>
              <w:rPr>
                <w:rFonts w:ascii="Times New Roman" w:hAnsi="Times New Roman" w:cs="Times New Roman"/>
                <w:sz w:val="22"/>
                <w:szCs w:val="22"/>
              </w:rPr>
            </w:pPr>
            <w:r w:rsidRPr="00523349">
              <w:rPr>
                <w:rFonts w:ascii="Times New Roman" w:hAnsi="Times New Roman" w:cs="Times New Roman"/>
                <w:sz w:val="22"/>
                <w:szCs w:val="22"/>
              </w:rPr>
              <w:lastRenderedPageBreak/>
              <w:t xml:space="preserve">Uwaga uwzględniona o tyle, że odstąpiono od uchylenia art. 175da § 9 </w:t>
            </w:r>
            <w:proofErr w:type="spellStart"/>
            <w:r w:rsidRPr="00523349">
              <w:rPr>
                <w:rFonts w:ascii="Times New Roman" w:hAnsi="Times New Roman" w:cs="Times New Roman"/>
                <w:sz w:val="22"/>
                <w:szCs w:val="22"/>
              </w:rPr>
              <w:t>u.s.p</w:t>
            </w:r>
            <w:proofErr w:type="spellEnd"/>
            <w:r w:rsidRPr="00523349">
              <w:rPr>
                <w:rFonts w:ascii="Times New Roman" w:hAnsi="Times New Roman" w:cs="Times New Roman"/>
                <w:sz w:val="22"/>
                <w:szCs w:val="22"/>
              </w:rPr>
              <w:t>. na rzecz modyfikacji zawartej w nim delegacji ustawowej.</w:t>
            </w:r>
          </w:p>
          <w:p w14:paraId="329CF59B" w14:textId="1D7AF798" w:rsidR="00523349" w:rsidRPr="006604C3" w:rsidRDefault="00523349" w:rsidP="00523349">
            <w:pPr>
              <w:spacing w:after="60"/>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r>
      <w:tr w:rsidR="002F4FFB" w:rsidRPr="00941A8E" w14:paraId="2D33674F"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446930FA" w14:textId="77777777" w:rsidR="002F4FFB" w:rsidRPr="00C673CF" w:rsidRDefault="002F4FFB" w:rsidP="002F4FFB">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1288C84E" w14:textId="296F1BF5" w:rsidR="002F4FFB" w:rsidRDefault="002F4FFB" w:rsidP="002F4FFB">
            <w:pPr>
              <w:jc w:val="center"/>
              <w:rPr>
                <w:rFonts w:ascii="Times New Roman" w:hAnsi="Times New Roman" w:cs="Times New Roman"/>
                <w:sz w:val="22"/>
                <w:szCs w:val="22"/>
              </w:rPr>
            </w:pPr>
            <w:r>
              <w:rPr>
                <w:rFonts w:ascii="Times New Roman" w:hAnsi="Times New Roman" w:cs="Times New Roman"/>
                <w:sz w:val="22"/>
                <w:szCs w:val="22"/>
              </w:rPr>
              <w:t>art. 1 pkt 2</w:t>
            </w:r>
          </w:p>
        </w:tc>
        <w:tc>
          <w:tcPr>
            <w:tcW w:w="1547" w:type="dxa"/>
            <w:tcBorders>
              <w:top w:val="single" w:sz="4" w:space="0" w:color="auto"/>
              <w:left w:val="single" w:sz="4" w:space="0" w:color="auto"/>
              <w:bottom w:val="single" w:sz="4" w:space="0" w:color="auto"/>
              <w:right w:val="single" w:sz="4" w:space="0" w:color="auto"/>
            </w:tcBorders>
          </w:tcPr>
          <w:p w14:paraId="247917E1" w14:textId="711819B5" w:rsidR="002F4FFB" w:rsidRPr="004207D9" w:rsidRDefault="002F4FFB" w:rsidP="002F4FFB">
            <w:pPr>
              <w:spacing w:after="120"/>
              <w:rPr>
                <w:rFonts w:ascii="Times New Roman" w:hAnsi="Times New Roman" w:cs="Times New Roman"/>
                <w:sz w:val="22"/>
                <w:szCs w:val="22"/>
              </w:rPr>
            </w:pPr>
            <w:r w:rsidRPr="002C2104">
              <w:rPr>
                <w:rFonts w:ascii="Times New Roman" w:hAnsi="Times New Roman" w:cs="Times New Roman"/>
                <w:sz w:val="22"/>
                <w:szCs w:val="22"/>
              </w:rPr>
              <w:t>Polska Izba Informatyki i Telekomunikacji</w:t>
            </w:r>
          </w:p>
        </w:tc>
        <w:tc>
          <w:tcPr>
            <w:tcW w:w="5571" w:type="dxa"/>
            <w:tcBorders>
              <w:top w:val="single" w:sz="4" w:space="0" w:color="auto"/>
              <w:left w:val="single" w:sz="4" w:space="0" w:color="auto"/>
              <w:bottom w:val="single" w:sz="4" w:space="0" w:color="auto"/>
              <w:right w:val="single" w:sz="4" w:space="0" w:color="auto"/>
            </w:tcBorders>
          </w:tcPr>
          <w:p w14:paraId="71E87549"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W odniesieniu do drugiej kwestii PIIT z zadowoleniem wita cyfryzację rejestru biegłych sądowych oraz zwiększenie jego dostępności.</w:t>
            </w:r>
          </w:p>
          <w:p w14:paraId="7DE85DCA"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1. PIIT pozytywnie ocenia zapowiedź prowadzenia listy biegłych w systemie teleinformatycznym oraz powszechnego udostępniania poprzez sieć teleinformatyczną ich podstawowych danych.</w:t>
            </w:r>
          </w:p>
          <w:p w14:paraId="5662FA5A"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2. Nie do końca jest zrozumiała treść przepisu „§1d. Lista biegłych sądowych w zakresie ograniczonym do danych, o których mowa w § 1b pkt 1, 5 i 6, jest dostępna w siedzibie sądu oraz za pośrednictwem wyszukiwarki biegłych sądowych w ogólnodostępnych sieciach teleinformatycznych.”. Skoro objęte tym przepisem dane są dostępne powszechnie, to na czym polega ich dodatkowa dostępność w siedzibie sądu?</w:t>
            </w:r>
          </w:p>
          <w:p w14:paraId="2E2B4529"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3. Niezależnie od przepisu nakazującego prezesowi sądu okręgowego zamieszczanie w Biuletynie Informacji Publicznej na stronie podmiotowej sądu informacji o adresie, pod którym w ogólnodostępnych sieciach teleinformatycznych jest dostępna wyszukiwarka biegłych sądowych, PIIT uważa, że link do takiej wyszukiwarki powinien być widoczny w portalu rejestrów sądowych oraz na stronie podmiotowej ministerstwa sprawiedliwości. Wydaje się, że nie wymaga to przyjęcia dodatkowych przepisów. Natomiast zwiększy wygodę użytkowników wymiaru sprawiedliwości.</w:t>
            </w:r>
          </w:p>
          <w:p w14:paraId="4D08F00A" w14:textId="77777777" w:rsidR="002F4FFB" w:rsidRPr="002F4FFB"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lastRenderedPageBreak/>
              <w:t>4. W odniesieniu do nowego przepisu art. 157 § 1b ustawy o ustroju sądów powszechnych wydaje się, że brakuje w nim wytycznych do działania prezesa sądu w sytuacji, gdy biegły wezwany do uzupełnienia danych ich nie dostarczy. Wydaje się, że przepis § 6. Rozporządzenia Ministra Sprawiedliwości z dnia 24 stycznia 2005 r. w sprawie biegłych sądowych nie do końca ma zastosowanie do tej sytuacji.</w:t>
            </w:r>
          </w:p>
          <w:p w14:paraId="5495C769" w14:textId="6B45C29F" w:rsidR="002F4FFB" w:rsidRPr="004207D9" w:rsidRDefault="002F4FFB" w:rsidP="002F4FFB">
            <w:pPr>
              <w:autoSpaceDE w:val="0"/>
              <w:autoSpaceDN w:val="0"/>
              <w:adjustRightInd w:val="0"/>
              <w:spacing w:after="60"/>
              <w:jc w:val="both"/>
              <w:rPr>
                <w:rFonts w:ascii="Times New Roman" w:hAnsi="Times New Roman" w:cs="Times New Roman"/>
                <w:sz w:val="22"/>
                <w:szCs w:val="22"/>
              </w:rPr>
            </w:pPr>
            <w:r w:rsidRPr="002F4FFB">
              <w:rPr>
                <w:rFonts w:ascii="Times New Roman" w:hAnsi="Times New Roman" w:cs="Times New Roman"/>
                <w:sz w:val="22"/>
                <w:szCs w:val="22"/>
              </w:rPr>
              <w:t>5. Odnosząc się do kwestii rejestru biegłych sądowych, PIIT pragnie zwrócić uwagę na istotne rozróżnienie, które powinno znaleźć odzwierciedlenie w projektowanych przepisach. Rejestr</w:t>
            </w:r>
            <w:r w:rsidR="00D867A9">
              <w:rPr>
                <w:rFonts w:ascii="Times New Roman" w:hAnsi="Times New Roman" w:cs="Times New Roman"/>
                <w:sz w:val="22"/>
                <w:szCs w:val="22"/>
              </w:rPr>
              <w:t xml:space="preserve"> </w:t>
            </w:r>
            <w:r w:rsidRPr="002F4FFB">
              <w:rPr>
                <w:rFonts w:ascii="Times New Roman" w:hAnsi="Times New Roman" w:cs="Times New Roman"/>
                <w:sz w:val="22"/>
                <w:szCs w:val="22"/>
              </w:rPr>
              <w:t xml:space="preserve">biegłych - tłumaczy języka migowego może dotyczyć wyłącznie tłumaczeń wykonywanych w toku postępowania sądowego – a więc czynności wymagających złożenia przyrzeczenia i ponoszenia odpowiedzialności prawnej za treść tłumaczenia. W sferze administracyjnego funkcjonowania sądów – obejmującego m.in. biura podawcze, sekretariaty, punkty informacyjne oraz strony internetowe sądów – w której zapewnienie dostępności cyfrowo-komunikacyjnej dla osób Głuchych odbywa się to w oparciu o przepisy ustawy z dnia 19 lipca 2019 r. o zapewnianiu dostępności osobom ze szczególnymi potrzebami. W tej sferze funkcjonują już sprawdzone rozwiązania rynkowe, w tym usługi zdalnego tłumacza PJM online, wdrożone przez wyspecjalizowane podmioty na podstawie obowiązującego prawa. PIIT wyraża obawę, że nieprecyzyjne sformułowanie projektowanych przepisów może prowadzić do błędnej interpretacji, jakoby wszelki kontakt Głuchego z sądem wymagał udziału tłumacza z rejestru biegłych. Takie rozumienie byłoby sprzeczne z duchem ustawy o dostępności, generowałoby nieuzasadnione koszty dla sądów i w praktyce ograniczałoby dostępność. Postulujemy, by przepisy wyraźnie wskazywały, że wymóg korzystania z tłumacza przysięgłego/biegłego dotyczy wyłącznie postępowania sądowego w ścisłym tego słowa znaczeniu, natomiast w sferze administracyjnej obsługi Głuchych sądy są zobowiązane korzystać z rozwiązań </w:t>
            </w:r>
            <w:proofErr w:type="spellStart"/>
            <w:r w:rsidRPr="002F4FFB">
              <w:rPr>
                <w:rFonts w:ascii="Times New Roman" w:hAnsi="Times New Roman" w:cs="Times New Roman"/>
                <w:sz w:val="22"/>
                <w:szCs w:val="22"/>
              </w:rPr>
              <w:t>dostępnościowych</w:t>
            </w:r>
            <w:proofErr w:type="spellEnd"/>
            <w:r w:rsidRPr="002F4FFB">
              <w:rPr>
                <w:rFonts w:ascii="Times New Roman" w:hAnsi="Times New Roman" w:cs="Times New Roman"/>
                <w:sz w:val="22"/>
                <w:szCs w:val="22"/>
              </w:rPr>
              <w:t xml:space="preserve"> wynikających z ustawy z 2019 r. 6. </w:t>
            </w:r>
            <w:r w:rsidRPr="002F4FFB">
              <w:rPr>
                <w:rFonts w:ascii="Times New Roman" w:hAnsi="Times New Roman" w:cs="Times New Roman"/>
                <w:sz w:val="22"/>
                <w:szCs w:val="22"/>
              </w:rPr>
              <w:lastRenderedPageBreak/>
              <w:t>Zwracamy także uwag, że dostęp do listy tłumaczy przysięgłych w Polsce, poprzez portal e-sprawiedliwość, następuje z użyciem linku https://arch-bip.ms.gov.pl/pl/rejestry-i-ewidencje/tlumacze-przysiegli/lista-tlumaczy-przysieglych/search.html?Title=2. Być może jest to zamierzony zabieg. Jednak uruchomienie nowej wyszukiwarki będzie wymagało aktualizacji danych w unijnym portalu. Podobnie aktualizacji wymagać będą informacje pod linkiem https://e-justice.europa.eu/topics/find-legal-professional/find-expert/pl</w:t>
            </w:r>
          </w:p>
        </w:tc>
        <w:tc>
          <w:tcPr>
            <w:tcW w:w="5522" w:type="dxa"/>
            <w:tcBorders>
              <w:top w:val="single" w:sz="4" w:space="0" w:color="auto"/>
              <w:left w:val="single" w:sz="4" w:space="0" w:color="auto"/>
              <w:bottom w:val="single" w:sz="4" w:space="0" w:color="auto"/>
              <w:right w:val="single" w:sz="4" w:space="0" w:color="auto"/>
            </w:tcBorders>
          </w:tcPr>
          <w:p w14:paraId="110FFB96" w14:textId="1B01FF34" w:rsidR="002F4FFB" w:rsidRPr="00523349" w:rsidRDefault="00D867A9" w:rsidP="002F4FFB">
            <w:pPr>
              <w:autoSpaceDE w:val="0"/>
              <w:autoSpaceDN w:val="0"/>
              <w:adjustRightInd w:val="0"/>
              <w:spacing w:after="60"/>
              <w:jc w:val="both"/>
              <w:rPr>
                <w:rFonts w:ascii="Times New Roman" w:hAnsi="Times New Roman" w:cs="Times New Roman"/>
                <w:sz w:val="22"/>
                <w:szCs w:val="22"/>
              </w:rPr>
            </w:pPr>
            <w:r>
              <w:rPr>
                <w:rFonts w:ascii="Times New Roman" w:hAnsi="Times New Roman" w:cs="Times New Roman"/>
                <w:sz w:val="22"/>
                <w:szCs w:val="22"/>
              </w:rPr>
              <w:lastRenderedPageBreak/>
              <w:t>Uwagi nieuwzględnione i niezasadne.</w:t>
            </w:r>
          </w:p>
        </w:tc>
      </w:tr>
      <w:tr w:rsidR="00523349" w:rsidRPr="00941A8E" w14:paraId="1E980534" w14:textId="77777777" w:rsidTr="00D770D8">
        <w:trPr>
          <w:trHeight w:val="500"/>
          <w:jc w:val="center"/>
        </w:trPr>
        <w:tc>
          <w:tcPr>
            <w:tcW w:w="551" w:type="dxa"/>
            <w:tcBorders>
              <w:top w:val="single" w:sz="4" w:space="0" w:color="auto"/>
              <w:left w:val="single" w:sz="4" w:space="0" w:color="auto"/>
              <w:bottom w:val="single" w:sz="4" w:space="0" w:color="auto"/>
              <w:right w:val="single" w:sz="4" w:space="0" w:color="auto"/>
            </w:tcBorders>
          </w:tcPr>
          <w:p w14:paraId="3E006105" w14:textId="77777777" w:rsidR="00523349" w:rsidRPr="00C673CF" w:rsidRDefault="00523349" w:rsidP="00523349">
            <w:pPr>
              <w:pStyle w:val="Akapitzlist"/>
              <w:numPr>
                <w:ilvl w:val="0"/>
                <w:numId w:val="4"/>
              </w:numPr>
              <w:jc w:val="center"/>
              <w:rPr>
                <w:rFonts w:ascii="Times New Roman" w:hAnsi="Times New Roman" w:cs="Times New Roman"/>
                <w:sz w:val="22"/>
                <w:szCs w:val="22"/>
              </w:rPr>
            </w:pPr>
          </w:p>
        </w:tc>
        <w:tc>
          <w:tcPr>
            <w:tcW w:w="1546" w:type="dxa"/>
            <w:tcBorders>
              <w:top w:val="single" w:sz="4" w:space="0" w:color="auto"/>
              <w:left w:val="single" w:sz="4" w:space="0" w:color="auto"/>
              <w:bottom w:val="single" w:sz="4" w:space="0" w:color="auto"/>
              <w:right w:val="single" w:sz="4" w:space="0" w:color="auto"/>
            </w:tcBorders>
          </w:tcPr>
          <w:p w14:paraId="2F96D3E2" w14:textId="3D82360B" w:rsidR="00523349" w:rsidRPr="00360867" w:rsidRDefault="00523349" w:rsidP="00523349">
            <w:pPr>
              <w:jc w:val="center"/>
              <w:rPr>
                <w:rFonts w:ascii="Times New Roman" w:hAnsi="Times New Roman" w:cs="Times New Roman"/>
                <w:sz w:val="22"/>
                <w:szCs w:val="22"/>
              </w:rPr>
            </w:pPr>
            <w:r>
              <w:rPr>
                <w:rFonts w:ascii="Times New Roman" w:hAnsi="Times New Roman" w:cs="Times New Roman"/>
                <w:sz w:val="22"/>
                <w:szCs w:val="22"/>
              </w:rPr>
              <w:t>art. 2</w:t>
            </w:r>
          </w:p>
        </w:tc>
        <w:tc>
          <w:tcPr>
            <w:tcW w:w="1547" w:type="dxa"/>
            <w:tcBorders>
              <w:top w:val="single" w:sz="4" w:space="0" w:color="auto"/>
              <w:left w:val="single" w:sz="4" w:space="0" w:color="auto"/>
              <w:bottom w:val="single" w:sz="4" w:space="0" w:color="auto"/>
              <w:right w:val="single" w:sz="4" w:space="0" w:color="auto"/>
            </w:tcBorders>
          </w:tcPr>
          <w:p w14:paraId="484B617D" w14:textId="3AF80DFB" w:rsidR="00523349" w:rsidRDefault="00523349" w:rsidP="00523349">
            <w:pPr>
              <w:spacing w:after="120"/>
              <w:rPr>
                <w:rFonts w:ascii="Times New Roman" w:hAnsi="Times New Roman" w:cs="Times New Roman"/>
                <w:sz w:val="22"/>
                <w:szCs w:val="22"/>
              </w:rPr>
            </w:pPr>
            <w:r>
              <w:rPr>
                <w:rFonts w:ascii="Times New Roman" w:hAnsi="Times New Roman" w:cs="Times New Roman"/>
                <w:sz w:val="22"/>
                <w:szCs w:val="22"/>
              </w:rPr>
              <w:t>SA w Warszawie</w:t>
            </w:r>
          </w:p>
        </w:tc>
        <w:tc>
          <w:tcPr>
            <w:tcW w:w="5571" w:type="dxa"/>
            <w:tcBorders>
              <w:top w:val="single" w:sz="4" w:space="0" w:color="auto"/>
              <w:left w:val="single" w:sz="4" w:space="0" w:color="auto"/>
              <w:bottom w:val="single" w:sz="4" w:space="0" w:color="auto"/>
              <w:right w:val="single" w:sz="4" w:space="0" w:color="auto"/>
            </w:tcBorders>
          </w:tcPr>
          <w:p w14:paraId="0EE7D0D4" w14:textId="45AE8B18" w:rsidR="00523349" w:rsidRPr="0070338A" w:rsidRDefault="00523349" w:rsidP="00523349">
            <w:pPr>
              <w:autoSpaceDE w:val="0"/>
              <w:autoSpaceDN w:val="0"/>
              <w:adjustRightInd w:val="0"/>
              <w:spacing w:after="60"/>
              <w:jc w:val="both"/>
              <w:rPr>
                <w:rFonts w:ascii="Times New Roman" w:hAnsi="Times New Roman" w:cs="Times New Roman"/>
                <w:sz w:val="22"/>
                <w:szCs w:val="22"/>
              </w:rPr>
            </w:pPr>
            <w:r w:rsidRPr="00233CBE">
              <w:rPr>
                <w:rFonts w:ascii="Times New Roman" w:hAnsi="Times New Roman" w:cs="Times New Roman"/>
                <w:sz w:val="22"/>
                <w:szCs w:val="22"/>
              </w:rPr>
              <w:t>Wydaje się również, że wskazany w projekcie ustawy zmieniającej termin</w:t>
            </w:r>
            <w:r>
              <w:rPr>
                <w:rFonts w:ascii="Times New Roman" w:hAnsi="Times New Roman" w:cs="Times New Roman"/>
                <w:sz w:val="22"/>
                <w:szCs w:val="22"/>
              </w:rPr>
              <w:t xml:space="preserve"> </w:t>
            </w:r>
            <w:r w:rsidRPr="00233CBE">
              <w:rPr>
                <w:rFonts w:ascii="Times New Roman" w:hAnsi="Times New Roman" w:cs="Times New Roman"/>
                <w:sz w:val="22"/>
                <w:szCs w:val="22"/>
              </w:rPr>
              <w:t>uzupełnienia list (3 miesiące), może być w przypadku Sądu Okręgowego w Warszawie</w:t>
            </w:r>
            <w:r>
              <w:rPr>
                <w:rFonts w:ascii="Times New Roman" w:hAnsi="Times New Roman" w:cs="Times New Roman"/>
                <w:sz w:val="22"/>
                <w:szCs w:val="22"/>
              </w:rPr>
              <w:t xml:space="preserve"> </w:t>
            </w:r>
            <w:r w:rsidRPr="00233CBE">
              <w:rPr>
                <w:rFonts w:ascii="Times New Roman" w:hAnsi="Times New Roman" w:cs="Times New Roman"/>
                <w:sz w:val="22"/>
                <w:szCs w:val="22"/>
              </w:rPr>
              <w:t>trudny do zachowania, z uwagi na ilość biegłych sądowych. Proces będzie wymagał</w:t>
            </w:r>
            <w:r>
              <w:rPr>
                <w:rFonts w:ascii="Times New Roman" w:hAnsi="Times New Roman" w:cs="Times New Roman"/>
                <w:sz w:val="22"/>
                <w:szCs w:val="22"/>
              </w:rPr>
              <w:t xml:space="preserve"> </w:t>
            </w:r>
            <w:r w:rsidRPr="00233CBE">
              <w:rPr>
                <w:rFonts w:ascii="Times New Roman" w:hAnsi="Times New Roman" w:cs="Times New Roman"/>
                <w:sz w:val="22"/>
                <w:szCs w:val="22"/>
              </w:rPr>
              <w:t>zwrócenia się do biegłych o aktualizację danych i zgód na ich przetwarzanie, a następnie</w:t>
            </w:r>
            <w:r>
              <w:rPr>
                <w:rFonts w:ascii="Times New Roman" w:hAnsi="Times New Roman" w:cs="Times New Roman"/>
                <w:sz w:val="22"/>
                <w:szCs w:val="22"/>
              </w:rPr>
              <w:t xml:space="preserve"> </w:t>
            </w:r>
            <w:r w:rsidRPr="00233CBE">
              <w:rPr>
                <w:rFonts w:ascii="Times New Roman" w:hAnsi="Times New Roman" w:cs="Times New Roman"/>
                <w:sz w:val="22"/>
                <w:szCs w:val="22"/>
              </w:rPr>
              <w:t>zasilenie danymi bazy systemu ROBUS.</w:t>
            </w:r>
          </w:p>
        </w:tc>
        <w:tc>
          <w:tcPr>
            <w:tcW w:w="5522" w:type="dxa"/>
            <w:tcBorders>
              <w:top w:val="single" w:sz="4" w:space="0" w:color="auto"/>
              <w:left w:val="single" w:sz="4" w:space="0" w:color="auto"/>
              <w:bottom w:val="single" w:sz="4" w:space="0" w:color="auto"/>
              <w:right w:val="single" w:sz="4" w:space="0" w:color="auto"/>
            </w:tcBorders>
          </w:tcPr>
          <w:p w14:paraId="6E431560" w14:textId="3FDA1792" w:rsidR="00523349" w:rsidRPr="00523349" w:rsidRDefault="00523349" w:rsidP="00523349">
            <w:pPr>
              <w:spacing w:after="60"/>
              <w:jc w:val="both"/>
              <w:rPr>
                <w:rFonts w:ascii="Times New Roman" w:hAnsi="Times New Roman" w:cs="Times New Roman"/>
                <w:sz w:val="22"/>
                <w:szCs w:val="22"/>
              </w:rPr>
            </w:pPr>
            <w:r w:rsidRPr="00523349">
              <w:rPr>
                <w:rFonts w:ascii="Times New Roman" w:hAnsi="Times New Roman" w:cs="Times New Roman"/>
                <w:sz w:val="22"/>
                <w:szCs w:val="22"/>
              </w:rPr>
              <w:t>Uw</w:t>
            </w:r>
            <w:r>
              <w:rPr>
                <w:rFonts w:ascii="Times New Roman" w:hAnsi="Times New Roman" w:cs="Times New Roman"/>
                <w:sz w:val="22"/>
                <w:szCs w:val="22"/>
              </w:rPr>
              <w:t>a</w:t>
            </w:r>
            <w:r w:rsidRPr="00523349">
              <w:rPr>
                <w:rFonts w:ascii="Times New Roman" w:hAnsi="Times New Roman" w:cs="Times New Roman"/>
                <w:sz w:val="22"/>
                <w:szCs w:val="22"/>
              </w:rPr>
              <w:t>ga uwzględniona o tyle</w:t>
            </w:r>
            <w:r>
              <w:rPr>
                <w:rFonts w:ascii="Times New Roman" w:hAnsi="Times New Roman" w:cs="Times New Roman"/>
                <w:sz w:val="22"/>
                <w:szCs w:val="22"/>
              </w:rPr>
              <w:t>, że termin trzech miesięcy będzie terminem jedynie instrukcyjnym na wystąpienie przez prezesów sądów do biegłych o uzupełnienie danych.</w:t>
            </w:r>
          </w:p>
        </w:tc>
      </w:tr>
      <w:bookmarkEnd w:id="0"/>
    </w:tbl>
    <w:p w14:paraId="19AB6F9B" w14:textId="6760626A" w:rsidR="005A6022" w:rsidRPr="00941A8E" w:rsidRDefault="005A6022" w:rsidP="002F59B7"/>
    <w:sectPr w:rsidR="005A6022" w:rsidRPr="00941A8E" w:rsidSect="00882AC5">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A647" w14:textId="77777777" w:rsidR="006510E1" w:rsidRDefault="006510E1" w:rsidP="00DB24FB">
      <w:pPr>
        <w:spacing w:after="0" w:line="240" w:lineRule="auto"/>
      </w:pPr>
      <w:r>
        <w:separator/>
      </w:r>
    </w:p>
  </w:endnote>
  <w:endnote w:type="continuationSeparator" w:id="0">
    <w:p w14:paraId="0D0D021E" w14:textId="77777777" w:rsidR="006510E1" w:rsidRDefault="006510E1" w:rsidP="00DB2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D19B" w14:textId="77777777" w:rsidR="004A2B80" w:rsidRDefault="004A2B8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187448"/>
      <w:docPartObj>
        <w:docPartGallery w:val="Page Numbers (Bottom of Page)"/>
        <w:docPartUnique/>
      </w:docPartObj>
    </w:sdtPr>
    <w:sdtEndPr>
      <w:rPr>
        <w:rFonts w:ascii="Times New Roman" w:hAnsi="Times New Roman" w:cs="Times New Roman"/>
        <w:sz w:val="22"/>
        <w:szCs w:val="22"/>
      </w:rPr>
    </w:sdtEndPr>
    <w:sdtContent>
      <w:sdt>
        <w:sdtPr>
          <w:rPr>
            <w:rFonts w:ascii="Times New Roman" w:hAnsi="Times New Roman" w:cs="Times New Roman"/>
            <w:sz w:val="22"/>
            <w:szCs w:val="22"/>
          </w:rPr>
          <w:id w:val="-1769616900"/>
          <w:docPartObj>
            <w:docPartGallery w:val="Page Numbers (Top of Page)"/>
            <w:docPartUnique/>
          </w:docPartObj>
        </w:sdtPr>
        <w:sdtEndPr/>
        <w:sdtContent>
          <w:p w14:paraId="1A61BF0D" w14:textId="2872C18B" w:rsidR="004A2B80" w:rsidRPr="004A2B80" w:rsidRDefault="004A2B80">
            <w:pPr>
              <w:pStyle w:val="Stopka"/>
              <w:jc w:val="right"/>
              <w:rPr>
                <w:rFonts w:ascii="Times New Roman" w:hAnsi="Times New Roman" w:cs="Times New Roman"/>
                <w:sz w:val="22"/>
                <w:szCs w:val="22"/>
              </w:rPr>
            </w:pPr>
            <w:r w:rsidRPr="004A2B80">
              <w:rPr>
                <w:rFonts w:ascii="Times New Roman" w:hAnsi="Times New Roman" w:cs="Times New Roman"/>
                <w:sz w:val="22"/>
                <w:szCs w:val="22"/>
              </w:rPr>
              <w:t xml:space="preserve">Strona </w:t>
            </w:r>
            <w:r w:rsidRPr="004A2B80">
              <w:rPr>
                <w:rFonts w:ascii="Times New Roman" w:hAnsi="Times New Roman" w:cs="Times New Roman"/>
                <w:b/>
                <w:bCs/>
                <w:sz w:val="22"/>
                <w:szCs w:val="22"/>
              </w:rPr>
              <w:fldChar w:fldCharType="begin"/>
            </w:r>
            <w:r w:rsidRPr="004A2B80">
              <w:rPr>
                <w:rFonts w:ascii="Times New Roman" w:hAnsi="Times New Roman" w:cs="Times New Roman"/>
                <w:b/>
                <w:bCs/>
                <w:sz w:val="22"/>
                <w:szCs w:val="22"/>
              </w:rPr>
              <w:instrText>PAGE</w:instrText>
            </w:r>
            <w:r w:rsidRPr="004A2B80">
              <w:rPr>
                <w:rFonts w:ascii="Times New Roman" w:hAnsi="Times New Roman" w:cs="Times New Roman"/>
                <w:b/>
                <w:bCs/>
                <w:sz w:val="22"/>
                <w:szCs w:val="22"/>
              </w:rPr>
              <w:fldChar w:fldCharType="separate"/>
            </w:r>
            <w:r w:rsidRPr="004A2B80">
              <w:rPr>
                <w:rFonts w:ascii="Times New Roman" w:hAnsi="Times New Roman" w:cs="Times New Roman"/>
                <w:b/>
                <w:bCs/>
                <w:sz w:val="22"/>
                <w:szCs w:val="22"/>
              </w:rPr>
              <w:t>2</w:t>
            </w:r>
            <w:r w:rsidRPr="004A2B80">
              <w:rPr>
                <w:rFonts w:ascii="Times New Roman" w:hAnsi="Times New Roman" w:cs="Times New Roman"/>
                <w:b/>
                <w:bCs/>
                <w:sz w:val="22"/>
                <w:szCs w:val="22"/>
              </w:rPr>
              <w:fldChar w:fldCharType="end"/>
            </w:r>
            <w:r w:rsidRPr="004A2B80">
              <w:rPr>
                <w:rFonts w:ascii="Times New Roman" w:hAnsi="Times New Roman" w:cs="Times New Roman"/>
                <w:sz w:val="22"/>
                <w:szCs w:val="22"/>
              </w:rPr>
              <w:t xml:space="preserve"> z </w:t>
            </w:r>
            <w:r w:rsidRPr="004A2B80">
              <w:rPr>
                <w:rFonts w:ascii="Times New Roman" w:hAnsi="Times New Roman" w:cs="Times New Roman"/>
                <w:b/>
                <w:bCs/>
                <w:sz w:val="22"/>
                <w:szCs w:val="22"/>
              </w:rPr>
              <w:fldChar w:fldCharType="begin"/>
            </w:r>
            <w:r w:rsidRPr="004A2B80">
              <w:rPr>
                <w:rFonts w:ascii="Times New Roman" w:hAnsi="Times New Roman" w:cs="Times New Roman"/>
                <w:b/>
                <w:bCs/>
                <w:sz w:val="22"/>
                <w:szCs w:val="22"/>
              </w:rPr>
              <w:instrText>NUMPAGES</w:instrText>
            </w:r>
            <w:r w:rsidRPr="004A2B80">
              <w:rPr>
                <w:rFonts w:ascii="Times New Roman" w:hAnsi="Times New Roman" w:cs="Times New Roman"/>
                <w:b/>
                <w:bCs/>
                <w:sz w:val="22"/>
                <w:szCs w:val="22"/>
              </w:rPr>
              <w:fldChar w:fldCharType="separate"/>
            </w:r>
            <w:r w:rsidRPr="004A2B80">
              <w:rPr>
                <w:rFonts w:ascii="Times New Roman" w:hAnsi="Times New Roman" w:cs="Times New Roman"/>
                <w:b/>
                <w:bCs/>
                <w:sz w:val="22"/>
                <w:szCs w:val="22"/>
              </w:rPr>
              <w:t>2</w:t>
            </w:r>
            <w:r w:rsidRPr="004A2B80">
              <w:rPr>
                <w:rFonts w:ascii="Times New Roman" w:hAnsi="Times New Roman" w:cs="Times New Roman"/>
                <w:b/>
                <w:bCs/>
                <w:sz w:val="22"/>
                <w:szCs w:val="22"/>
              </w:rPr>
              <w:fldChar w:fldCharType="end"/>
            </w:r>
          </w:p>
        </w:sdtContent>
      </w:sdt>
    </w:sdtContent>
  </w:sdt>
  <w:p w14:paraId="1B2BEB03" w14:textId="77777777" w:rsidR="004A2B80" w:rsidRDefault="004A2B8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3481A" w14:textId="77777777" w:rsidR="004A2B80" w:rsidRDefault="004A2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B7728" w14:textId="77777777" w:rsidR="006510E1" w:rsidRDefault="006510E1" w:rsidP="00DB24FB">
      <w:pPr>
        <w:spacing w:after="0" w:line="240" w:lineRule="auto"/>
      </w:pPr>
      <w:r>
        <w:separator/>
      </w:r>
    </w:p>
  </w:footnote>
  <w:footnote w:type="continuationSeparator" w:id="0">
    <w:p w14:paraId="6058D405" w14:textId="77777777" w:rsidR="006510E1" w:rsidRDefault="006510E1" w:rsidP="00DB2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D7E5" w14:textId="77777777" w:rsidR="004A2B80" w:rsidRDefault="004A2B8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4C30" w14:textId="77777777" w:rsidR="004A2B80" w:rsidRDefault="004A2B8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EF0C" w14:textId="77777777" w:rsidR="004A2B80" w:rsidRDefault="004A2B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07CA8"/>
    <w:multiLevelType w:val="hybridMultilevel"/>
    <w:tmpl w:val="5EF089C0"/>
    <w:lvl w:ilvl="0" w:tplc="84B2312C">
      <w:start w:val="1"/>
      <w:numFmt w:val="decimal"/>
      <w:lvlText w:val="%1"/>
      <w:lvlJc w:val="left"/>
      <w:pPr>
        <w:ind w:left="643" w:hanging="360"/>
      </w:pPr>
      <w:rPr>
        <w:rFonts w:ascii="Times New Roman" w:hAnsi="Times New Roman" w:cs="Times New Roman" w:hint="default"/>
        <w:b w:val="0"/>
        <w:i w:val="0"/>
        <w:color w:val="auto"/>
        <w:sz w:val="22"/>
        <w:szCs w:val="22"/>
      </w:rPr>
    </w:lvl>
    <w:lvl w:ilvl="1" w:tplc="04150019">
      <w:start w:val="1"/>
      <w:numFmt w:val="lowerLetter"/>
      <w:lvlText w:val="%2."/>
      <w:lvlJc w:val="left"/>
      <w:pPr>
        <w:ind w:left="1723" w:hanging="360"/>
      </w:pPr>
      <w:rPr>
        <w:rFonts w:cs="Times New Roman"/>
      </w:rPr>
    </w:lvl>
    <w:lvl w:ilvl="2" w:tplc="0415001B">
      <w:start w:val="1"/>
      <w:numFmt w:val="lowerRoman"/>
      <w:lvlText w:val="%3."/>
      <w:lvlJc w:val="right"/>
      <w:pPr>
        <w:ind w:left="2443" w:hanging="180"/>
      </w:pPr>
      <w:rPr>
        <w:rFonts w:cs="Times New Roman"/>
      </w:rPr>
    </w:lvl>
    <w:lvl w:ilvl="3" w:tplc="0415000F">
      <w:start w:val="1"/>
      <w:numFmt w:val="decimal"/>
      <w:lvlText w:val="%4."/>
      <w:lvlJc w:val="left"/>
      <w:pPr>
        <w:ind w:left="3163" w:hanging="360"/>
      </w:pPr>
      <w:rPr>
        <w:rFonts w:cs="Times New Roman"/>
      </w:rPr>
    </w:lvl>
    <w:lvl w:ilvl="4" w:tplc="04150019">
      <w:start w:val="1"/>
      <w:numFmt w:val="lowerLetter"/>
      <w:lvlText w:val="%5."/>
      <w:lvlJc w:val="left"/>
      <w:pPr>
        <w:ind w:left="3883" w:hanging="360"/>
      </w:pPr>
      <w:rPr>
        <w:rFonts w:cs="Times New Roman"/>
      </w:rPr>
    </w:lvl>
    <w:lvl w:ilvl="5" w:tplc="0415001B">
      <w:start w:val="1"/>
      <w:numFmt w:val="lowerRoman"/>
      <w:lvlText w:val="%6."/>
      <w:lvlJc w:val="right"/>
      <w:pPr>
        <w:ind w:left="4603" w:hanging="180"/>
      </w:pPr>
      <w:rPr>
        <w:rFonts w:cs="Times New Roman"/>
      </w:rPr>
    </w:lvl>
    <w:lvl w:ilvl="6" w:tplc="0415000F">
      <w:start w:val="1"/>
      <w:numFmt w:val="decimal"/>
      <w:lvlText w:val="%7."/>
      <w:lvlJc w:val="left"/>
      <w:pPr>
        <w:ind w:left="5323" w:hanging="360"/>
      </w:pPr>
      <w:rPr>
        <w:rFonts w:cs="Times New Roman"/>
      </w:rPr>
    </w:lvl>
    <w:lvl w:ilvl="7" w:tplc="04150019">
      <w:start w:val="1"/>
      <w:numFmt w:val="lowerLetter"/>
      <w:lvlText w:val="%8."/>
      <w:lvlJc w:val="left"/>
      <w:pPr>
        <w:ind w:left="6043" w:hanging="360"/>
      </w:pPr>
      <w:rPr>
        <w:rFonts w:cs="Times New Roman"/>
      </w:rPr>
    </w:lvl>
    <w:lvl w:ilvl="8" w:tplc="0415001B">
      <w:start w:val="1"/>
      <w:numFmt w:val="lowerRoman"/>
      <w:lvlText w:val="%9."/>
      <w:lvlJc w:val="right"/>
      <w:pPr>
        <w:ind w:left="6763" w:hanging="180"/>
      </w:pPr>
      <w:rPr>
        <w:rFonts w:cs="Times New Roman"/>
      </w:rPr>
    </w:lvl>
  </w:abstractNum>
  <w:abstractNum w:abstractNumId="1" w15:restartNumberingAfterBreak="0">
    <w:nsid w:val="48A34B61"/>
    <w:multiLevelType w:val="hybridMultilevel"/>
    <w:tmpl w:val="946C7674"/>
    <w:lvl w:ilvl="0" w:tplc="8FF64736">
      <w:start w:val="1"/>
      <w:numFmt w:val="decimal"/>
      <w:suff w:val="nothing"/>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2F6648B"/>
    <w:multiLevelType w:val="hybridMultilevel"/>
    <w:tmpl w:val="79286D00"/>
    <w:lvl w:ilvl="0" w:tplc="8FF64736">
      <w:start w:val="1"/>
      <w:numFmt w:val="decimal"/>
      <w:suff w:val="nothing"/>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7167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16008">
    <w:abstractNumId w:val="0"/>
  </w:num>
  <w:num w:numId="3" w16cid:durableId="823741543">
    <w:abstractNumId w:val="2"/>
  </w:num>
  <w:num w:numId="4" w16cid:durableId="915937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B2F"/>
    <w:rsid w:val="00015475"/>
    <w:rsid w:val="00017FA0"/>
    <w:rsid w:val="0002695B"/>
    <w:rsid w:val="00064157"/>
    <w:rsid w:val="00071D94"/>
    <w:rsid w:val="00087A92"/>
    <w:rsid w:val="0009368D"/>
    <w:rsid w:val="000A1B41"/>
    <w:rsid w:val="000B271D"/>
    <w:rsid w:val="000C4D6A"/>
    <w:rsid w:val="000D1AD1"/>
    <w:rsid w:val="000E100E"/>
    <w:rsid w:val="000F3F9A"/>
    <w:rsid w:val="001062F3"/>
    <w:rsid w:val="001103AA"/>
    <w:rsid w:val="00121602"/>
    <w:rsid w:val="001233A8"/>
    <w:rsid w:val="00126DBE"/>
    <w:rsid w:val="00133D2A"/>
    <w:rsid w:val="00144D05"/>
    <w:rsid w:val="00146087"/>
    <w:rsid w:val="001538E2"/>
    <w:rsid w:val="00155BBA"/>
    <w:rsid w:val="00196D7C"/>
    <w:rsid w:val="001B28E1"/>
    <w:rsid w:val="001B5104"/>
    <w:rsid w:val="001B51E4"/>
    <w:rsid w:val="001B7EB8"/>
    <w:rsid w:val="001C4AC0"/>
    <w:rsid w:val="001D6FFF"/>
    <w:rsid w:val="001E5512"/>
    <w:rsid w:val="001E752B"/>
    <w:rsid w:val="00204E37"/>
    <w:rsid w:val="0021789C"/>
    <w:rsid w:val="0022014F"/>
    <w:rsid w:val="00233CBE"/>
    <w:rsid w:val="00253EB9"/>
    <w:rsid w:val="00270AA1"/>
    <w:rsid w:val="002922C9"/>
    <w:rsid w:val="002B4F27"/>
    <w:rsid w:val="002B7A15"/>
    <w:rsid w:val="002B7F3F"/>
    <w:rsid w:val="002C2104"/>
    <w:rsid w:val="002D2B97"/>
    <w:rsid w:val="002F4FFB"/>
    <w:rsid w:val="002F59B7"/>
    <w:rsid w:val="00300434"/>
    <w:rsid w:val="00301B2F"/>
    <w:rsid w:val="003062EB"/>
    <w:rsid w:val="003178A8"/>
    <w:rsid w:val="00317A54"/>
    <w:rsid w:val="00321009"/>
    <w:rsid w:val="0033428E"/>
    <w:rsid w:val="0034030E"/>
    <w:rsid w:val="00346B8E"/>
    <w:rsid w:val="00347ED1"/>
    <w:rsid w:val="00351D4A"/>
    <w:rsid w:val="00360867"/>
    <w:rsid w:val="00371B48"/>
    <w:rsid w:val="003744F5"/>
    <w:rsid w:val="003A2F0C"/>
    <w:rsid w:val="003B018C"/>
    <w:rsid w:val="0040571C"/>
    <w:rsid w:val="004207D9"/>
    <w:rsid w:val="00424029"/>
    <w:rsid w:val="00433398"/>
    <w:rsid w:val="00436C6C"/>
    <w:rsid w:val="00437955"/>
    <w:rsid w:val="00441BBB"/>
    <w:rsid w:val="00442CC3"/>
    <w:rsid w:val="0046229D"/>
    <w:rsid w:val="004669D0"/>
    <w:rsid w:val="00476176"/>
    <w:rsid w:val="00485360"/>
    <w:rsid w:val="0049580E"/>
    <w:rsid w:val="004A2B80"/>
    <w:rsid w:val="004A36B1"/>
    <w:rsid w:val="004A4087"/>
    <w:rsid w:val="004A6642"/>
    <w:rsid w:val="004B1C60"/>
    <w:rsid w:val="004C2AB3"/>
    <w:rsid w:val="00501C64"/>
    <w:rsid w:val="00511A4B"/>
    <w:rsid w:val="00523349"/>
    <w:rsid w:val="00535DE0"/>
    <w:rsid w:val="00545F07"/>
    <w:rsid w:val="0056188D"/>
    <w:rsid w:val="00571B27"/>
    <w:rsid w:val="00580910"/>
    <w:rsid w:val="00595224"/>
    <w:rsid w:val="00597BED"/>
    <w:rsid w:val="005A3220"/>
    <w:rsid w:val="005A6022"/>
    <w:rsid w:val="005E226C"/>
    <w:rsid w:val="005F25D1"/>
    <w:rsid w:val="00601DAD"/>
    <w:rsid w:val="00605D89"/>
    <w:rsid w:val="006214DC"/>
    <w:rsid w:val="006510E1"/>
    <w:rsid w:val="006604C3"/>
    <w:rsid w:val="00670502"/>
    <w:rsid w:val="0067097E"/>
    <w:rsid w:val="0068644F"/>
    <w:rsid w:val="0069067B"/>
    <w:rsid w:val="00690FD9"/>
    <w:rsid w:val="00691F97"/>
    <w:rsid w:val="006949B9"/>
    <w:rsid w:val="0069758C"/>
    <w:rsid w:val="006A0EBE"/>
    <w:rsid w:val="006A674B"/>
    <w:rsid w:val="006D59DF"/>
    <w:rsid w:val="00700D4E"/>
    <w:rsid w:val="0070338A"/>
    <w:rsid w:val="007037F4"/>
    <w:rsid w:val="0071647D"/>
    <w:rsid w:val="007173A9"/>
    <w:rsid w:val="00734A70"/>
    <w:rsid w:val="00737453"/>
    <w:rsid w:val="007376FD"/>
    <w:rsid w:val="00766D6F"/>
    <w:rsid w:val="00786263"/>
    <w:rsid w:val="007A4805"/>
    <w:rsid w:val="007A5D8C"/>
    <w:rsid w:val="007B1799"/>
    <w:rsid w:val="007B3C34"/>
    <w:rsid w:val="007C2AA0"/>
    <w:rsid w:val="007C44A3"/>
    <w:rsid w:val="007C598F"/>
    <w:rsid w:val="007D2EA9"/>
    <w:rsid w:val="007D6370"/>
    <w:rsid w:val="007E073F"/>
    <w:rsid w:val="007E260B"/>
    <w:rsid w:val="007E422C"/>
    <w:rsid w:val="007F3101"/>
    <w:rsid w:val="007F4E60"/>
    <w:rsid w:val="008341F1"/>
    <w:rsid w:val="008423FB"/>
    <w:rsid w:val="00845C2B"/>
    <w:rsid w:val="00846DB7"/>
    <w:rsid w:val="008509C2"/>
    <w:rsid w:val="0085503B"/>
    <w:rsid w:val="008615D3"/>
    <w:rsid w:val="00866EA9"/>
    <w:rsid w:val="00875346"/>
    <w:rsid w:val="00882AC5"/>
    <w:rsid w:val="00891976"/>
    <w:rsid w:val="008B7EAE"/>
    <w:rsid w:val="008D2820"/>
    <w:rsid w:val="008F3FFC"/>
    <w:rsid w:val="008F6192"/>
    <w:rsid w:val="00900CCD"/>
    <w:rsid w:val="00921DFE"/>
    <w:rsid w:val="009275E3"/>
    <w:rsid w:val="00934DAA"/>
    <w:rsid w:val="00936E65"/>
    <w:rsid w:val="00941A8E"/>
    <w:rsid w:val="0096317A"/>
    <w:rsid w:val="0097380A"/>
    <w:rsid w:val="009866B8"/>
    <w:rsid w:val="009904CE"/>
    <w:rsid w:val="009B49D0"/>
    <w:rsid w:val="009C3998"/>
    <w:rsid w:val="009D60FC"/>
    <w:rsid w:val="009F4276"/>
    <w:rsid w:val="00A17CD0"/>
    <w:rsid w:val="00A17FB3"/>
    <w:rsid w:val="00A402A5"/>
    <w:rsid w:val="00A5446E"/>
    <w:rsid w:val="00A76986"/>
    <w:rsid w:val="00A77D41"/>
    <w:rsid w:val="00A81C7A"/>
    <w:rsid w:val="00AA5C85"/>
    <w:rsid w:val="00AB0C3F"/>
    <w:rsid w:val="00AD64A2"/>
    <w:rsid w:val="00AE47A9"/>
    <w:rsid w:val="00B05777"/>
    <w:rsid w:val="00B11F4D"/>
    <w:rsid w:val="00B16138"/>
    <w:rsid w:val="00B258F5"/>
    <w:rsid w:val="00B25C96"/>
    <w:rsid w:val="00B358E7"/>
    <w:rsid w:val="00B472A9"/>
    <w:rsid w:val="00B55659"/>
    <w:rsid w:val="00B61392"/>
    <w:rsid w:val="00B71E26"/>
    <w:rsid w:val="00B81353"/>
    <w:rsid w:val="00B81D60"/>
    <w:rsid w:val="00BA0494"/>
    <w:rsid w:val="00BC06D9"/>
    <w:rsid w:val="00BF1166"/>
    <w:rsid w:val="00C16620"/>
    <w:rsid w:val="00C238CA"/>
    <w:rsid w:val="00C24FAA"/>
    <w:rsid w:val="00C45842"/>
    <w:rsid w:val="00C50487"/>
    <w:rsid w:val="00C66498"/>
    <w:rsid w:val="00C673CF"/>
    <w:rsid w:val="00C67797"/>
    <w:rsid w:val="00C816FC"/>
    <w:rsid w:val="00CD1B62"/>
    <w:rsid w:val="00CD3E5D"/>
    <w:rsid w:val="00CE2ED6"/>
    <w:rsid w:val="00CF43E6"/>
    <w:rsid w:val="00CF552E"/>
    <w:rsid w:val="00D111DC"/>
    <w:rsid w:val="00D14A5A"/>
    <w:rsid w:val="00D15449"/>
    <w:rsid w:val="00D37097"/>
    <w:rsid w:val="00D47435"/>
    <w:rsid w:val="00D770D8"/>
    <w:rsid w:val="00D827E1"/>
    <w:rsid w:val="00D84E1F"/>
    <w:rsid w:val="00D867A9"/>
    <w:rsid w:val="00D8753C"/>
    <w:rsid w:val="00DB24FB"/>
    <w:rsid w:val="00DB5A12"/>
    <w:rsid w:val="00DB7209"/>
    <w:rsid w:val="00DD474E"/>
    <w:rsid w:val="00DE1931"/>
    <w:rsid w:val="00DE430C"/>
    <w:rsid w:val="00DE5893"/>
    <w:rsid w:val="00DF216C"/>
    <w:rsid w:val="00DF49BE"/>
    <w:rsid w:val="00E15DBE"/>
    <w:rsid w:val="00E251ED"/>
    <w:rsid w:val="00E31B19"/>
    <w:rsid w:val="00E62306"/>
    <w:rsid w:val="00E75335"/>
    <w:rsid w:val="00E83F2E"/>
    <w:rsid w:val="00E9609B"/>
    <w:rsid w:val="00E96915"/>
    <w:rsid w:val="00EA07C7"/>
    <w:rsid w:val="00EE08CE"/>
    <w:rsid w:val="00EE1D8B"/>
    <w:rsid w:val="00F32E08"/>
    <w:rsid w:val="00F431BC"/>
    <w:rsid w:val="00F5344B"/>
    <w:rsid w:val="00F5632B"/>
    <w:rsid w:val="00F7392B"/>
    <w:rsid w:val="00F74721"/>
    <w:rsid w:val="00F8390C"/>
    <w:rsid w:val="00F93FB1"/>
    <w:rsid w:val="00FA6DF4"/>
    <w:rsid w:val="00FA7CBD"/>
    <w:rsid w:val="00FB6E1C"/>
    <w:rsid w:val="00FB6EA1"/>
    <w:rsid w:val="00FC3558"/>
    <w:rsid w:val="00FD51DE"/>
    <w:rsid w:val="00FD71D4"/>
    <w:rsid w:val="00FD7D63"/>
    <w:rsid w:val="00FF1F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52A69"/>
  <w15:chartTrackingRefBased/>
  <w15:docId w15:val="{94BB879A-1C83-4213-A649-945A55270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01B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01B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01B2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01B2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01B2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01B2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01B2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01B2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01B2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01B2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01B2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01B2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01B2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01B2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01B2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01B2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01B2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01B2F"/>
    <w:rPr>
      <w:rFonts w:eastAsiaTheme="majorEastAsia" w:cstheme="majorBidi"/>
      <w:color w:val="272727" w:themeColor="text1" w:themeTint="D8"/>
    </w:rPr>
  </w:style>
  <w:style w:type="paragraph" w:styleId="Tytu">
    <w:name w:val="Title"/>
    <w:basedOn w:val="Normalny"/>
    <w:next w:val="Normalny"/>
    <w:link w:val="TytuZnak"/>
    <w:uiPriority w:val="10"/>
    <w:qFormat/>
    <w:rsid w:val="00301B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01B2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01B2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01B2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01B2F"/>
    <w:pPr>
      <w:spacing w:before="160"/>
      <w:jc w:val="center"/>
    </w:pPr>
    <w:rPr>
      <w:i/>
      <w:iCs/>
      <w:color w:val="404040" w:themeColor="text1" w:themeTint="BF"/>
    </w:rPr>
  </w:style>
  <w:style w:type="character" w:customStyle="1" w:styleId="CytatZnak">
    <w:name w:val="Cytat Znak"/>
    <w:basedOn w:val="Domylnaczcionkaakapitu"/>
    <w:link w:val="Cytat"/>
    <w:uiPriority w:val="29"/>
    <w:rsid w:val="00301B2F"/>
    <w:rPr>
      <w:i/>
      <w:iCs/>
      <w:color w:val="404040" w:themeColor="text1" w:themeTint="BF"/>
    </w:rPr>
  </w:style>
  <w:style w:type="paragraph" w:styleId="Akapitzlist">
    <w:name w:val="List Paragraph"/>
    <w:basedOn w:val="Normalny"/>
    <w:uiPriority w:val="34"/>
    <w:qFormat/>
    <w:rsid w:val="00301B2F"/>
    <w:pPr>
      <w:ind w:left="720"/>
      <w:contextualSpacing/>
    </w:pPr>
  </w:style>
  <w:style w:type="character" w:styleId="Wyrnienieintensywne">
    <w:name w:val="Intense Emphasis"/>
    <w:basedOn w:val="Domylnaczcionkaakapitu"/>
    <w:uiPriority w:val="21"/>
    <w:qFormat/>
    <w:rsid w:val="00301B2F"/>
    <w:rPr>
      <w:i/>
      <w:iCs/>
      <w:color w:val="0F4761" w:themeColor="accent1" w:themeShade="BF"/>
    </w:rPr>
  </w:style>
  <w:style w:type="paragraph" w:styleId="Cytatintensywny">
    <w:name w:val="Intense Quote"/>
    <w:basedOn w:val="Normalny"/>
    <w:next w:val="Normalny"/>
    <w:link w:val="CytatintensywnyZnak"/>
    <w:uiPriority w:val="30"/>
    <w:qFormat/>
    <w:rsid w:val="00301B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01B2F"/>
    <w:rPr>
      <w:i/>
      <w:iCs/>
      <w:color w:val="0F4761" w:themeColor="accent1" w:themeShade="BF"/>
    </w:rPr>
  </w:style>
  <w:style w:type="character" w:styleId="Odwoanieintensywne">
    <w:name w:val="Intense Reference"/>
    <w:basedOn w:val="Domylnaczcionkaakapitu"/>
    <w:uiPriority w:val="32"/>
    <w:qFormat/>
    <w:rsid w:val="00301B2F"/>
    <w:rPr>
      <w:b/>
      <w:bCs/>
      <w:smallCaps/>
      <w:color w:val="0F4761" w:themeColor="accent1" w:themeShade="BF"/>
      <w:spacing w:val="5"/>
    </w:rPr>
  </w:style>
  <w:style w:type="table" w:styleId="Tabela-Siatka">
    <w:name w:val="Table Grid"/>
    <w:basedOn w:val="Standardowy"/>
    <w:uiPriority w:val="39"/>
    <w:rsid w:val="00941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DB24F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B24FB"/>
    <w:rPr>
      <w:sz w:val="20"/>
      <w:szCs w:val="20"/>
    </w:rPr>
  </w:style>
  <w:style w:type="character" w:styleId="Odwoanieprzypisudolnego">
    <w:name w:val="footnote reference"/>
    <w:basedOn w:val="Domylnaczcionkaakapitu"/>
    <w:uiPriority w:val="99"/>
    <w:semiHidden/>
    <w:unhideWhenUsed/>
    <w:rsid w:val="00DB24FB"/>
    <w:rPr>
      <w:vertAlign w:val="superscript"/>
    </w:rPr>
  </w:style>
  <w:style w:type="paragraph" w:styleId="Tekstprzypisukocowego">
    <w:name w:val="endnote text"/>
    <w:basedOn w:val="Normalny"/>
    <w:link w:val="TekstprzypisukocowegoZnak"/>
    <w:uiPriority w:val="99"/>
    <w:semiHidden/>
    <w:unhideWhenUsed/>
    <w:rsid w:val="005E226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226C"/>
    <w:rPr>
      <w:sz w:val="20"/>
      <w:szCs w:val="20"/>
    </w:rPr>
  </w:style>
  <w:style w:type="character" w:styleId="Odwoanieprzypisukocowego">
    <w:name w:val="endnote reference"/>
    <w:basedOn w:val="Domylnaczcionkaakapitu"/>
    <w:uiPriority w:val="99"/>
    <w:semiHidden/>
    <w:unhideWhenUsed/>
    <w:rsid w:val="005E226C"/>
    <w:rPr>
      <w:vertAlign w:val="superscript"/>
    </w:rPr>
  </w:style>
  <w:style w:type="paragraph" w:customStyle="1" w:styleId="ARTartustawynprozporzdzenia">
    <w:name w:val="ART(§) – art. ustawy (§ np. rozporządzenia)"/>
    <w:uiPriority w:val="11"/>
    <w:qFormat/>
    <w:rsid w:val="00C16620"/>
    <w:pPr>
      <w:suppressAutoHyphens/>
      <w:autoSpaceDE w:val="0"/>
      <w:autoSpaceDN w:val="0"/>
      <w:adjustRightInd w:val="0"/>
      <w:spacing w:before="120" w:after="0" w:line="360" w:lineRule="auto"/>
      <w:ind w:firstLine="510"/>
      <w:jc w:val="both"/>
    </w:pPr>
    <w:rPr>
      <w:rFonts w:ascii="Times" w:eastAsiaTheme="minorEastAsia" w:hAnsi="Times" w:cs="Arial"/>
      <w:kern w:val="0"/>
      <w:szCs w:val="20"/>
      <w:lang w:eastAsia="pl-PL"/>
      <w14:ligatures w14:val="none"/>
    </w:rPr>
  </w:style>
  <w:style w:type="character" w:styleId="Odwoaniedokomentarza">
    <w:name w:val="annotation reference"/>
    <w:basedOn w:val="Domylnaczcionkaakapitu"/>
    <w:uiPriority w:val="99"/>
    <w:semiHidden/>
    <w:unhideWhenUsed/>
    <w:rsid w:val="00424029"/>
    <w:rPr>
      <w:sz w:val="16"/>
      <w:szCs w:val="16"/>
    </w:rPr>
  </w:style>
  <w:style w:type="paragraph" w:styleId="Tekstkomentarza">
    <w:name w:val="annotation text"/>
    <w:basedOn w:val="Normalny"/>
    <w:link w:val="TekstkomentarzaZnak"/>
    <w:uiPriority w:val="99"/>
    <w:unhideWhenUsed/>
    <w:rsid w:val="00424029"/>
    <w:pPr>
      <w:spacing w:line="240" w:lineRule="auto"/>
    </w:pPr>
    <w:rPr>
      <w:sz w:val="20"/>
      <w:szCs w:val="20"/>
    </w:rPr>
  </w:style>
  <w:style w:type="character" w:customStyle="1" w:styleId="TekstkomentarzaZnak">
    <w:name w:val="Tekst komentarza Znak"/>
    <w:basedOn w:val="Domylnaczcionkaakapitu"/>
    <w:link w:val="Tekstkomentarza"/>
    <w:uiPriority w:val="99"/>
    <w:rsid w:val="00424029"/>
    <w:rPr>
      <w:sz w:val="20"/>
      <w:szCs w:val="20"/>
    </w:rPr>
  </w:style>
  <w:style w:type="paragraph" w:styleId="Tematkomentarza">
    <w:name w:val="annotation subject"/>
    <w:basedOn w:val="Tekstkomentarza"/>
    <w:next w:val="Tekstkomentarza"/>
    <w:link w:val="TematkomentarzaZnak"/>
    <w:uiPriority w:val="99"/>
    <w:semiHidden/>
    <w:unhideWhenUsed/>
    <w:rsid w:val="00424029"/>
    <w:rPr>
      <w:b/>
      <w:bCs/>
    </w:rPr>
  </w:style>
  <w:style w:type="character" w:customStyle="1" w:styleId="TematkomentarzaZnak">
    <w:name w:val="Temat komentarza Znak"/>
    <w:basedOn w:val="TekstkomentarzaZnak"/>
    <w:link w:val="Tematkomentarza"/>
    <w:uiPriority w:val="99"/>
    <w:semiHidden/>
    <w:rsid w:val="00424029"/>
    <w:rPr>
      <w:b/>
      <w:bCs/>
      <w:sz w:val="20"/>
      <w:szCs w:val="20"/>
    </w:rPr>
  </w:style>
  <w:style w:type="paragraph" w:styleId="Nagwek">
    <w:name w:val="header"/>
    <w:basedOn w:val="Normalny"/>
    <w:link w:val="NagwekZnak"/>
    <w:uiPriority w:val="99"/>
    <w:unhideWhenUsed/>
    <w:rsid w:val="004A2B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2B80"/>
  </w:style>
  <w:style w:type="paragraph" w:styleId="Stopka">
    <w:name w:val="footer"/>
    <w:basedOn w:val="Normalny"/>
    <w:link w:val="StopkaZnak"/>
    <w:uiPriority w:val="99"/>
    <w:unhideWhenUsed/>
    <w:rsid w:val="004A2B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2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57423">
      <w:bodyDiv w:val="1"/>
      <w:marLeft w:val="0"/>
      <w:marRight w:val="0"/>
      <w:marTop w:val="0"/>
      <w:marBottom w:val="0"/>
      <w:divBdr>
        <w:top w:val="none" w:sz="0" w:space="0" w:color="auto"/>
        <w:left w:val="none" w:sz="0" w:space="0" w:color="auto"/>
        <w:bottom w:val="none" w:sz="0" w:space="0" w:color="auto"/>
        <w:right w:val="none" w:sz="0" w:space="0" w:color="auto"/>
      </w:divBdr>
    </w:div>
    <w:div w:id="435947902">
      <w:bodyDiv w:val="1"/>
      <w:marLeft w:val="0"/>
      <w:marRight w:val="0"/>
      <w:marTop w:val="0"/>
      <w:marBottom w:val="0"/>
      <w:divBdr>
        <w:top w:val="none" w:sz="0" w:space="0" w:color="auto"/>
        <w:left w:val="none" w:sz="0" w:space="0" w:color="auto"/>
        <w:bottom w:val="none" w:sz="0" w:space="0" w:color="auto"/>
        <w:right w:val="none" w:sz="0" w:space="0" w:color="auto"/>
      </w:divBdr>
    </w:div>
    <w:div w:id="817264744">
      <w:bodyDiv w:val="1"/>
      <w:marLeft w:val="0"/>
      <w:marRight w:val="0"/>
      <w:marTop w:val="0"/>
      <w:marBottom w:val="0"/>
      <w:divBdr>
        <w:top w:val="none" w:sz="0" w:space="0" w:color="auto"/>
        <w:left w:val="none" w:sz="0" w:space="0" w:color="auto"/>
        <w:bottom w:val="none" w:sz="0" w:space="0" w:color="auto"/>
        <w:right w:val="none" w:sz="0" w:space="0" w:color="auto"/>
      </w:divBdr>
    </w:div>
    <w:div w:id="830603363">
      <w:bodyDiv w:val="1"/>
      <w:marLeft w:val="0"/>
      <w:marRight w:val="0"/>
      <w:marTop w:val="0"/>
      <w:marBottom w:val="0"/>
      <w:divBdr>
        <w:top w:val="none" w:sz="0" w:space="0" w:color="auto"/>
        <w:left w:val="none" w:sz="0" w:space="0" w:color="auto"/>
        <w:bottom w:val="none" w:sz="0" w:space="0" w:color="auto"/>
        <w:right w:val="none" w:sz="0" w:space="0" w:color="auto"/>
      </w:divBdr>
    </w:div>
    <w:div w:id="1056274917">
      <w:bodyDiv w:val="1"/>
      <w:marLeft w:val="0"/>
      <w:marRight w:val="0"/>
      <w:marTop w:val="0"/>
      <w:marBottom w:val="0"/>
      <w:divBdr>
        <w:top w:val="none" w:sz="0" w:space="0" w:color="auto"/>
        <w:left w:val="none" w:sz="0" w:space="0" w:color="auto"/>
        <w:bottom w:val="none" w:sz="0" w:space="0" w:color="auto"/>
        <w:right w:val="none" w:sz="0" w:space="0" w:color="auto"/>
      </w:divBdr>
    </w:div>
    <w:div w:id="1083794565">
      <w:bodyDiv w:val="1"/>
      <w:marLeft w:val="0"/>
      <w:marRight w:val="0"/>
      <w:marTop w:val="0"/>
      <w:marBottom w:val="0"/>
      <w:divBdr>
        <w:top w:val="none" w:sz="0" w:space="0" w:color="auto"/>
        <w:left w:val="none" w:sz="0" w:space="0" w:color="auto"/>
        <w:bottom w:val="none" w:sz="0" w:space="0" w:color="auto"/>
        <w:right w:val="none" w:sz="0" w:space="0" w:color="auto"/>
      </w:divBdr>
    </w:div>
    <w:div w:id="1309089776">
      <w:bodyDiv w:val="1"/>
      <w:marLeft w:val="0"/>
      <w:marRight w:val="0"/>
      <w:marTop w:val="0"/>
      <w:marBottom w:val="0"/>
      <w:divBdr>
        <w:top w:val="none" w:sz="0" w:space="0" w:color="auto"/>
        <w:left w:val="none" w:sz="0" w:space="0" w:color="auto"/>
        <w:bottom w:val="none" w:sz="0" w:space="0" w:color="auto"/>
        <w:right w:val="none" w:sz="0" w:space="0" w:color="auto"/>
      </w:divBdr>
    </w:div>
    <w:div w:id="1400325887">
      <w:bodyDiv w:val="1"/>
      <w:marLeft w:val="0"/>
      <w:marRight w:val="0"/>
      <w:marTop w:val="0"/>
      <w:marBottom w:val="0"/>
      <w:divBdr>
        <w:top w:val="none" w:sz="0" w:space="0" w:color="auto"/>
        <w:left w:val="none" w:sz="0" w:space="0" w:color="auto"/>
        <w:bottom w:val="none" w:sz="0" w:space="0" w:color="auto"/>
        <w:right w:val="none" w:sz="0" w:space="0" w:color="auto"/>
      </w:divBdr>
    </w:div>
    <w:div w:id="1534463477">
      <w:bodyDiv w:val="1"/>
      <w:marLeft w:val="0"/>
      <w:marRight w:val="0"/>
      <w:marTop w:val="0"/>
      <w:marBottom w:val="0"/>
      <w:divBdr>
        <w:top w:val="none" w:sz="0" w:space="0" w:color="auto"/>
        <w:left w:val="none" w:sz="0" w:space="0" w:color="auto"/>
        <w:bottom w:val="none" w:sz="0" w:space="0" w:color="auto"/>
        <w:right w:val="none" w:sz="0" w:space="0" w:color="auto"/>
      </w:divBdr>
    </w:div>
    <w:div w:id="1642268107">
      <w:bodyDiv w:val="1"/>
      <w:marLeft w:val="0"/>
      <w:marRight w:val="0"/>
      <w:marTop w:val="0"/>
      <w:marBottom w:val="0"/>
      <w:divBdr>
        <w:top w:val="none" w:sz="0" w:space="0" w:color="auto"/>
        <w:left w:val="none" w:sz="0" w:space="0" w:color="auto"/>
        <w:bottom w:val="none" w:sz="0" w:space="0" w:color="auto"/>
        <w:right w:val="none" w:sz="0" w:space="0" w:color="auto"/>
      </w:divBdr>
    </w:div>
    <w:div w:id="1648701799">
      <w:bodyDiv w:val="1"/>
      <w:marLeft w:val="0"/>
      <w:marRight w:val="0"/>
      <w:marTop w:val="0"/>
      <w:marBottom w:val="0"/>
      <w:divBdr>
        <w:top w:val="none" w:sz="0" w:space="0" w:color="auto"/>
        <w:left w:val="none" w:sz="0" w:space="0" w:color="auto"/>
        <w:bottom w:val="none" w:sz="0" w:space="0" w:color="auto"/>
        <w:right w:val="none" w:sz="0" w:space="0" w:color="auto"/>
      </w:divBdr>
    </w:div>
    <w:div w:id="1678994556">
      <w:bodyDiv w:val="1"/>
      <w:marLeft w:val="0"/>
      <w:marRight w:val="0"/>
      <w:marTop w:val="0"/>
      <w:marBottom w:val="0"/>
      <w:divBdr>
        <w:top w:val="none" w:sz="0" w:space="0" w:color="auto"/>
        <w:left w:val="none" w:sz="0" w:space="0" w:color="auto"/>
        <w:bottom w:val="none" w:sz="0" w:space="0" w:color="auto"/>
        <w:right w:val="none" w:sz="0" w:space="0" w:color="auto"/>
      </w:divBdr>
    </w:div>
    <w:div w:id="1894392356">
      <w:bodyDiv w:val="1"/>
      <w:marLeft w:val="0"/>
      <w:marRight w:val="0"/>
      <w:marTop w:val="0"/>
      <w:marBottom w:val="0"/>
      <w:divBdr>
        <w:top w:val="none" w:sz="0" w:space="0" w:color="auto"/>
        <w:left w:val="none" w:sz="0" w:space="0" w:color="auto"/>
        <w:bottom w:val="none" w:sz="0" w:space="0" w:color="auto"/>
        <w:right w:val="none" w:sz="0" w:space="0" w:color="auto"/>
      </w:divBdr>
    </w:div>
    <w:div w:id="1962806681">
      <w:bodyDiv w:val="1"/>
      <w:marLeft w:val="0"/>
      <w:marRight w:val="0"/>
      <w:marTop w:val="0"/>
      <w:marBottom w:val="0"/>
      <w:divBdr>
        <w:top w:val="none" w:sz="0" w:space="0" w:color="auto"/>
        <w:left w:val="none" w:sz="0" w:space="0" w:color="auto"/>
        <w:bottom w:val="none" w:sz="0" w:space="0" w:color="auto"/>
        <w:right w:val="none" w:sz="0" w:space="0" w:color="auto"/>
      </w:divBdr>
    </w:div>
    <w:div w:id="2017726193">
      <w:bodyDiv w:val="1"/>
      <w:marLeft w:val="0"/>
      <w:marRight w:val="0"/>
      <w:marTop w:val="0"/>
      <w:marBottom w:val="0"/>
      <w:divBdr>
        <w:top w:val="none" w:sz="0" w:space="0" w:color="auto"/>
        <w:left w:val="none" w:sz="0" w:space="0" w:color="auto"/>
        <w:bottom w:val="none" w:sz="0" w:space="0" w:color="auto"/>
        <w:right w:val="none" w:sz="0" w:space="0" w:color="auto"/>
      </w:divBdr>
    </w:div>
    <w:div w:id="210556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760FD-B8E7-4017-AE96-32EC0823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3801</Words>
  <Characters>22810</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Czaplińska Anna  (DL)</dc:creator>
  <cp:keywords/>
  <dc:description/>
  <cp:lastModifiedBy>Autor</cp:lastModifiedBy>
  <cp:revision>2</cp:revision>
  <dcterms:created xsi:type="dcterms:W3CDTF">2026-05-22T07:56:00Z</dcterms:created>
  <dcterms:modified xsi:type="dcterms:W3CDTF">2026-05-22T07:56:00Z</dcterms:modified>
</cp:coreProperties>
</file>