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lineRule="auto"/>
        <w:ind w:left="0" w:firstLine="0"/>
        <w:jc w:val="center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HARMONOGRAM WARSZTATÓW: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080809"/>
          <w:sz w:val="23"/>
          <w:szCs w:val="23"/>
          <w:highlight w:val="white"/>
          <w:rtl w:val="0"/>
        </w:rPr>
        <w:t xml:space="preserve">Piątek, 20 marca 2026 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09:00 – 18:00 – Lekcje mistrzowskie.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12:00 – 12:45 – Próba orkiestry.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13:00 – dr Dagmara Tyrcha (AM Poznań): Jak czytać cyfry pod nutami? Tajemnice basu cyfrowanego.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13:45 – dr Karolina Zych (AM Poznań, UMFC): Wskazówki dotyczące wykonywania wolnych części w barokowym repertuarze fletowym.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14:30 – prof. Urszula Bartkiewicz (AM Bydgoszcz): Daniel Gottlob Türk o interpretacji. Z traktatu o grze na instrumentach klawiszowych (1789).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15:15 – mgr Maciej Kończak (PSM Leszno): Różne oblicza gitary. Czym jest gitarowa muzyka dawna i kiedy kończy się przeszłość?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16:00 – mgr Sulamita Ślubowska (AM Katowice): Nie dwa światy, lecz jeden język – co muzyka dawna zmienia w grze współczesnego muzyka?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080809"/>
          <w:sz w:val="23"/>
          <w:szCs w:val="23"/>
          <w:highlight w:val="white"/>
          <w:rtl w:val="0"/>
        </w:rPr>
        <w:t xml:space="preserve">18:00 – KONCERT WYKŁADOWCÓW.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080809"/>
          <w:sz w:val="23"/>
          <w:szCs w:val="23"/>
          <w:highlight w:val="white"/>
          <w:rtl w:val="0"/>
        </w:rPr>
        <w:t xml:space="preserve">Sobota, 21 marca 2026 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09:00 – 18:00 – Lekcje mistrzowskie.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12:00 – 12:45 – Próba orkiestry.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13:00 – mgr Ewa Pilarska-Banaszak (PSM Konin, UAM): Tożsamość melodii a zmienność znaczeń – muzyczna gra z odbiorcą w kontrafakturach wielkopolskich.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13:45 – dr Monika Woźniak (AM Poznań, ZSM Poznań): Mozartiana – o stylu, estetyce i zagadnieniach wykonawczych sonat fortepianowych W. A. Mozarta.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14:30 – prof. dr hab. Jarosław Thiel (AM Poznań): Między zapożyczeniem a plagiatem. O tym, jak komponowano muzykę w baroku.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15:15 – mgr Alan Woźniak (UAM Poznań): Czy musimy tłumaczyć kantaty Bacha? O ewangelickich pieśniach w staropolskich kancjonałach Artomiusza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16:00 – dr Natalia Hyżak (AM Poznań): Technika gry na klawesynie w oparciu o wybrane teksty źródłowe.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color w:val="080809"/>
          <w:sz w:val="23"/>
          <w:szCs w:val="23"/>
          <w:highlight w:val="white"/>
          <w:rtl w:val="0"/>
        </w:rPr>
        <w:t xml:space="preserve">18:00 – KONCERT UCZESTNIKÓW (Orkiestra warsztatowa)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