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74E7" w14:textId="77777777" w:rsidR="000C3222" w:rsidRPr="00346FF0" w:rsidRDefault="000C3222">
      <w:pPr>
        <w:pStyle w:val="Standard"/>
        <w:rPr>
          <w:rFonts w:asciiTheme="majorHAnsi" w:hAnsiTheme="majorHAnsi" w:cstheme="majorHAnsi"/>
        </w:rPr>
      </w:pPr>
    </w:p>
    <w:p w14:paraId="404E7C36" w14:textId="6510DB1B" w:rsidR="000C3222" w:rsidRPr="00346FF0" w:rsidRDefault="005146D2">
      <w:pPr>
        <w:pStyle w:val="Standard"/>
        <w:jc w:val="center"/>
        <w:rPr>
          <w:rFonts w:asciiTheme="majorHAnsi" w:hAnsiTheme="majorHAnsi" w:cstheme="majorHAnsi"/>
        </w:rPr>
      </w:pPr>
      <w:r w:rsidRPr="00346FF0">
        <w:rPr>
          <w:rFonts w:asciiTheme="majorHAnsi" w:hAnsiTheme="majorHAnsi" w:cstheme="majorHAnsi"/>
          <w:b/>
          <w:spacing w:val="2"/>
          <w:position w:val="2"/>
        </w:rPr>
        <w:t>Wymagania</w:t>
      </w:r>
      <w:r w:rsidRPr="00346FF0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346FF0">
        <w:rPr>
          <w:rFonts w:asciiTheme="majorHAnsi" w:hAnsiTheme="majorHAnsi" w:cstheme="majorHAnsi"/>
          <w:b/>
          <w:spacing w:val="2"/>
          <w:position w:val="2"/>
        </w:rPr>
        <w:t>techniczne</w:t>
      </w:r>
      <w:r w:rsidRPr="00346FF0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346FF0">
        <w:rPr>
          <w:rFonts w:asciiTheme="majorHAnsi" w:hAnsiTheme="majorHAnsi" w:cstheme="majorHAnsi"/>
          <w:b/>
          <w:spacing w:val="2"/>
          <w:position w:val="2"/>
        </w:rPr>
        <w:t>dla</w:t>
      </w:r>
      <w:r w:rsidRPr="00346FF0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346FF0">
        <w:rPr>
          <w:rFonts w:asciiTheme="majorHAnsi" w:hAnsiTheme="majorHAnsi" w:cstheme="majorHAnsi"/>
          <w:b/>
          <w:spacing w:val="2"/>
          <w:position w:val="2"/>
        </w:rPr>
        <w:t>fabrycznie</w:t>
      </w:r>
      <w:r w:rsidRPr="00346FF0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346FF0">
        <w:rPr>
          <w:rFonts w:asciiTheme="majorHAnsi" w:hAnsiTheme="majorHAnsi" w:cstheme="majorHAnsi"/>
          <w:b/>
          <w:spacing w:val="2"/>
          <w:position w:val="2"/>
        </w:rPr>
        <w:t xml:space="preserve">nowego </w:t>
      </w:r>
      <w:r w:rsidR="00BB4DEA" w:rsidRPr="00346FF0">
        <w:rPr>
          <w:rFonts w:asciiTheme="majorHAnsi" w:hAnsiTheme="majorHAnsi" w:cstheme="majorHAnsi"/>
          <w:b/>
          <w:spacing w:val="2"/>
          <w:position w:val="2"/>
        </w:rPr>
        <w:t xml:space="preserve">lekkiego </w:t>
      </w:r>
      <w:r w:rsidRPr="00346FF0">
        <w:rPr>
          <w:rFonts w:asciiTheme="majorHAnsi" w:hAnsiTheme="majorHAnsi" w:cstheme="majorHAnsi"/>
          <w:b/>
          <w:spacing w:val="2"/>
          <w:position w:val="2"/>
        </w:rPr>
        <w:t xml:space="preserve">samochodu </w:t>
      </w:r>
      <w:r w:rsidR="009D6A6A" w:rsidRPr="00346FF0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 xml:space="preserve">operacyjnego – </w:t>
      </w:r>
      <w:r w:rsidR="00251C3D" w:rsidRPr="00346FF0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>1</w:t>
      </w:r>
      <w:r w:rsidRPr="00346FF0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 xml:space="preserve"> szt</w:t>
      </w:r>
      <w:r w:rsidRPr="00346FF0">
        <w:rPr>
          <w:rFonts w:asciiTheme="majorHAnsi" w:hAnsiTheme="majorHAnsi" w:cstheme="majorHAnsi"/>
          <w:b/>
          <w:bCs/>
          <w:color w:val="000000" w:themeColor="text1"/>
          <w:spacing w:val="2"/>
          <w:position w:val="2"/>
        </w:rPr>
        <w:t>.</w:t>
      </w:r>
    </w:p>
    <w:p w14:paraId="0DCBF107" w14:textId="77777777" w:rsidR="000C3222" w:rsidRPr="00346FF0" w:rsidRDefault="000C3222">
      <w:pPr>
        <w:pStyle w:val="Standard"/>
        <w:tabs>
          <w:tab w:val="left" w:pos="284"/>
        </w:tabs>
        <w:spacing w:after="60"/>
        <w:ind w:right="-570"/>
        <w:jc w:val="center"/>
        <w:rPr>
          <w:rFonts w:asciiTheme="majorHAnsi" w:hAnsiTheme="majorHAnsi" w:cstheme="majorHAnsi"/>
        </w:rPr>
      </w:pPr>
    </w:p>
    <w:tbl>
      <w:tblPr>
        <w:tblW w:w="1491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78"/>
        <w:gridCol w:w="13840"/>
      </w:tblGrid>
      <w:tr w:rsidR="00BB4DEA" w:rsidRPr="00346FF0" w14:paraId="231D6E21" w14:textId="77777777" w:rsidTr="00B726D6">
        <w:trPr>
          <w:tblHeader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3EA57BC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3034AF00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Warunki Zamawiającego</w:t>
            </w:r>
          </w:p>
        </w:tc>
      </w:tr>
      <w:tr w:rsidR="00BB4DEA" w:rsidRPr="00346FF0" w14:paraId="37A9B1B8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  <w:vAlign w:val="center"/>
          </w:tcPr>
          <w:p w14:paraId="3B16AEF2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  <w:vAlign w:val="center"/>
          </w:tcPr>
          <w:p w14:paraId="70425446" w14:textId="2AF90EEF" w:rsidR="00BB4DEA" w:rsidRPr="00346FF0" w:rsidRDefault="00BB4DEA" w:rsidP="00325998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 xml:space="preserve">Wymagania </w:t>
            </w:r>
            <w:r w:rsidR="00325998" w:rsidRPr="00346FF0">
              <w:rPr>
                <w:rFonts w:asciiTheme="majorHAnsi" w:hAnsiTheme="majorHAnsi" w:cstheme="majorHAnsi"/>
                <w:b/>
                <w:bCs/>
              </w:rPr>
              <w:t>ogólne</w:t>
            </w:r>
          </w:p>
        </w:tc>
      </w:tr>
      <w:tr w:rsidR="00BB4DEA" w:rsidRPr="00346FF0" w14:paraId="39D11E8B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13B7AA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379A3BE" w14:textId="3AF234B2" w:rsidR="00BB4DEA" w:rsidRPr="00346FF0" w:rsidRDefault="00E2070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musi spełniać wszystkie wymagania polskich przepisów o ruchu drogowym z uwzględnieniem wymagań dotyczących pojazdów uprzywilejowanych zgodnie z ustawą „Prawo o ruchu drogowym” z dnia </w:t>
            </w:r>
            <w:hyperlink r:id="rId8">
              <w:r w:rsidR="00BB4DEA" w:rsidRPr="00346FF0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20</w:t>
              </w:r>
            </w:hyperlink>
            <w:hyperlink r:id="rId9">
              <w:r w:rsidR="00BB4DEA" w:rsidRPr="00346FF0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 xml:space="preserve"> </w:t>
              </w:r>
            </w:hyperlink>
            <w:hyperlink r:id="rId10">
              <w:r w:rsidR="00BB4DEA" w:rsidRPr="00346FF0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czerwca</w:t>
              </w:r>
            </w:hyperlink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hyperlink r:id="rId11">
              <w:r w:rsidR="00BB4DEA" w:rsidRPr="00346FF0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1997</w:t>
              </w:r>
            </w:hyperlink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r. wraz ze wszystkimi jej nowelizacjami.</w:t>
            </w:r>
          </w:p>
        </w:tc>
      </w:tr>
      <w:tr w:rsidR="00BB4DEA" w:rsidRPr="00346FF0" w14:paraId="3D007D0A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68D98AF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21D59D0" w14:textId="77777777" w:rsidR="00520070" w:rsidRPr="00346FF0" w:rsidRDefault="00520070" w:rsidP="0052007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Pojazd musi być oznakowany numerami operacyjnymi Państwowej Straży Pożarnej zgodnie z zarządzeniem nr 6 Komendanta Głównego Państwowej Straży Pożarnej z dnia 8 maja 2025 r. w sprawie gospodarki transportowej w jednostkach organizacyjnych Państwowej Straży Pożarnej(Dz. Urz. KG PSP z 2025 r. poz. 9). </w:t>
            </w:r>
          </w:p>
          <w:p w14:paraId="2127316A" w14:textId="71F4A9A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Numery operacyjne na obu płaszczyznach bocznych nadwozi i na dachu (</w:t>
            </w:r>
            <w:r w:rsidRPr="00346FF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numery operacyjne zostaną podane po podpisaniu umowy</w:t>
            </w:r>
            <w:r w:rsidRPr="00346FF0">
              <w:rPr>
                <w:rFonts w:asciiTheme="majorHAnsi" w:hAnsiTheme="majorHAnsi" w:cstheme="majorHAnsi"/>
                <w:color w:val="000000" w:themeColor="text1"/>
              </w:rPr>
              <w:t>).</w:t>
            </w:r>
          </w:p>
        </w:tc>
      </w:tr>
      <w:tr w:rsidR="00BB4DEA" w:rsidRPr="00346FF0" w14:paraId="0F340442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A32254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468AFFC" w14:textId="7B5E0A7B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Pojazd musi spełniać wymagania rozporządzenia Ministra Infrastruktury z dnia 31 grudnia 2002 r. w sprawie warunków technicznych pojazdów oraz zakresu ich niezbędnego wyposażenia (t. j. Dz. U. z 2024 r., poz. 502</w:t>
            </w:r>
            <w:r w:rsidR="00E20707" w:rsidRPr="00346FF0">
              <w:rPr>
                <w:rFonts w:asciiTheme="majorHAnsi" w:hAnsiTheme="majorHAnsi" w:cstheme="majorHAnsi"/>
                <w:color w:val="000000" w:themeColor="text1"/>
              </w:rPr>
              <w:t xml:space="preserve"> ze zm.</w:t>
            </w:r>
            <w:r w:rsidRPr="00346FF0">
              <w:rPr>
                <w:rFonts w:asciiTheme="majorHAnsi" w:hAnsiTheme="majorHAnsi" w:cstheme="majorHAnsi"/>
                <w:color w:val="000000" w:themeColor="text1"/>
              </w:rPr>
              <w:t>).</w:t>
            </w:r>
          </w:p>
        </w:tc>
      </w:tr>
      <w:tr w:rsidR="00BB4DEA" w:rsidRPr="00346FF0" w14:paraId="2D79B068" w14:textId="77777777" w:rsidTr="00B726D6">
        <w:trPr>
          <w:trHeight w:val="58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C9CE76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70258F1" w14:textId="51EB890B" w:rsidR="00BB4DEA" w:rsidRPr="00346FF0" w:rsidRDefault="00E2070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fabrycznie nowy - wyprod</w:t>
            </w:r>
            <w:r w:rsidR="00325998" w:rsidRPr="00346FF0">
              <w:rPr>
                <w:rFonts w:asciiTheme="majorHAnsi" w:hAnsiTheme="majorHAnsi" w:cstheme="majorHAnsi"/>
                <w:color w:val="000000" w:themeColor="text1"/>
              </w:rPr>
              <w:t>ukowany nie wcześniej niż w 2025</w:t>
            </w:r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roku.</w:t>
            </w:r>
          </w:p>
        </w:tc>
      </w:tr>
      <w:tr w:rsidR="00BB4DEA" w:rsidRPr="00346FF0" w14:paraId="42CC8C0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0715D86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81DAC0F" w14:textId="60DB0E75" w:rsidR="00BB4DEA" w:rsidRPr="00346FF0" w:rsidRDefault="00E2070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346FF0">
              <w:rPr>
                <w:rFonts w:asciiTheme="majorHAnsi" w:hAnsiTheme="majorHAnsi" w:cstheme="majorHAnsi"/>
                <w:color w:val="000000" w:themeColor="text1"/>
              </w:rPr>
              <w:t xml:space="preserve"> musi posiadać świadectwo homologacji typu lub świadectwo zgodności WE. </w:t>
            </w:r>
          </w:p>
        </w:tc>
      </w:tr>
      <w:tr w:rsidR="00BB4DEA" w:rsidRPr="00346FF0" w14:paraId="60882C9A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24CA2D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6CEDD2" w14:textId="7174BA2B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Liczba miejsc do siedzenia – min. 5 z kierowcą.</w:t>
            </w:r>
          </w:p>
        </w:tc>
      </w:tr>
      <w:tr w:rsidR="00BB4DEA" w:rsidRPr="00346FF0" w14:paraId="615FB656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7A9A52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67F013F" w14:textId="0877B721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Zmiany adaptacyjne pojazdu, dotyczące montażu wyposażenia, nie mogą powodować utraty ani ograniczać uprawnień wynikających z fabrycznej gwarancji.</w:t>
            </w:r>
          </w:p>
        </w:tc>
      </w:tr>
      <w:tr w:rsidR="00BB4DEA" w:rsidRPr="00346FF0" w14:paraId="7032F9A5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54C5C9BC" w14:textId="77777777" w:rsidR="00BB4DEA" w:rsidRPr="00346FF0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42D904C4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Podstawowe parametry napędu/podwozia</w:t>
            </w:r>
          </w:p>
        </w:tc>
      </w:tr>
      <w:tr w:rsidR="00BB4DEA" w:rsidRPr="00346FF0" w14:paraId="49A60B4C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A02A0C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179F8FC" w14:textId="75F09E97" w:rsidR="00BB4DEA" w:rsidRPr="00346FF0" w:rsidRDefault="00BB4DEA" w:rsidP="0000300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Silnik o zapłonie iskrowym, moc min. 100 kW, maksymalny moment 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obrotowy od </w:t>
            </w: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9335A" w:rsidRPr="00346FF0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>0 Nm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 do 250</w:t>
            </w:r>
            <w:r w:rsidR="00B46A24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>Nm</w:t>
            </w: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, pojemność 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 silnika od </w:t>
            </w:r>
            <w:r w:rsidR="00325998" w:rsidRPr="00346FF0">
              <w:rPr>
                <w:rFonts w:asciiTheme="majorHAnsi" w:hAnsiTheme="majorHAnsi" w:cstheme="majorHAnsi"/>
                <w:sz w:val="24"/>
                <w:szCs w:val="24"/>
              </w:rPr>
              <w:t>1900</w:t>
            </w:r>
            <w:r w:rsidR="00006D43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>cm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 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>do 2500</w:t>
            </w:r>
            <w:r w:rsidR="00565466" w:rsidRPr="00346FF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03008" w:rsidRPr="00346FF0">
              <w:rPr>
                <w:rFonts w:asciiTheme="majorHAnsi" w:hAnsiTheme="majorHAnsi" w:cstheme="majorHAnsi"/>
                <w:sz w:val="24"/>
                <w:szCs w:val="24"/>
              </w:rPr>
              <w:t>cm</w:t>
            </w:r>
            <w:r w:rsidRPr="00346FF0">
              <w:rPr>
                <w:rFonts w:asciiTheme="majorHAnsi" w:hAnsiTheme="majorHAnsi" w:cstheme="majorHAnsi"/>
                <w:sz w:val="24"/>
                <w:szCs w:val="24"/>
              </w:rPr>
              <w:t>. Silnik produkowany seryjnie, bez przeróbek. Zamawiający dopuszcza napęd hybrydowy.</w:t>
            </w:r>
          </w:p>
        </w:tc>
      </w:tr>
      <w:tr w:rsidR="00BB4DEA" w:rsidRPr="00346FF0" w14:paraId="74FCB812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259093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127FC1F" w14:textId="3F6C0E30" w:rsidR="00BB4DEA" w:rsidRPr="00346FF0" w:rsidRDefault="00BB4DEA" w:rsidP="004561CF">
            <w:pPr>
              <w:pStyle w:val="Standard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Skrzynia biegów automatyczna.</w:t>
            </w:r>
          </w:p>
        </w:tc>
      </w:tr>
      <w:tr w:rsidR="00BB4DEA" w:rsidRPr="00346FF0" w14:paraId="77AEB2E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2E8D9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7AFAA7DA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 xml:space="preserve">Dopuszczalna masa całkowita max. </w:t>
            </w:r>
            <w:r w:rsidRPr="00346FF0">
              <w:rPr>
                <w:rFonts w:asciiTheme="majorHAnsi" w:hAnsiTheme="majorHAnsi" w:cstheme="majorHAnsi"/>
                <w:bCs/>
                <w:color w:val="000000" w:themeColor="text1"/>
              </w:rPr>
              <w:t>3500 [kg].</w:t>
            </w:r>
          </w:p>
        </w:tc>
      </w:tr>
      <w:tr w:rsidR="00BB4DEA" w:rsidRPr="00346FF0" w14:paraId="0E8D5652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124E1E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D4B94A9" w14:textId="500EC6F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 xml:space="preserve">Zbiornik paliwa o pojemności minimum </w:t>
            </w:r>
            <w:r w:rsidRPr="00346FF0">
              <w:rPr>
                <w:rFonts w:asciiTheme="majorHAnsi" w:hAnsiTheme="majorHAnsi" w:cstheme="majorHAnsi"/>
                <w:bCs/>
                <w:color w:val="000000" w:themeColor="text1"/>
              </w:rPr>
              <w:t>4</w:t>
            </w:r>
            <w:r w:rsidR="0049335A" w:rsidRPr="00346FF0">
              <w:rPr>
                <w:rFonts w:asciiTheme="majorHAnsi" w:hAnsiTheme="majorHAnsi" w:cstheme="majorHAnsi"/>
                <w:bCs/>
                <w:color w:val="000000" w:themeColor="text1"/>
              </w:rPr>
              <w:t>0</w:t>
            </w:r>
            <w:r w:rsidRPr="00346FF0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l.</w:t>
            </w:r>
          </w:p>
        </w:tc>
      </w:tr>
      <w:tr w:rsidR="00BB4DEA" w:rsidRPr="00346FF0" w14:paraId="78F65F3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2642C4AC" w14:textId="77777777" w:rsidR="00BB4DEA" w:rsidRPr="00346FF0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6A7FBFA4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Podstawowe parametry nadwozia/pojazdu</w:t>
            </w:r>
          </w:p>
        </w:tc>
      </w:tr>
      <w:tr w:rsidR="00BB4DEA" w:rsidRPr="00346FF0" w14:paraId="2F9209B9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AFC143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95D99E" w14:textId="68A2DFBB" w:rsidR="00BB4DEA" w:rsidRPr="00346FF0" w:rsidRDefault="00BB4DEA" w:rsidP="00325998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bCs/>
                <w:lang w:val="en-US"/>
              </w:rPr>
            </w:pPr>
            <w:r w:rsidRPr="00346FF0">
              <w:rPr>
                <w:rFonts w:asciiTheme="majorHAnsi" w:hAnsiTheme="majorHAnsi" w:cstheme="majorHAnsi"/>
                <w:lang w:val="en-US"/>
              </w:rPr>
              <w:t>Nadwozie typu</w:t>
            </w:r>
            <w:r w:rsidR="00D2212B" w:rsidRPr="00346FF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346FF0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325998" w:rsidRPr="00346FF0">
              <w:rPr>
                <w:rFonts w:asciiTheme="majorHAnsi" w:hAnsiTheme="majorHAnsi" w:cstheme="majorHAnsi"/>
                <w:bCs/>
                <w:lang w:val="en-US"/>
              </w:rPr>
              <w:t>SUV</w:t>
            </w:r>
          </w:p>
        </w:tc>
      </w:tr>
      <w:tr w:rsidR="00BB4DEA" w:rsidRPr="00346FF0" w14:paraId="04883430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8BC671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D48946C" w14:textId="3E11A8B1" w:rsidR="00BB4DEA" w:rsidRPr="00346FF0" w:rsidRDefault="00BB4DEA" w:rsidP="00D2212B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Kol</w:t>
            </w:r>
            <w:r w:rsidR="00D2212B" w:rsidRPr="00346FF0">
              <w:rPr>
                <w:rFonts w:asciiTheme="majorHAnsi" w:hAnsiTheme="majorHAnsi" w:cstheme="majorHAnsi"/>
              </w:rPr>
              <w:t>or nadwozia: biały lub czerwony</w:t>
            </w:r>
            <w:r w:rsidRPr="00346FF0">
              <w:rPr>
                <w:rFonts w:asciiTheme="majorHAnsi" w:hAnsiTheme="majorHAnsi" w:cstheme="majorHAnsi"/>
              </w:rPr>
              <w:t>.</w:t>
            </w:r>
          </w:p>
        </w:tc>
      </w:tr>
      <w:tr w:rsidR="00BB4DEA" w:rsidRPr="00346FF0" w14:paraId="67B3BD54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846D0C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FC45D1A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Zderzaki lakierowane w kolorze nadwozia.</w:t>
            </w:r>
          </w:p>
        </w:tc>
      </w:tr>
      <w:tr w:rsidR="00BB4DEA" w:rsidRPr="00346FF0" w14:paraId="1FBE3842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733B5F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0B98F04" w14:textId="028E51F8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Wymiary pojazdu [mm]:</w:t>
            </w:r>
          </w:p>
          <w:p w14:paraId="49B06EAF" w14:textId="291497DD" w:rsidR="00BB4DEA" w:rsidRPr="00346FF0" w:rsidRDefault="00B46A24" w:rsidP="00DF3986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  <w:lang w:bidi="hi-IN"/>
              </w:rPr>
            </w:pPr>
            <w:r w:rsidRPr="00346FF0">
              <w:rPr>
                <w:rFonts w:asciiTheme="majorHAnsi" w:hAnsiTheme="majorHAnsi" w:cstheme="majorHAnsi"/>
                <w:lang w:bidi="hi-IN"/>
              </w:rPr>
              <w:t>długość: od</w:t>
            </w:r>
            <w:r w:rsidR="00BB4DEA" w:rsidRPr="00346FF0">
              <w:rPr>
                <w:rFonts w:asciiTheme="majorHAnsi" w:hAnsiTheme="majorHAnsi" w:cstheme="majorHAnsi"/>
                <w:lang w:bidi="hi-IN"/>
              </w:rPr>
              <w:t xml:space="preserve"> </w:t>
            </w:r>
            <w:r w:rsidR="00BB4DEA" w:rsidRPr="00346FF0">
              <w:rPr>
                <w:rFonts w:asciiTheme="majorHAnsi" w:hAnsiTheme="majorHAnsi" w:cstheme="majorHAnsi"/>
                <w:bCs/>
                <w:lang w:bidi="hi-IN"/>
              </w:rPr>
              <w:t>4</w:t>
            </w:r>
            <w:r w:rsidRPr="00346FF0">
              <w:rPr>
                <w:rFonts w:asciiTheme="majorHAnsi" w:hAnsiTheme="majorHAnsi" w:cstheme="majorHAnsi"/>
                <w:bCs/>
                <w:lang w:bidi="hi-IN"/>
              </w:rPr>
              <w:t>300 mm do 460mm</w:t>
            </w:r>
            <w:r w:rsidR="00BB4DEA" w:rsidRPr="00346FF0">
              <w:rPr>
                <w:rFonts w:asciiTheme="majorHAnsi" w:hAnsiTheme="majorHAnsi" w:cstheme="majorHAnsi"/>
                <w:bCs/>
                <w:lang w:bidi="hi-IN"/>
              </w:rPr>
              <w:t>,</w:t>
            </w:r>
          </w:p>
          <w:p w14:paraId="10930E70" w14:textId="40EFA9CF" w:rsidR="00BB4DEA" w:rsidRPr="00346FF0" w:rsidRDefault="00B46A24" w:rsidP="00DF398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  <w:lang w:bidi="hi-IN"/>
              </w:rPr>
            </w:pPr>
            <w:r w:rsidRPr="00346FF0">
              <w:rPr>
                <w:rFonts w:asciiTheme="majorHAnsi" w:hAnsiTheme="majorHAnsi" w:cstheme="majorHAnsi"/>
                <w:lang w:bidi="hi-IN"/>
              </w:rPr>
              <w:t xml:space="preserve">rozstaw osi: od </w:t>
            </w:r>
            <w:r w:rsidR="00BB4DEA" w:rsidRPr="00346FF0">
              <w:rPr>
                <w:rFonts w:asciiTheme="majorHAnsi" w:hAnsiTheme="majorHAnsi" w:cstheme="majorHAnsi"/>
                <w:bCs/>
                <w:lang w:bidi="hi-IN"/>
              </w:rPr>
              <w:t>26</w:t>
            </w:r>
            <w:r w:rsidR="00D2212B" w:rsidRPr="00346FF0">
              <w:rPr>
                <w:rFonts w:asciiTheme="majorHAnsi" w:hAnsiTheme="majorHAnsi" w:cstheme="majorHAnsi"/>
                <w:bCs/>
                <w:lang w:bidi="hi-IN"/>
              </w:rPr>
              <w:t>00</w:t>
            </w:r>
            <w:r w:rsidR="00E20707" w:rsidRPr="00346FF0">
              <w:rPr>
                <w:rFonts w:asciiTheme="majorHAnsi" w:hAnsiTheme="majorHAnsi" w:cstheme="majorHAnsi"/>
                <w:bCs/>
                <w:lang w:bidi="hi-IN"/>
              </w:rPr>
              <w:t xml:space="preserve"> mm</w:t>
            </w:r>
            <w:r w:rsidRPr="00346FF0">
              <w:rPr>
                <w:rFonts w:asciiTheme="majorHAnsi" w:hAnsiTheme="majorHAnsi" w:cstheme="majorHAnsi"/>
                <w:bCs/>
                <w:lang w:bidi="hi-IN"/>
              </w:rPr>
              <w:t xml:space="preserve"> do</w:t>
            </w:r>
            <w:r w:rsidR="006A3A12" w:rsidRPr="00346FF0">
              <w:rPr>
                <w:rFonts w:asciiTheme="majorHAnsi" w:hAnsiTheme="majorHAnsi" w:cstheme="majorHAnsi"/>
                <w:bCs/>
                <w:lang w:bidi="hi-IN"/>
              </w:rPr>
              <w:t xml:space="preserve"> 2800</w:t>
            </w:r>
            <w:r w:rsidR="00E20707" w:rsidRPr="00346FF0">
              <w:rPr>
                <w:rFonts w:asciiTheme="majorHAnsi" w:hAnsiTheme="majorHAnsi" w:cstheme="majorHAnsi"/>
                <w:bCs/>
                <w:lang w:bidi="hi-IN"/>
              </w:rPr>
              <w:t xml:space="preserve"> mm</w:t>
            </w:r>
            <w:r w:rsidR="00BB4DEA" w:rsidRPr="00346FF0">
              <w:rPr>
                <w:rFonts w:asciiTheme="majorHAnsi" w:hAnsiTheme="majorHAnsi" w:cstheme="majorHAnsi"/>
                <w:bCs/>
                <w:lang w:bidi="hi-IN"/>
              </w:rPr>
              <w:t>,</w:t>
            </w:r>
          </w:p>
          <w:p w14:paraId="749D9083" w14:textId="2950FC7E" w:rsidR="00BB4DEA" w:rsidRPr="00346FF0" w:rsidRDefault="00BB4DEA" w:rsidP="00DF398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lang w:bidi="hi-IN"/>
              </w:rPr>
              <w:t>sze</w:t>
            </w:r>
            <w:r w:rsidR="00D2212B" w:rsidRPr="00346FF0">
              <w:rPr>
                <w:rFonts w:asciiTheme="majorHAnsi" w:hAnsiTheme="majorHAnsi" w:cstheme="majorHAnsi"/>
                <w:lang w:bidi="hi-IN"/>
              </w:rPr>
              <w:t>rokość z rozłożonymi lusterkami od 1800  do 2200</w:t>
            </w:r>
            <w:r w:rsidRPr="00346FF0">
              <w:rPr>
                <w:rFonts w:asciiTheme="majorHAnsi" w:hAnsiTheme="majorHAnsi" w:cstheme="majorHAnsi"/>
                <w:bCs/>
                <w:lang w:bidi="hi-IN"/>
              </w:rPr>
              <w:t>.</w:t>
            </w:r>
          </w:p>
        </w:tc>
      </w:tr>
      <w:tr w:rsidR="00BB4DEA" w:rsidRPr="00346FF0" w14:paraId="669F448A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F8101F5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33506DE" w14:textId="2B402E0E" w:rsidR="00BB4DEA" w:rsidRPr="00346FF0" w:rsidRDefault="00BB4DEA" w:rsidP="006A3A12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Pojemność bagażnika</w:t>
            </w:r>
            <w:r w:rsidR="006A3A12" w:rsidRPr="00346FF0">
              <w:rPr>
                <w:rFonts w:asciiTheme="majorHAnsi" w:hAnsiTheme="majorHAnsi" w:cstheme="majorHAnsi"/>
              </w:rPr>
              <w:t xml:space="preserve"> – od 420</w:t>
            </w:r>
            <w:r w:rsidR="00DF3986" w:rsidRPr="00346FF0">
              <w:rPr>
                <w:rFonts w:asciiTheme="majorHAnsi" w:hAnsiTheme="majorHAnsi" w:cstheme="majorHAnsi"/>
              </w:rPr>
              <w:t xml:space="preserve"> litrów</w:t>
            </w:r>
            <w:r w:rsidR="006A3A12" w:rsidRPr="00346FF0">
              <w:rPr>
                <w:rFonts w:asciiTheme="majorHAnsi" w:hAnsiTheme="majorHAnsi" w:cstheme="majorHAnsi"/>
              </w:rPr>
              <w:t xml:space="preserve"> do 600</w:t>
            </w:r>
            <w:r w:rsidRPr="00346FF0">
              <w:rPr>
                <w:rFonts w:asciiTheme="majorHAnsi" w:hAnsiTheme="majorHAnsi" w:cstheme="majorHAnsi"/>
              </w:rPr>
              <w:t xml:space="preserve"> l</w:t>
            </w:r>
            <w:r w:rsidR="00DF3986" w:rsidRPr="00346FF0">
              <w:rPr>
                <w:rFonts w:asciiTheme="majorHAnsi" w:hAnsiTheme="majorHAnsi" w:cstheme="majorHAnsi"/>
              </w:rPr>
              <w:t>itrów.</w:t>
            </w:r>
          </w:p>
        </w:tc>
      </w:tr>
      <w:tr w:rsidR="00BB4DEA" w:rsidRPr="00346FF0" w14:paraId="1520F472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15614A" w14:textId="0212E501" w:rsidR="00BB4DEA" w:rsidRPr="00346FF0" w:rsidRDefault="00B6168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`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A4210B9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Konstrukcja pojazdu o nadwoziu samonośnym, jednobryłowym pięciodrzwiowym.</w:t>
            </w:r>
          </w:p>
        </w:tc>
      </w:tr>
      <w:tr w:rsidR="00BB4DEA" w:rsidRPr="00346FF0" w14:paraId="5E2E5389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4E69BF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3B7DEE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Lusterka zewnętrzne elektrycznie regulowane i ogrzewane.</w:t>
            </w:r>
          </w:p>
        </w:tc>
      </w:tr>
      <w:tr w:rsidR="00BB4DEA" w:rsidRPr="00346FF0" w14:paraId="5567195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479B5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01F3A04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highlight w:val="white"/>
              </w:rPr>
              <w:t xml:space="preserve">System zapobiegający blokowaniu kół podczas hamowania [ABS], system stabilizacji toru jazdy [ESP], </w:t>
            </w:r>
          </w:p>
        </w:tc>
      </w:tr>
      <w:tr w:rsidR="00BB4DEA" w:rsidRPr="00346FF0" w14:paraId="1D818BEA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43FAB1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DF53B35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highlight w:val="white"/>
              </w:rPr>
            </w:pPr>
            <w:r w:rsidRPr="00346FF0">
              <w:rPr>
                <w:rFonts w:asciiTheme="majorHAnsi" w:hAnsiTheme="majorHAnsi" w:cstheme="majorHAnsi"/>
                <w:highlight w:val="white"/>
              </w:rPr>
              <w:t>Zamontowana osłona silnika.</w:t>
            </w:r>
          </w:p>
        </w:tc>
      </w:tr>
      <w:tr w:rsidR="00BB4DEA" w:rsidRPr="00346FF0" w14:paraId="3B050073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DE13ED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53485BD" w14:textId="360B3517" w:rsidR="00BB4DEA" w:rsidRPr="00346FF0" w:rsidRDefault="00325998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highlight w:val="white"/>
              </w:rPr>
            </w:pPr>
            <w:r w:rsidRPr="00346FF0">
              <w:rPr>
                <w:rFonts w:asciiTheme="majorHAnsi" w:hAnsiTheme="majorHAnsi" w:cstheme="majorHAnsi"/>
              </w:rPr>
              <w:t xml:space="preserve">Zestaw naprawczy do </w:t>
            </w:r>
            <w:r w:rsidR="00D2212B" w:rsidRPr="00346FF0">
              <w:rPr>
                <w:rFonts w:asciiTheme="majorHAnsi" w:hAnsiTheme="majorHAnsi" w:cstheme="majorHAnsi"/>
              </w:rPr>
              <w:t>opon</w:t>
            </w:r>
            <w:r w:rsidR="00BB4DEA" w:rsidRPr="00346FF0">
              <w:rPr>
                <w:rFonts w:asciiTheme="majorHAnsi" w:hAnsiTheme="majorHAnsi" w:cstheme="majorHAnsi"/>
              </w:rPr>
              <w:t>.</w:t>
            </w:r>
          </w:p>
        </w:tc>
      </w:tr>
      <w:tr w:rsidR="00BB4DEA" w:rsidRPr="00346FF0" w14:paraId="6D72196B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49EF220E" w14:textId="77777777" w:rsidR="00BB4DEA" w:rsidRPr="00346FF0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75FA4A99" w14:textId="77777777" w:rsidR="00BB4DEA" w:rsidRPr="00346FF0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Wyposażenie pojazdu</w:t>
            </w:r>
          </w:p>
        </w:tc>
      </w:tr>
      <w:tr w:rsidR="00BB4DEA" w:rsidRPr="00346FF0" w14:paraId="5E9081C0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460DD0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38CCCCA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Przednie światła do jazdy dziennej LED.</w:t>
            </w:r>
          </w:p>
        </w:tc>
      </w:tr>
      <w:tr w:rsidR="00BB4DEA" w:rsidRPr="00346FF0" w14:paraId="3E586DF6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8CE928A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D8B8A2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Światła przeciwmgielne przednie i tylne.</w:t>
            </w:r>
          </w:p>
        </w:tc>
      </w:tr>
      <w:tr w:rsidR="00BB4DEA" w:rsidRPr="00346FF0" w14:paraId="0EC3E944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7F461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B0C462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Szyby boczne przednie i tylne w kabinie sterowane elektrycznie. </w:t>
            </w:r>
          </w:p>
        </w:tc>
      </w:tr>
      <w:tr w:rsidR="00BB4DEA" w:rsidRPr="00346FF0" w14:paraId="255DEC23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D88A28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38D9B3" w14:textId="38166822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Immobiliser</w:t>
            </w:r>
          </w:p>
        </w:tc>
      </w:tr>
      <w:tr w:rsidR="00BB4DEA" w:rsidRPr="00346FF0" w14:paraId="7ED4682D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F38BF0D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F06225F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Poduszki powietrzne w kabinie kierowcy: min. przednie i boczne dla kierowcy i pasażera, trzypunktowe pasy bezpieczeństwa dla wszystkich miejsc.</w:t>
            </w:r>
          </w:p>
        </w:tc>
      </w:tr>
      <w:tr w:rsidR="00BB4DEA" w:rsidRPr="00346FF0" w14:paraId="519E921F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5AD85BA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CF00251" w14:textId="0F542453" w:rsidR="00BB4DEA" w:rsidRPr="00346FF0" w:rsidRDefault="00BB4DEA" w:rsidP="00D2212B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Obręcze kół ze stopów lekkich z oponami letnimi min. </w:t>
            </w:r>
            <w:r w:rsidR="00D2212B" w:rsidRPr="00346FF0">
              <w:rPr>
                <w:rFonts w:asciiTheme="majorHAnsi" w:hAnsiTheme="majorHAnsi" w:cstheme="majorHAnsi"/>
                <w:bCs/>
              </w:rPr>
              <w:t>17</w:t>
            </w:r>
            <w:r w:rsidRPr="00346FF0">
              <w:rPr>
                <w:rFonts w:asciiTheme="majorHAnsi" w:hAnsiTheme="majorHAnsi" w:cstheme="majorHAnsi"/>
                <w:bCs/>
              </w:rPr>
              <w:t xml:space="preserve"> </w:t>
            </w:r>
            <w:r w:rsidRPr="00346FF0">
              <w:rPr>
                <w:rFonts w:asciiTheme="majorHAnsi" w:hAnsiTheme="majorHAnsi" w:cstheme="majorHAnsi"/>
              </w:rPr>
              <w:t xml:space="preserve">cali. </w:t>
            </w:r>
          </w:p>
        </w:tc>
      </w:tr>
      <w:tr w:rsidR="00BB4DEA" w:rsidRPr="00346FF0" w14:paraId="4200A4ED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5B52B1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0803947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Kierownica wielofunkcyjna, umożliwiająca obsługę radia.</w:t>
            </w:r>
          </w:p>
        </w:tc>
      </w:tr>
      <w:tr w:rsidR="00BB4DEA" w:rsidRPr="00346FF0" w14:paraId="160E47DF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C3E127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EA172D4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Kolumna kierownicy z regulacją w minimum jednej płaszczyźnie.</w:t>
            </w:r>
          </w:p>
        </w:tc>
      </w:tr>
      <w:tr w:rsidR="00BB4DEA" w:rsidRPr="00346FF0" w14:paraId="4CF4C751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E7F0FB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914A527" w14:textId="77777777" w:rsidR="00BB4DEA" w:rsidRPr="00346FF0" w:rsidRDefault="00BB4DEA" w:rsidP="004561CF">
            <w:pPr>
              <w:pStyle w:val="Zawartotabeli"/>
              <w:snapToGrid w:val="0"/>
              <w:jc w:val="both"/>
              <w:rPr>
                <w:rFonts w:asciiTheme="majorHAnsi" w:eastAsia="Times New Roman" w:hAnsiTheme="majorHAnsi" w:cstheme="majorHAnsi"/>
              </w:rPr>
            </w:pPr>
            <w:r w:rsidRPr="00346FF0">
              <w:rPr>
                <w:rFonts w:asciiTheme="majorHAnsi" w:eastAsia="Times New Roman" w:hAnsiTheme="majorHAnsi" w:cstheme="majorHAnsi"/>
              </w:rPr>
              <w:t>W kabinie dywaniki dla I i II rzędu siedzeń gumowe.</w:t>
            </w:r>
          </w:p>
        </w:tc>
      </w:tr>
      <w:tr w:rsidR="00BB4DEA" w:rsidRPr="00346FF0" w14:paraId="7FA373F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8F59A5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76F0C5F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Centralny zamek sterowany z pilota.</w:t>
            </w:r>
          </w:p>
        </w:tc>
      </w:tr>
      <w:tr w:rsidR="00BB4DEA" w:rsidRPr="00346FF0" w14:paraId="60793708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A4D7D2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AF86E54" w14:textId="0189A53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Minimum przednie fotele wyposażone w zagłówki z regulacją wysokości, wszystkie siedzenia przodem do kierunku jazdy. Podłokietniki z przodu.</w:t>
            </w:r>
          </w:p>
        </w:tc>
      </w:tr>
      <w:tr w:rsidR="00BB4DEA" w:rsidRPr="00346FF0" w14:paraId="563182F0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541287E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FBB238B" w14:textId="500473EC" w:rsidR="00BB4DEA" w:rsidRPr="00346FF0" w:rsidRDefault="004561CF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F</w:t>
            </w:r>
            <w:r w:rsidR="00BB4DEA" w:rsidRPr="00346FF0">
              <w:rPr>
                <w:rFonts w:asciiTheme="majorHAnsi" w:hAnsiTheme="majorHAnsi" w:cstheme="majorHAnsi"/>
              </w:rPr>
              <w:t>otel</w:t>
            </w:r>
            <w:r w:rsidRPr="00346FF0">
              <w:rPr>
                <w:rFonts w:asciiTheme="majorHAnsi" w:hAnsiTheme="majorHAnsi" w:cstheme="majorHAnsi"/>
              </w:rPr>
              <w:t>e</w:t>
            </w:r>
            <w:r w:rsidR="00BB4DEA" w:rsidRPr="00346FF0">
              <w:rPr>
                <w:rFonts w:asciiTheme="majorHAnsi" w:hAnsiTheme="majorHAnsi" w:cstheme="majorHAnsi"/>
              </w:rPr>
              <w:t xml:space="preserve"> oraz wnętrz</w:t>
            </w:r>
            <w:r w:rsidRPr="00346FF0">
              <w:rPr>
                <w:rFonts w:asciiTheme="majorHAnsi" w:hAnsiTheme="majorHAnsi" w:cstheme="majorHAnsi"/>
              </w:rPr>
              <w:t>e</w:t>
            </w:r>
            <w:r w:rsidR="00BB4DEA" w:rsidRPr="00346FF0">
              <w:rPr>
                <w:rFonts w:asciiTheme="majorHAnsi" w:hAnsiTheme="majorHAnsi" w:cstheme="majorHAnsi"/>
              </w:rPr>
              <w:t xml:space="preserve"> przestrzeni pasażerskiej w ciemnym kolorze, siedzenia wyłożone tapicerką z tkaniny </w:t>
            </w:r>
            <w:r w:rsidRPr="00346FF0">
              <w:rPr>
                <w:rFonts w:asciiTheme="majorHAnsi" w:hAnsiTheme="majorHAnsi" w:cstheme="majorHAnsi"/>
              </w:rPr>
              <w:t xml:space="preserve">o zwiększonej </w:t>
            </w:r>
            <w:r w:rsidR="00BB4DEA" w:rsidRPr="00346FF0">
              <w:rPr>
                <w:rFonts w:asciiTheme="majorHAnsi" w:hAnsiTheme="majorHAnsi" w:cstheme="majorHAnsi"/>
              </w:rPr>
              <w:t>odporn</w:t>
            </w:r>
            <w:r w:rsidRPr="00346FF0">
              <w:rPr>
                <w:rFonts w:asciiTheme="majorHAnsi" w:hAnsiTheme="majorHAnsi" w:cstheme="majorHAnsi"/>
              </w:rPr>
              <w:t>ości</w:t>
            </w:r>
            <w:r w:rsidR="00BB4DEA" w:rsidRPr="00346FF0">
              <w:rPr>
                <w:rFonts w:asciiTheme="majorHAnsi" w:hAnsiTheme="majorHAnsi" w:cstheme="majorHAnsi"/>
              </w:rPr>
              <w:t xml:space="preserve"> na uszkodzenia i łatwą w czyszczeniu lub skórą.</w:t>
            </w:r>
          </w:p>
        </w:tc>
      </w:tr>
      <w:tr w:rsidR="00BB4DEA" w:rsidRPr="00346FF0" w14:paraId="11EBF09F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791EE2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75A29AF1" w14:textId="7ABC8C3C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Klimatyzacja automatyczna.</w:t>
            </w:r>
          </w:p>
        </w:tc>
      </w:tr>
      <w:tr w:rsidR="00BB4DEA" w:rsidRPr="00346FF0" w14:paraId="621D65F5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D7ED96F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6684C4B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Instalacja radiowa wyposażona w antenę.</w:t>
            </w:r>
          </w:p>
        </w:tc>
      </w:tr>
      <w:tr w:rsidR="00BB4DEA" w:rsidRPr="00346FF0" w14:paraId="10824B63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CDD443E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F8FC900" w14:textId="261D545F" w:rsidR="00BB4DEA" w:rsidRPr="00346FF0" w:rsidRDefault="00BB4DEA" w:rsidP="004561CF">
            <w:pPr>
              <w:pStyle w:val="Zawartotabeli"/>
              <w:snapToGrid w:val="0"/>
              <w:ind w:right="9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Radioodtwarzacz z MP3, Bluetooth, systemem głośnomówiącym do telefonu oraz głośnikami z instalacją elektryczną rozprowadzoną w pojeździe.</w:t>
            </w:r>
          </w:p>
        </w:tc>
      </w:tr>
      <w:tr w:rsidR="00BB4DEA" w:rsidRPr="00346FF0" w14:paraId="6F4B013C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192C3CB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66E30BE" w14:textId="4347F307" w:rsidR="00BB4DEA" w:rsidRPr="00346FF0" w:rsidRDefault="00BB4DEA" w:rsidP="004561CF">
            <w:pPr>
              <w:pStyle w:val="Zawartotabeli"/>
              <w:numPr>
                <w:ilvl w:val="0"/>
                <w:numId w:val="5"/>
              </w:numPr>
              <w:snapToGrid w:val="0"/>
              <w:ind w:left="23" w:right="9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Tempomat.</w:t>
            </w:r>
          </w:p>
        </w:tc>
      </w:tr>
      <w:tr w:rsidR="00BB4DEA" w:rsidRPr="00346FF0" w14:paraId="0F68A6BE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7B413A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2820D3C" w14:textId="410B6B97" w:rsidR="00BB4DEA" w:rsidRPr="00346FF0" w:rsidRDefault="00BB4DEA" w:rsidP="0042700A">
            <w:pPr>
              <w:pStyle w:val="Zawartotabeli"/>
              <w:numPr>
                <w:ilvl w:val="0"/>
                <w:numId w:val="5"/>
              </w:numPr>
              <w:snapToGrid w:val="0"/>
              <w:ind w:left="23" w:right="9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Czujniki cofania z przodu i tyłu pojazdu </w:t>
            </w:r>
            <w:r w:rsidR="00163BA6" w:rsidRPr="00346FF0">
              <w:rPr>
                <w:rFonts w:asciiTheme="majorHAnsi" w:hAnsiTheme="majorHAnsi" w:cstheme="majorHAnsi"/>
              </w:rPr>
              <w:t xml:space="preserve">oraz </w:t>
            </w:r>
            <w:r w:rsidR="0049335A" w:rsidRPr="00346FF0">
              <w:rPr>
                <w:rFonts w:asciiTheme="majorHAnsi" w:hAnsiTheme="majorHAnsi" w:cstheme="majorHAnsi"/>
              </w:rPr>
              <w:t>kamera cofania.</w:t>
            </w:r>
          </w:p>
        </w:tc>
      </w:tr>
      <w:tr w:rsidR="00BB4DEA" w:rsidRPr="00346FF0" w14:paraId="5DD80E3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A1E1E6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963E5EF" w14:textId="51CA7715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Deska rozdzielcza wyposażona w prędkościomierz, obrotomierz, wskaźnik poziomu paliwa, wskaźnik temperatury płynu chłodzącego, komputer pokładowy itp.</w:t>
            </w:r>
          </w:p>
        </w:tc>
      </w:tr>
      <w:tr w:rsidR="00BB4DEA" w:rsidRPr="00346FF0" w14:paraId="68FE2CB3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A63E14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8A866E6" w14:textId="77777777" w:rsidR="00BB4DEA" w:rsidRPr="00346FF0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highlight w:val="white"/>
              </w:rPr>
              <w:t>Trzecie światło stop.</w:t>
            </w:r>
          </w:p>
        </w:tc>
      </w:tr>
      <w:tr w:rsidR="00BB4DEA" w:rsidRPr="00346FF0" w14:paraId="6F0231D0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05C436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A454F1E" w14:textId="77777777" w:rsidR="00BB4DEA" w:rsidRPr="00346FF0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Uchwyt holowniczy z przodu pojazdu (demontowany).</w:t>
            </w:r>
          </w:p>
        </w:tc>
      </w:tr>
      <w:tr w:rsidR="00BB4DEA" w:rsidRPr="00346FF0" w14:paraId="5489C358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3DF984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E9A07A8" w14:textId="77777777" w:rsidR="00BB4DEA" w:rsidRPr="00346FF0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Wspomaganie kierownicy.</w:t>
            </w:r>
          </w:p>
        </w:tc>
      </w:tr>
      <w:tr w:rsidR="00BB4DEA" w:rsidRPr="00346FF0" w14:paraId="187B92DF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17FC9B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742A6E4" w14:textId="77777777" w:rsidR="00BB4DEA" w:rsidRPr="00346FF0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color w:val="000000"/>
                <w:highlight w:val="white"/>
              </w:rPr>
              <w:t>Na wyposażeniu: zestaw narzędzi, podnośnik samochodowy, klucz do kół, trójkąt ostrzegawczy, apteczka, gaśnica proszkowa min. 1 kg</w:t>
            </w:r>
          </w:p>
        </w:tc>
      </w:tr>
      <w:tr w:rsidR="00BB4DEA" w:rsidRPr="00346FF0" w14:paraId="62EE164A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BE3E98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87425EF" w14:textId="124E1950" w:rsidR="00BB4DEA" w:rsidRPr="00346FF0" w:rsidRDefault="00BB4DEA">
            <w:pPr>
              <w:pStyle w:val="Standard"/>
              <w:snapToGrid w:val="0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Gniazdo 12 V – min. 1 szt. w konsoli środkowej pojazdu.</w:t>
            </w:r>
          </w:p>
        </w:tc>
      </w:tr>
      <w:tr w:rsidR="00BB4DEA" w:rsidRPr="00346FF0" w14:paraId="362C21E9" w14:textId="77777777" w:rsidTr="00B726D6">
        <w:trPr>
          <w:trHeight w:val="692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2DA03DA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eastAsia="Droid Sans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E048EF9" w14:textId="77777777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 kabinie kierowcy zamontowany radiotelefon przewoźny spełniający minimalne wymagania techniczno-funkcjonalne określone w załączniku nr 3 do instrukcji stanowiącej załącznik do rozkazu nr 8 Komendanta Głównego PSP z dnia 5 kwietnia 2019 r. w sprawie wprowadzenia nowych zasad organizacji łączności radiowej (Dz. Urz. KG PSP 2019 r. poz.7), dopuszczony do stosowania w sieci PSP w zakresie częstotliwości VHF 136-174 MHz. Parametry szczególne:</w:t>
            </w:r>
          </w:p>
          <w:p w14:paraId="7FEDBDBF" w14:textId="77777777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Zamawiający wymaga dostawy radiotelefonu zgodnego z ETSI TS 102 361-2. Zamawiający wymaga zaoferowania i dostarczania radiotelefonu zgodnego z normą EN62368-1 lub EN60950-1 albo EN60065.</w:t>
            </w:r>
          </w:p>
          <w:p w14:paraId="5E9539AD" w14:textId="77777777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Modulacje 11K0F3E, 7K60FXD, 7K60FXE, moc 1-25 W, odstęp międzykanałowy minimum 12,5 kHz, nie mniej niż 512 kanałów. Alfanumeryczny 14-znakowy wyświetlacz LCD. Możliwość prezentowania nazwy korespondenta na wyświetlaczu w trybie łączności cyfrowej. Ochrona radiotelefonu przed pyłem i wodą minimum IP54, normy MIL-STD-810 C/D/E/F. Dodatkowo radiotelefon musi mieć możliwość maskowania korespondencji w trybie cyfrowym DMR Tier II, algorytmem ARC4 o długości klucza 40 bitów. Antena samochodowa ¼ fali z przegubem amortyzującym w formie sprężyny zamontowana na dachu pojazdu/kabiny z możliwością złożenia/demontażu (śrubunek motylkowy), w taki sposób aby odległość od belki świateł ostrzegawczych lub innych urządzeń nie była mniejsza jak 500 mm (najlepiej na środku dachu pojazdu z zachowaniem 500 mm odległości we wszystkich stronach zarysowując promień tej odległości ), zysk anteny min 2,15 dBi, przystosowana i dostrojona do pracy w paśmie 149 MHz, wykres z pomiaru współczynnika fali stojącej (WFS) wykonanego po montażu anteny. Współczynnik fali stojącej kanału ogólnopolskiego PSP (B028) dla wykonanej instalacji antenowej nie większy niż 1,5. Instalacja antenowa musi posiadać wydruk z pomiaru potwierdzający w/w współczynnik dla danej instalacji. Zamawiający zastrzega sobie możliwość wybiórczej weryfikacji parametrów wykonanej instalacji na etapie odbioru. Zasilanie radiotelefonu zabezpieczone oddzielnym bezpiecznikiem umieszczonym w miejscu łatwo dostępnym. Miejsce montażu radiotelefonu wraz z osprzętem należy uzgodnić z zamawiającym w trakcie realizacji zamówienia. Wszystkie podzespoły zestawu jednego producenta lub równoważne zaakceptowane przez producenta oferowanego radiotelefonu z wyjątkiem anteny. Zamawiający wyraża zgodę na zaoferowanie radiotelefonów nie posiadających przycisku „w innym wyróżniającym się kolorze”, a umożliwiających wyróżnienia przycisku alarmowego pomarańczowym oznaczeniem na wyświetlaczu radiotelefonu bezpośrednio nad tym przyciskiem. Radiotelefon musi się automatycznie włączać/wyłączać wraz z uruchomieniem i zgaszeniem silnika pojazdu. Radiotelefon podłączony w taki sposób aby możliwe było jego włączenie również po wyłączeniu zapłonu w pojeździe i wyjęciu kluczyka.</w:t>
            </w:r>
          </w:p>
          <w:p w14:paraId="1DD29444" w14:textId="77777777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Ukompletowanie zestawu:</w:t>
            </w:r>
          </w:p>
          <w:p w14:paraId="328EB631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zespół N/O,</w:t>
            </w:r>
          </w:p>
          <w:p w14:paraId="27F04633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podstawa montażowa,</w:t>
            </w:r>
          </w:p>
          <w:p w14:paraId="47C1E88B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mikrofon,</w:t>
            </w:r>
          </w:p>
          <w:p w14:paraId="75030A6A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antena 1/4 fali,</w:t>
            </w:r>
          </w:p>
          <w:p w14:paraId="10B37042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swobodny dostęp do złącza antenowego radiotelefonu w celu wykonywania okresowych pomiarów instalacji antenowej,</w:t>
            </w:r>
          </w:p>
          <w:p w14:paraId="4EE64F3F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lastRenderedPageBreak/>
              <w:t>wykres z pomiaru współczynnika fali stojącej zainstalowanej anteny dostarczony w dniu odbioru techniczno-jakościowego pojazdu,</w:t>
            </w:r>
          </w:p>
          <w:p w14:paraId="747AF15C" w14:textId="77777777" w:rsidR="00565466" w:rsidRPr="00346FF0" w:rsidRDefault="00565466" w:rsidP="00565466">
            <w:pPr>
              <w:pStyle w:val="Standard"/>
              <w:numPr>
                <w:ilvl w:val="1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komplet dokumentacji montażowej i obsługowej w języku polskim dla użytkownika radiotelefonu,</w:t>
            </w:r>
          </w:p>
          <w:p w14:paraId="2B8A4F95" w14:textId="77777777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Elektroniczne wyposażenie seryjne oraz dodatkowe montowane przez Dostawcę, nie może zakłócać i negatywnie wpływać na pracę urządzeń radiowych pasma UKF zamontowanych w pojeździe. Wszystkie te elementy muszą być zgodne ze środowiskiem elektromagnetycznym "EMC"</w:t>
            </w:r>
          </w:p>
          <w:p w14:paraId="6AEEAEA5" w14:textId="756ECE00" w:rsidR="00565466" w:rsidRPr="00346FF0" w:rsidRDefault="00565466" w:rsidP="00565466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Nie dopuszcza się wykonania instalacji przyłączeniowej radiotelefonu po zewnętrznym poszyciu deski rozdzielczej.</w:t>
            </w:r>
          </w:p>
          <w:p w14:paraId="5BC387CD" w14:textId="77777777" w:rsidR="004561CF" w:rsidRPr="00346FF0" w:rsidRDefault="004561CF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Elektroniczne wyposażenie seryjne oraz dodatkowe montowane przez Dostawcę, nie może zakłócać i negatywnie wpływać na pracę urządzeń radiowych pasma UKF zamontowanych w pojeździe. Wszystkie te elementy muszą być zgodne ze środowiskiem elektromagnetycznym "EMC" </w:t>
            </w:r>
          </w:p>
          <w:p w14:paraId="60D29C68" w14:textId="773DA819" w:rsidR="004561CF" w:rsidRPr="00346FF0" w:rsidRDefault="004561CF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Nie dopuszcza się wykonania instalacji przyłączeniowej radiotelefonu po zewnętrznym poszyciu deski rozdzielczej. </w:t>
            </w:r>
          </w:p>
          <w:p w14:paraId="6C0A53DE" w14:textId="0C6A0843" w:rsidR="00BB4DEA" w:rsidRPr="00346FF0" w:rsidRDefault="00BB4DEA" w:rsidP="004561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BB4DEA" w:rsidRPr="00346FF0" w14:paraId="36250F23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1DBAD0" w14:textId="77777777" w:rsidR="00BB4DEA" w:rsidRPr="00346FF0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284C4A36" w14:textId="77777777" w:rsidR="00520070" w:rsidRPr="00346FF0" w:rsidRDefault="00520070" w:rsidP="00520070">
            <w:pPr>
              <w:pStyle w:val="TableContents"/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Samochód musi spełniać wymagania polskich przepisów o ruchu drogowym z uwzględnieniem wymagań dotyczących  pojazdów uprzywilejowanych zgodnie z rozporządzeniem Ministra Infrastruktury z dnia 31 grudnia 2002 r. w sprawie  warunków technicznych pojazdów oraz zakresu ich niezbędnego wyposażenia (t. j. Dz. U. z 2024 r., poz. 502, z późniejszymi zmianami) oraz być wyposażony w:</w:t>
            </w:r>
          </w:p>
          <w:p w14:paraId="11C7B99C" w14:textId="77777777" w:rsidR="00520070" w:rsidRPr="00346FF0" w:rsidRDefault="00520070" w:rsidP="00520070">
            <w:pPr>
              <w:pStyle w:val="TableContents"/>
              <w:numPr>
                <w:ilvl w:val="0"/>
                <w:numId w:val="20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Urządzenie akustyczne pojazdu uprzywilejowanego umożliwiające uruchomienie sygnalizacji akustycznej oraz umożliwiające podawanie komunikatów słownych składającej się co najmniej z następujących elementów:</w:t>
            </w:r>
          </w:p>
          <w:p w14:paraId="36284DCB" w14:textId="77777777" w:rsidR="00520070" w:rsidRPr="00346FF0" w:rsidRDefault="00520070" w:rsidP="00520070">
            <w:pPr>
              <w:pStyle w:val="TableContents"/>
              <w:numPr>
                <w:ilvl w:val="0"/>
                <w:numId w:val="21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Wzmacniacza sygnałowego (modulatora) o mocy wyjściowej min. 100 W z min. 3 modulowanymi sygnałami dwutonowymi z możliwością sterowania sygnałem klaksonu. Urządzenie wzmacniacza sygnałowego zostanie zamontowane pod deską rozdzielczą i sterowaniem wyniesionym za pomocą przewodu o długości przewodu zapewniającej swobodną obsługę przez kierowcę i pasażerów na manipulator. Urządzenie będzie kompatybilne z głośnikami o impedancji znamionowej 11 Ω.</w:t>
            </w:r>
          </w:p>
          <w:p w14:paraId="433D4075" w14:textId="77777777" w:rsidR="00520070" w:rsidRPr="00346FF0" w:rsidRDefault="00520070" w:rsidP="00520070">
            <w:pPr>
              <w:pStyle w:val="TableContents"/>
              <w:numPr>
                <w:ilvl w:val="0"/>
                <w:numId w:val="21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Jednego lub dwóch neodymowych głośników kompaktowych o mocy min. 100 W każdy zapewniających ekwiwalentny poziom ciśnienia akustycznego min. 100 dB. Głośniki przystosowane fabrycznie do montażu zewnętrznego, zamontowane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atmosferycznymi.</w:t>
            </w:r>
          </w:p>
          <w:p w14:paraId="1FDEAEEF" w14:textId="3D3B39F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W atrapie przedniej zamontowane 2 moduły lamp kierunkowych stroboskopowych  LEDz kloszem bezbarwnym o świetle niebieskim. Układ sterowania (podłączenie) modułami musi zapewnić możliwość włączenia samej sygnalizacji świetlnej (bez sygnalizacji dźwiękowej) oraz działanie sygnalizacji świetlnej musi być możliwe również przy wyjętym kluczyku ze stacyjki pojazdu.</w:t>
            </w:r>
          </w:p>
          <w:p w14:paraId="3CE9C5EA" w14:textId="7777777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Na wyposażeniu samochodu lampa pojedyncza stroboskopowa LED z mocowaniem magnetycznym do mocowania na dachu pojazdu. Napięcie zasilania 12V. Źródło światła: min. 12 diod LED, kolor niebieski. Wymiary lampy: wysokość: max. 70 mm, średnica: min. 150 mm. Klosz lampy transparentny. Podłączana do gniazda 12V. Przewód lampy wzmocniony o długości min. 2500 mm. Lampa musi spełniać wymagania R65 EKG/ONZ – klasa 2 (lub równoważne).</w:t>
            </w:r>
          </w:p>
          <w:p w14:paraId="6F5A7999" w14:textId="7777777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Całość oświetlenia pojazdu uprzywilejowanego musi spełniać wymagania R65 EKG/ONZ – klasa 2 (lub równoważne).</w:t>
            </w:r>
          </w:p>
          <w:p w14:paraId="7CF7C961" w14:textId="7777777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 xml:space="preserve">W pojeździe musi być możliwość odłączenia zasilania całości wyposażenia sygnalizacji uprzywilejowanej za pomocą przycisku </w:t>
            </w:r>
            <w:r w:rsidRPr="00346FF0">
              <w:rPr>
                <w:rFonts w:asciiTheme="majorHAnsi" w:hAnsiTheme="majorHAnsi" w:cstheme="majorHAnsi"/>
                <w:color w:val="000000"/>
              </w:rPr>
              <w:lastRenderedPageBreak/>
              <w:t>umieszczonego w kabinie przy siedzeniu kierowcy.</w:t>
            </w:r>
          </w:p>
          <w:p w14:paraId="48F59688" w14:textId="7777777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Pas wyróżniający barwy czerwieni sygnałowej wokół pojazdu wykonany z taśmy min. klasy C.</w:t>
            </w:r>
          </w:p>
          <w:p w14:paraId="109CC8D5" w14:textId="77777777" w:rsidR="00520070" w:rsidRPr="00346FF0" w:rsidRDefault="00520070" w:rsidP="00520070">
            <w:pPr>
              <w:pStyle w:val="TableContents"/>
              <w:numPr>
                <w:ilvl w:val="0"/>
                <w:numId w:val="22"/>
              </w:numPr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Napis „STRAŻ” umieszczony po obu bokach pojazdu na pasie wyróżniającym w kolorze białym(odblaskowym).</w:t>
            </w:r>
          </w:p>
          <w:p w14:paraId="69D15CA8" w14:textId="77777777" w:rsidR="00520070" w:rsidRPr="00346FF0" w:rsidRDefault="00520070" w:rsidP="00520070">
            <w:pPr>
              <w:pStyle w:val="TableContents"/>
              <w:snapToGri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6FF0">
              <w:rPr>
                <w:rFonts w:asciiTheme="majorHAnsi" w:hAnsiTheme="majorHAnsi" w:cstheme="majorHAnsi"/>
                <w:color w:val="000000"/>
              </w:rPr>
              <w:t>Urządzenia uprzywilejowania oraz pozostałe urządzenia fabryczne samochodu nie mogą powodować zakłóceń urządzeń łączności radiowej o której mowa w punkcie 4.24.</w:t>
            </w:r>
          </w:p>
          <w:p w14:paraId="777157E8" w14:textId="1E957C40" w:rsidR="00BB4DEA" w:rsidRPr="00346FF0" w:rsidRDefault="00BB4DEA" w:rsidP="00520070">
            <w:pPr>
              <w:pStyle w:val="Bezodstpw"/>
              <w:jc w:val="both"/>
              <w:rPr>
                <w:rFonts w:asciiTheme="majorHAnsi" w:eastAsia="Droid Sans" w:hAnsiTheme="majorHAnsi" w:cstheme="majorHAnsi"/>
                <w:lang w:eastAsia="zh-CN" w:bidi="hi-IN"/>
              </w:rPr>
            </w:pPr>
            <w:r w:rsidRPr="00346FF0">
              <w:rPr>
                <w:rFonts w:asciiTheme="majorHAnsi" w:eastAsia="Droid Sans" w:hAnsiTheme="majorHAnsi" w:cstheme="majorHAnsi"/>
                <w:kern w:val="3"/>
                <w:lang w:eastAsia="zh-CN" w:bidi="hi-IN"/>
              </w:rPr>
              <w:t>Urządzenia uprzywilejowania oraz pozostałe urządzenia fabryczne samochodu nie mogą powodować zakłóceń urządzeń łączności radiowej o której mowa w punkcie 4.2</w:t>
            </w:r>
            <w:r w:rsidR="003E3AEC" w:rsidRPr="00346FF0">
              <w:rPr>
                <w:rFonts w:asciiTheme="majorHAnsi" w:eastAsia="Droid Sans" w:hAnsiTheme="majorHAnsi" w:cstheme="majorHAnsi"/>
                <w:kern w:val="3"/>
                <w:lang w:eastAsia="zh-CN" w:bidi="hi-IN"/>
              </w:rPr>
              <w:t>4</w:t>
            </w:r>
            <w:r w:rsidRPr="00346FF0">
              <w:rPr>
                <w:rFonts w:asciiTheme="majorHAnsi" w:eastAsia="Droid Sans" w:hAnsiTheme="majorHAnsi" w:cstheme="majorHAnsi"/>
                <w:kern w:val="3"/>
                <w:lang w:eastAsia="zh-CN" w:bidi="hi-IN"/>
              </w:rPr>
              <w:t>.</w:t>
            </w:r>
          </w:p>
        </w:tc>
      </w:tr>
      <w:tr w:rsidR="004561CF" w:rsidRPr="00346FF0" w14:paraId="5D6D8517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C33EA5" w14:textId="77777777" w:rsidR="004561CF" w:rsidRPr="00346FF0" w:rsidRDefault="004561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DAC6011" w14:textId="77777777" w:rsidR="000031DC" w:rsidRPr="00346FF0" w:rsidRDefault="000031DC" w:rsidP="004561CF">
            <w:pPr>
              <w:pStyle w:val="TableContents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lang w:eastAsia="pl-PL"/>
              </w:rPr>
            </w:pPr>
          </w:p>
          <w:p w14:paraId="364703E7" w14:textId="473E5477" w:rsidR="000031DC" w:rsidRPr="00346FF0" w:rsidRDefault="004561CF" w:rsidP="004561CF">
            <w:pPr>
              <w:pStyle w:val="TableContents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lang w:eastAsia="pl-PL"/>
              </w:rPr>
            </w:pPr>
            <w:r w:rsidRPr="00346FF0">
              <w:rPr>
                <w:rFonts w:asciiTheme="majorHAnsi" w:hAnsiTheme="majorHAnsi" w:cstheme="majorHAnsi"/>
                <w:b/>
                <w:bCs/>
                <w:color w:val="000000"/>
                <w:lang w:eastAsia="pl-PL"/>
              </w:rPr>
              <w:t>Sposób i miejsce montażu wyposażenia kabiny (radiotelefon, manipulator sygnalizacji akustycznej i świetlnej) oraz oświetlenia uprzywilejowanego należy ustalić z Zamawiającym w fazie realizacji zamówienia na etapie inspekcji produkcyjnej.</w:t>
            </w:r>
          </w:p>
        </w:tc>
      </w:tr>
      <w:tr w:rsidR="00BB4DEA" w:rsidRPr="00346FF0" w14:paraId="71F6A484" w14:textId="77777777" w:rsidTr="00B726D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3DA0D1CA" w14:textId="77777777" w:rsidR="00BB4DEA" w:rsidRPr="00346FF0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5D9D0C4C" w14:textId="77777777" w:rsidR="00BB4DEA" w:rsidRPr="00346FF0" w:rsidRDefault="00BB4DEA" w:rsidP="004561CF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Pozostałe warunki zamawiającego</w:t>
            </w:r>
          </w:p>
        </w:tc>
      </w:tr>
      <w:tr w:rsidR="00BB4DEA" w:rsidRPr="00346FF0" w14:paraId="3A962115" w14:textId="77777777" w:rsidTr="00B726D6">
        <w:trPr>
          <w:trHeight w:val="42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36E28A" w14:textId="77777777" w:rsidR="00BB4DEA" w:rsidRPr="00346FF0" w:rsidRDefault="00BB4DEA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09D8772" w14:textId="040AF808" w:rsidR="00BB4DEA" w:rsidRPr="00346FF0" w:rsidRDefault="00BB4DEA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color w:val="000000" w:themeColor="text1"/>
              </w:rPr>
              <w:t>Okres gwarancji minimum 24 miesiące</w:t>
            </w:r>
            <w:r w:rsidR="00520070" w:rsidRPr="00346FF0">
              <w:rPr>
                <w:rFonts w:asciiTheme="majorHAnsi" w:hAnsiTheme="majorHAnsi" w:cstheme="majorHAnsi"/>
                <w:color w:val="000000" w:themeColor="text1"/>
              </w:rPr>
              <w:t xml:space="preserve"> oraz </w:t>
            </w:r>
            <w:r w:rsidR="00153053">
              <w:rPr>
                <w:rFonts w:asciiTheme="majorHAnsi" w:hAnsiTheme="majorHAnsi" w:cstheme="majorHAnsi"/>
                <w:color w:val="000000" w:themeColor="text1"/>
              </w:rPr>
              <w:t xml:space="preserve">opcjonalnie </w:t>
            </w:r>
            <w:r w:rsidR="00520070" w:rsidRPr="00346FF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dodatkowa gwarancja - przedłużenie 2 lata bez limitu</w:t>
            </w:r>
            <w:r w:rsidR="00520070" w:rsidRPr="00346FF0">
              <w:rPr>
                <w:rFonts w:asciiTheme="majorHAnsi" w:hAnsiTheme="majorHAnsi" w:cstheme="majorHAnsi"/>
                <w:color w:val="000000" w:themeColor="text1"/>
              </w:rPr>
              <w:t xml:space="preserve">  </w:t>
            </w:r>
          </w:p>
        </w:tc>
      </w:tr>
      <w:tr w:rsidR="00BB4DEA" w:rsidRPr="00346FF0" w14:paraId="41C18997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9B4C6C" w14:textId="77777777" w:rsidR="00BB4DEA" w:rsidRPr="00346FF0" w:rsidRDefault="00BB4DEA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BA88D95" w14:textId="77777777" w:rsidR="00BE16AC" w:rsidRPr="00346FF0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Wykonawca zobowiązany jest do dostarczenia wraz z samochodem:</w:t>
            </w:r>
          </w:p>
          <w:p w14:paraId="6C4C6B63" w14:textId="77777777" w:rsidR="00BE16AC" w:rsidRPr="00346FF0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- instrukcji obsługi, książki serwisowej/gwarancyjnej do samochodu w języku polskim,</w:t>
            </w:r>
          </w:p>
          <w:p w14:paraId="4AC0A223" w14:textId="77777777" w:rsidR="00BE16AC" w:rsidRPr="00346FF0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- dokumentacji niezbędnej do zarejestrowania samochodu w Wydziale Komunikacji,</w:t>
            </w:r>
          </w:p>
          <w:p w14:paraId="1CCFC3A6" w14:textId="5B18E537" w:rsidR="00BB4DEA" w:rsidRPr="00346FF0" w:rsidRDefault="00BE16AC" w:rsidP="00BE16AC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- na dzień odbioru faktycznego dokumentu potwierdzającego aktualnie posiadane badanie techniczne w zakresie pojazdu uprzywilejowanego. </w:t>
            </w:r>
          </w:p>
        </w:tc>
      </w:tr>
      <w:tr w:rsidR="00195483" w:rsidRPr="00346FF0" w14:paraId="0F4E584D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C8E7E1" w14:textId="77777777" w:rsidR="00195483" w:rsidRPr="00346FF0" w:rsidRDefault="00195483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7749A40" w14:textId="54D0C578" w:rsidR="00195483" w:rsidRPr="00346FF0" w:rsidRDefault="001810CE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Wykonawca</w:t>
            </w:r>
            <w:r w:rsidR="00520070" w:rsidRPr="00346FF0">
              <w:rPr>
                <w:rFonts w:asciiTheme="majorHAnsi" w:hAnsiTheme="majorHAnsi" w:cstheme="majorHAnsi"/>
                <w:b/>
                <w:bCs/>
              </w:rPr>
              <w:t xml:space="preserve"> dostarczy</w:t>
            </w:r>
            <w:r w:rsidR="00E20707" w:rsidRPr="00346FF0">
              <w:rPr>
                <w:rFonts w:asciiTheme="majorHAnsi" w:hAnsiTheme="majorHAnsi" w:cstheme="majorHAnsi"/>
                <w:b/>
                <w:bCs/>
              </w:rPr>
              <w:t xml:space="preserve"> pojazd</w:t>
            </w:r>
            <w:r w:rsidR="00520070" w:rsidRPr="00346FF0">
              <w:rPr>
                <w:rFonts w:asciiTheme="majorHAnsi" w:hAnsiTheme="majorHAnsi" w:cstheme="majorHAnsi"/>
                <w:b/>
                <w:bCs/>
              </w:rPr>
              <w:t xml:space="preserve"> do siedziby Zamawiającego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z pełnym zbiornik</w:t>
            </w:r>
            <w:r w:rsidR="00520070" w:rsidRPr="00346FF0">
              <w:rPr>
                <w:rFonts w:asciiTheme="majorHAnsi" w:hAnsiTheme="majorHAnsi" w:cstheme="majorHAnsi"/>
                <w:b/>
                <w:bCs/>
              </w:rPr>
              <w:t>iem</w:t>
            </w:r>
            <w:r w:rsidRPr="00346FF0">
              <w:rPr>
                <w:rFonts w:asciiTheme="majorHAnsi" w:hAnsiTheme="majorHAnsi" w:cstheme="majorHAnsi"/>
                <w:b/>
                <w:bCs/>
              </w:rPr>
              <w:t xml:space="preserve"> paliwa i płyn</w:t>
            </w:r>
            <w:r w:rsidR="00520070" w:rsidRPr="00346FF0">
              <w:rPr>
                <w:rFonts w:asciiTheme="majorHAnsi" w:hAnsiTheme="majorHAnsi" w:cstheme="majorHAnsi"/>
                <w:b/>
                <w:bCs/>
              </w:rPr>
              <w:t>ami</w:t>
            </w:r>
            <w:r w:rsidRPr="00346FF0">
              <w:rPr>
                <w:rFonts w:asciiTheme="majorHAnsi" w:hAnsiTheme="majorHAnsi" w:cstheme="majorHAnsi"/>
                <w:b/>
                <w:bCs/>
              </w:rPr>
              <w:t xml:space="preserve"> eksploatacyjn</w:t>
            </w:r>
            <w:r w:rsidR="00520070" w:rsidRPr="00346FF0">
              <w:rPr>
                <w:rFonts w:asciiTheme="majorHAnsi" w:hAnsiTheme="majorHAnsi" w:cstheme="majorHAnsi"/>
                <w:b/>
                <w:bCs/>
              </w:rPr>
              <w:t>ymi</w:t>
            </w:r>
            <w:r w:rsidRPr="00346FF0">
              <w:rPr>
                <w:rFonts w:asciiTheme="majorHAnsi" w:hAnsiTheme="majorHAnsi" w:cstheme="majorHAnsi"/>
              </w:rPr>
              <w:t>.</w:t>
            </w:r>
          </w:p>
        </w:tc>
      </w:tr>
      <w:tr w:rsidR="00B726D6" w:rsidRPr="00346FF0" w14:paraId="65B29E44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33F88E" w14:textId="197C3E87" w:rsidR="00B726D6" w:rsidRPr="00346FF0" w:rsidRDefault="00B726D6" w:rsidP="00B726D6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36D35D64" w14:textId="2F4E875D" w:rsidR="00B726D6" w:rsidRPr="00346FF0" w:rsidRDefault="00B726D6" w:rsidP="00B726D6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Wyposażenie dodatkowe wynikające z prawa opcji</w:t>
            </w:r>
          </w:p>
        </w:tc>
      </w:tr>
      <w:tr w:rsidR="00B726D6" w:rsidRPr="00346FF0" w14:paraId="6D8AEF07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16438F" w14:textId="5F149F08" w:rsidR="00B726D6" w:rsidRPr="00346FF0" w:rsidRDefault="00B726D6" w:rsidP="00B726D6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6.1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0FADD7F" w14:textId="6CD05645" w:rsidR="00E20707" w:rsidRPr="00346FF0" w:rsidRDefault="00B726D6" w:rsidP="00E20707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Mobilny maszt oświetleniowy</w:t>
            </w:r>
            <w:r w:rsidR="00E20707" w:rsidRPr="00346FF0">
              <w:rPr>
                <w:rFonts w:asciiTheme="majorHAnsi" w:hAnsiTheme="majorHAnsi" w:cstheme="majorHAnsi"/>
                <w:b/>
                <w:bCs/>
              </w:rPr>
              <w:t xml:space="preserve"> – 1 kpl.</w:t>
            </w:r>
          </w:p>
          <w:p w14:paraId="0D545DC3" w14:textId="743DC6A7" w:rsidR="00E20707" w:rsidRPr="00346FF0" w:rsidRDefault="00B726D6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 </w:t>
            </w:r>
            <w:r w:rsidR="00E20707" w:rsidRPr="00346FF0">
              <w:rPr>
                <w:rFonts w:asciiTheme="majorHAnsi" w:hAnsiTheme="majorHAnsi" w:cstheme="majorHAnsi"/>
                <w:b/>
                <w:bCs/>
              </w:rPr>
              <w:t>Strumień świetlny</w:t>
            </w:r>
            <w:r w:rsidR="00E20707" w:rsidRPr="00346FF0">
              <w:rPr>
                <w:rFonts w:asciiTheme="majorHAnsi" w:hAnsiTheme="majorHAnsi" w:cstheme="majorHAnsi"/>
              </w:rPr>
              <w:t xml:space="preserve">: min. </w:t>
            </w:r>
            <w:r w:rsidR="00E20707" w:rsidRPr="00346FF0">
              <w:rPr>
                <w:rFonts w:asciiTheme="majorHAnsi" w:hAnsiTheme="majorHAnsi" w:cstheme="majorHAnsi"/>
                <w:b/>
                <w:bCs/>
              </w:rPr>
              <w:t>27 000 lumenów</w:t>
            </w:r>
            <w:r w:rsidR="00E20707" w:rsidRPr="00346FF0">
              <w:rPr>
                <w:rFonts w:asciiTheme="majorHAnsi" w:hAnsiTheme="majorHAnsi" w:cstheme="majorHAnsi"/>
              </w:rPr>
              <w:t>.</w:t>
            </w:r>
          </w:p>
          <w:p w14:paraId="789DADBF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Źródło światła</w:t>
            </w:r>
            <w:r w:rsidRPr="00346FF0">
              <w:rPr>
                <w:rFonts w:asciiTheme="majorHAnsi" w:hAnsiTheme="majorHAnsi" w:cstheme="majorHAnsi"/>
              </w:rPr>
              <w:t>: diody LED o trwałości min. 30 000 h.</w:t>
            </w:r>
          </w:p>
          <w:p w14:paraId="541F6329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Barwa światła</w:t>
            </w:r>
            <w:r w:rsidRPr="00346FF0">
              <w:rPr>
                <w:rFonts w:asciiTheme="majorHAnsi" w:hAnsiTheme="majorHAnsi" w:cstheme="majorHAnsi"/>
              </w:rPr>
              <w:t xml:space="preserve">: od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3000 K</w:t>
            </w:r>
            <w:r w:rsidRPr="00346FF0">
              <w:rPr>
                <w:rFonts w:asciiTheme="majorHAnsi" w:hAnsiTheme="majorHAnsi" w:cstheme="majorHAnsi"/>
              </w:rPr>
              <w:t xml:space="preserve"> (biała ciepła) do 5000 K (biała neutralna).</w:t>
            </w:r>
          </w:p>
          <w:p w14:paraId="532BEF97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Wysokość masztu</w:t>
            </w:r>
            <w:r w:rsidRPr="00346FF0">
              <w:rPr>
                <w:rFonts w:asciiTheme="majorHAnsi" w:hAnsiTheme="majorHAnsi" w:cstheme="majorHAnsi"/>
              </w:rPr>
              <w:t xml:space="preserve">: min.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3,0 m</w:t>
            </w:r>
            <w:r w:rsidRPr="00346FF0">
              <w:rPr>
                <w:rFonts w:asciiTheme="majorHAnsi" w:hAnsiTheme="majorHAnsi" w:cstheme="majorHAnsi"/>
              </w:rPr>
              <w:t xml:space="preserve"> w pełnym rozłożeniu.</w:t>
            </w:r>
          </w:p>
          <w:p w14:paraId="57934993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Zasilanie</w:t>
            </w:r>
            <w:r w:rsidRPr="00346FF0">
              <w:rPr>
                <w:rFonts w:asciiTheme="majorHAnsi" w:hAnsiTheme="majorHAnsi" w:cstheme="majorHAnsi"/>
              </w:rPr>
              <w:t>:</w:t>
            </w:r>
          </w:p>
          <w:p w14:paraId="487A5E73" w14:textId="77777777" w:rsidR="00E20707" w:rsidRPr="00346FF0" w:rsidRDefault="00E20707" w:rsidP="00E20707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wbudowany akumulator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Li-ion</w:t>
            </w:r>
            <w:r w:rsidRPr="00346FF0">
              <w:rPr>
                <w:rFonts w:asciiTheme="majorHAnsi" w:hAnsiTheme="majorHAnsi" w:cstheme="majorHAnsi"/>
              </w:rPr>
              <w:t>,</w:t>
            </w:r>
          </w:p>
          <w:p w14:paraId="198637A6" w14:textId="77777777" w:rsidR="00E20707" w:rsidRPr="00346FF0" w:rsidRDefault="00E20707" w:rsidP="00E20707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możliwość pracy wyłącznie z akumulatora,</w:t>
            </w:r>
          </w:p>
          <w:p w14:paraId="4D1194ED" w14:textId="77777777" w:rsidR="00E20707" w:rsidRPr="00346FF0" w:rsidRDefault="00E20707" w:rsidP="00E20707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 xml:space="preserve">wbudowana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ładowarka sieciowa 230 V AC</w:t>
            </w:r>
            <w:r w:rsidRPr="00346FF0">
              <w:rPr>
                <w:rFonts w:asciiTheme="majorHAnsi" w:hAnsiTheme="majorHAnsi" w:cstheme="majorHAnsi"/>
              </w:rPr>
              <w:t xml:space="preserve"> oraz ładowarka samochodowa 12/24 V DC.</w:t>
            </w:r>
          </w:p>
          <w:p w14:paraId="368B15B9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Czas pracy</w:t>
            </w:r>
            <w:r w:rsidRPr="00346FF0">
              <w:rPr>
                <w:rFonts w:asciiTheme="majorHAnsi" w:hAnsiTheme="majorHAnsi" w:cstheme="majorHAnsi"/>
              </w:rPr>
              <w:t xml:space="preserve">: min.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8 godzin</w:t>
            </w:r>
            <w:r w:rsidRPr="00346FF0">
              <w:rPr>
                <w:rFonts w:asciiTheme="majorHAnsi" w:hAnsiTheme="majorHAnsi" w:cstheme="majorHAnsi"/>
              </w:rPr>
              <w:t xml:space="preserve"> przy średnim trybie świecenia.</w:t>
            </w:r>
          </w:p>
          <w:p w14:paraId="10CD3AF1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Klasa ochrony</w:t>
            </w:r>
            <w:r w:rsidRPr="00346FF0">
              <w:rPr>
                <w:rFonts w:asciiTheme="majorHAnsi" w:hAnsiTheme="majorHAnsi" w:cstheme="majorHAnsi"/>
              </w:rPr>
              <w:t xml:space="preserve">: min. </w:t>
            </w:r>
            <w:r w:rsidRPr="00346FF0">
              <w:rPr>
                <w:rFonts w:asciiTheme="majorHAnsi" w:hAnsiTheme="majorHAnsi" w:cstheme="majorHAnsi"/>
                <w:b/>
                <w:bCs/>
              </w:rPr>
              <w:t>IP55</w:t>
            </w:r>
            <w:r w:rsidRPr="00346FF0">
              <w:rPr>
                <w:rFonts w:asciiTheme="majorHAnsi" w:hAnsiTheme="majorHAnsi" w:cstheme="majorHAnsi"/>
              </w:rPr>
              <w:t xml:space="preserve"> (odporność na pył i wodę).</w:t>
            </w:r>
          </w:p>
          <w:p w14:paraId="2C5AF622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Odporność mechaniczna</w:t>
            </w:r>
            <w:r w:rsidRPr="00346FF0">
              <w:rPr>
                <w:rFonts w:asciiTheme="majorHAnsi" w:hAnsiTheme="majorHAnsi" w:cstheme="majorHAnsi"/>
              </w:rPr>
              <w:t>: obudowa odporna na wstrząsy, uderzenia i warunki atmosferyczne, przystosowana do pracy w terenie.</w:t>
            </w:r>
          </w:p>
          <w:p w14:paraId="38A1543D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Mobilność</w:t>
            </w:r>
            <w:r w:rsidRPr="00346FF0">
              <w:rPr>
                <w:rFonts w:asciiTheme="majorHAnsi" w:hAnsiTheme="majorHAnsi" w:cstheme="majorHAnsi"/>
              </w:rPr>
              <w:t xml:space="preserve">: maszt na kołach transportowych lub w obudowie walizkowej; możliwość łatwego przenoszenia i rozstawienia przez jedną </w:t>
            </w:r>
            <w:r w:rsidRPr="00346FF0">
              <w:rPr>
                <w:rFonts w:asciiTheme="majorHAnsi" w:hAnsiTheme="majorHAnsi" w:cstheme="majorHAnsi"/>
              </w:rPr>
              <w:lastRenderedPageBreak/>
              <w:t>osobę.</w:t>
            </w:r>
          </w:p>
          <w:p w14:paraId="2029727E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Czas rozkładania</w:t>
            </w:r>
            <w:r w:rsidRPr="00346FF0">
              <w:rPr>
                <w:rFonts w:asciiTheme="majorHAnsi" w:hAnsiTheme="majorHAnsi" w:cstheme="majorHAnsi"/>
              </w:rPr>
              <w:t>: maksymalnie 2 minuty.</w:t>
            </w:r>
          </w:p>
          <w:p w14:paraId="711A0671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System stabilizacji</w:t>
            </w:r>
            <w:r w:rsidRPr="00346FF0">
              <w:rPr>
                <w:rFonts w:asciiTheme="majorHAnsi" w:hAnsiTheme="majorHAnsi" w:cstheme="majorHAnsi"/>
              </w:rPr>
              <w:t>: podpory lub stabilne nóżki zapobiegające przewróceniu.</w:t>
            </w:r>
          </w:p>
          <w:p w14:paraId="0E75FF83" w14:textId="77777777" w:rsidR="00E20707" w:rsidRPr="00346FF0" w:rsidRDefault="00E20707" w:rsidP="00E20707">
            <w:pPr>
              <w:pStyle w:val="Standard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Certyfikaty</w:t>
            </w:r>
            <w:r w:rsidRPr="00346FF0">
              <w:rPr>
                <w:rFonts w:asciiTheme="majorHAnsi" w:hAnsiTheme="majorHAnsi" w:cstheme="majorHAnsi"/>
              </w:rPr>
              <w:t>: CE, dopuszczenie do użytkowania w UE.</w:t>
            </w:r>
          </w:p>
          <w:p w14:paraId="5FD7EBC7" w14:textId="77777777" w:rsidR="00E20707" w:rsidRPr="00346FF0" w:rsidRDefault="00E20707" w:rsidP="00E20707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3. Wyposażenie dodatkowe</w:t>
            </w:r>
          </w:p>
          <w:p w14:paraId="797D0B0E" w14:textId="77777777" w:rsidR="00E20707" w:rsidRPr="00346FF0" w:rsidRDefault="00E20707" w:rsidP="00E20707">
            <w:pPr>
              <w:pStyle w:val="Standard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Walizka / torba transportowa.</w:t>
            </w:r>
          </w:p>
          <w:p w14:paraId="4D1E0927" w14:textId="77777777" w:rsidR="00E20707" w:rsidRPr="00346FF0" w:rsidRDefault="00E20707" w:rsidP="00E20707">
            <w:pPr>
              <w:pStyle w:val="Standard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Zestaw przewodów do ładowania (230 V oraz 12/24 V).</w:t>
            </w:r>
          </w:p>
          <w:p w14:paraId="252A9460" w14:textId="3A7610A6" w:rsidR="00B726D6" w:rsidRPr="00346FF0" w:rsidRDefault="00E20707" w:rsidP="004561CF">
            <w:pPr>
              <w:pStyle w:val="Standard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Instrukcja obsługi w języku polskim.</w:t>
            </w:r>
          </w:p>
        </w:tc>
      </w:tr>
      <w:tr w:rsidR="00B726D6" w:rsidRPr="00346FF0" w14:paraId="1746F4E9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F40710" w14:textId="327F6EA1" w:rsidR="00B726D6" w:rsidRPr="00346FF0" w:rsidRDefault="008D23AC" w:rsidP="00B726D6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lastRenderedPageBreak/>
              <w:t>6.2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E59C1A7" w14:textId="3797402A" w:rsidR="00B726D6" w:rsidRPr="00346FF0" w:rsidRDefault="008D23AC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Parawan ochronny 1 szt.:</w:t>
            </w:r>
          </w:p>
          <w:p w14:paraId="1F5B4894" w14:textId="5FB8C5D2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Konstrukcja parawanu składana, składająca się z 4 segmentów połączonych przegubami.</w:t>
            </w:r>
          </w:p>
          <w:p w14:paraId="0BFC0D84" w14:textId="4E8A0106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Wymiary segmentów: min. 160 × 160 cm każdy (dopuszcza się wersję 180 × 180 cm).</w:t>
            </w:r>
          </w:p>
          <w:p w14:paraId="5F9F39D2" w14:textId="1F562710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Materiał pokrycia: tkanina wodoodporna (min. 2500–5000 mm słupa wody), trudnopalna, odporna na uszkodzenia mechaniczne.</w:t>
            </w:r>
          </w:p>
          <w:p w14:paraId="7A7A2851" w14:textId="47254929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Stelaż: wykonany z włókna szklanego z aluminiowymi łącznikami.</w:t>
            </w:r>
          </w:p>
          <w:p w14:paraId="3B69B55F" w14:textId="7C747425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Stabilizacja: stopki stalowe/malowane zapobiegające przewróceniu, uchwyt pomocniczy do rozkładania.</w:t>
            </w:r>
          </w:p>
          <w:p w14:paraId="615FC06C" w14:textId="1A98AFDF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Czas rozstawienia: nie dłuższy niż 1 minuta (preferowane ok. 40 sekund).</w:t>
            </w:r>
          </w:p>
          <w:p w14:paraId="3165D0F1" w14:textId="6E9FBE5F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Waga: nie większa niż 7,5 kg (dla wersji 160 × 160 cm ≤ 5 kg).</w:t>
            </w:r>
          </w:p>
          <w:p w14:paraId="2A0D81FF" w14:textId="015743D8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Wymiary transportowe: umożliwiające przenoszenie przez jedną osobę, wymiary po spakowaniu ok. 20 × 20 × 130 cm.</w:t>
            </w:r>
          </w:p>
          <w:p w14:paraId="6340E24F" w14:textId="0BD2565E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Torba transportowa: w zestawie, wykonana z materiału odpornego na uszkodzenia.</w:t>
            </w:r>
          </w:p>
          <w:p w14:paraId="4B36E643" w14:textId="1F47FDAA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Elementy odblaskowe: taśmy odblaskowe zapewniające widoczność w nocy i przy złej pogodzie.</w:t>
            </w:r>
          </w:p>
          <w:p w14:paraId="142C71F5" w14:textId="04F32D47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Kolorystyka: czerwony.</w:t>
            </w:r>
          </w:p>
          <w:p w14:paraId="081C80C6" w14:textId="1A87E231" w:rsidR="008D23AC" w:rsidRPr="00346FF0" w:rsidRDefault="008D23AC" w:rsidP="008D23AC">
            <w:pPr>
              <w:pStyle w:val="Standard"/>
              <w:numPr>
                <w:ilvl w:val="1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Oznakowanie: napis „STRAŻ” (lub inne zgodnie z uzgodnieniem).</w:t>
            </w:r>
          </w:p>
          <w:p w14:paraId="56BFCDCC" w14:textId="3DA759D3" w:rsidR="008D23AC" w:rsidRPr="00346FF0" w:rsidRDefault="008D23AC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</w:p>
        </w:tc>
      </w:tr>
      <w:tr w:rsidR="00B726D6" w:rsidRPr="00346FF0" w14:paraId="0760090C" w14:textId="77777777" w:rsidTr="00B726D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35478A" w14:textId="698DDB7C" w:rsidR="00B726D6" w:rsidRPr="00346FF0" w:rsidRDefault="001E0C3D" w:rsidP="00B726D6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6.3</w:t>
            </w:r>
          </w:p>
        </w:tc>
        <w:tc>
          <w:tcPr>
            <w:tcW w:w="13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9823121" w14:textId="77777777" w:rsidR="001E0C3D" w:rsidRPr="00346FF0" w:rsidRDefault="001E0C3D" w:rsidP="001E0C3D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46FF0">
              <w:rPr>
                <w:rFonts w:asciiTheme="majorHAnsi" w:hAnsiTheme="majorHAnsi" w:cstheme="majorHAnsi"/>
                <w:b/>
                <w:bCs/>
              </w:rPr>
              <w:t>Miernik wielogazowy – 2 szt.</w:t>
            </w:r>
          </w:p>
          <w:p w14:paraId="0100B352" w14:textId="0002970E" w:rsidR="001E0C3D" w:rsidRPr="00346FF0" w:rsidRDefault="001E0C3D" w:rsidP="001E0C3D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Wymagania techniczne</w:t>
            </w:r>
          </w:p>
          <w:p w14:paraId="12EC065E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Rodzaj urządzenia: przenośny miernik wielogazowy 4-gazowy lub 5-gazowy.</w:t>
            </w:r>
          </w:p>
          <w:p w14:paraId="03BCF2C2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Zakres pomiaru – minimum:</w:t>
            </w:r>
          </w:p>
          <w:p w14:paraId="02B9BAB5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O₂ (tlen): 0–25% obj.</w:t>
            </w:r>
          </w:p>
          <w:p w14:paraId="2A3C72C1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CO (tlenek węgla): 0–2000 ppm</w:t>
            </w:r>
          </w:p>
          <w:p w14:paraId="6C0B32C3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H₂S (siarkowodór): 0–200 ppm</w:t>
            </w:r>
          </w:p>
          <w:p w14:paraId="04A75778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CH₄ / LEL (gazy wybuchowe): 0–100% DGW</w:t>
            </w:r>
          </w:p>
          <w:p w14:paraId="22D352C3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Możliwość konfiguracji dodatkowej (opcjonalnie w wersjach 5-gazowych): SO₂, NO₂, VOC (PID).</w:t>
            </w:r>
          </w:p>
          <w:p w14:paraId="201AD736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lastRenderedPageBreak/>
              <w:t>Dokładność pomiarów: zgodna z normą EN 60079, EN 45544 oraz wymaganiami CNBOP.</w:t>
            </w:r>
          </w:p>
          <w:p w14:paraId="40BEFA53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Czas pracy na akumulatorze: min. 12 h w trybie ciągłym (preferowane ≥18 h).</w:t>
            </w:r>
          </w:p>
          <w:p w14:paraId="79961578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Typ akumulatora: Li-ion, wbudowany lub wymienny, z możliwością ładowania sieciowego (230 V AC) i samochodowego (12/24 V DC).</w:t>
            </w:r>
          </w:p>
          <w:p w14:paraId="0DC29C33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Obudowa i ochrona:</w:t>
            </w:r>
          </w:p>
          <w:p w14:paraId="7DEF10E3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klasa szczelności min. IP67 (odporność na pył i krótkotrwałe zanurzenie w wodzie),</w:t>
            </w:r>
          </w:p>
          <w:p w14:paraId="5767D5CA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odporność na upadek z wysokości min. 1,5 m,</w:t>
            </w:r>
          </w:p>
          <w:p w14:paraId="45819401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obudowa ergonomiczna, umożliwiająca obsługę w rękawicach strażackich.</w:t>
            </w:r>
          </w:p>
          <w:p w14:paraId="1717BA3D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Alarmy: sygnał optyczny, akustyczny i wibracyjny.</w:t>
            </w:r>
          </w:p>
          <w:p w14:paraId="045081C4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Interfejs: wyświetlacz LCD/LED z podświetleniem, wskazania wartości chwilowych i alarmowych.</w:t>
            </w:r>
          </w:p>
          <w:p w14:paraId="1F8EFA3F" w14:textId="77777777" w:rsidR="001E0C3D" w:rsidRPr="00346FF0" w:rsidRDefault="001E0C3D" w:rsidP="001E0C3D">
            <w:pPr>
              <w:pStyle w:val="Standard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Dopuszczenia i certyfikaty:</w:t>
            </w:r>
          </w:p>
          <w:p w14:paraId="4B2305A6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CNBOP-PIB (dopuszczenie do stosowania w PSP),</w:t>
            </w:r>
          </w:p>
          <w:p w14:paraId="199C8514" w14:textId="77777777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ATEX – dopuszczenie do pracy w strefach zagrożenia wybuchem,</w:t>
            </w:r>
          </w:p>
          <w:p w14:paraId="0B062FAF" w14:textId="1458CFEE" w:rsidR="001E0C3D" w:rsidRPr="00346FF0" w:rsidRDefault="001E0C3D" w:rsidP="00CB0B4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346FF0">
              <w:rPr>
                <w:rFonts w:asciiTheme="majorHAnsi" w:hAnsiTheme="majorHAnsi" w:cstheme="majorHAnsi"/>
              </w:rPr>
              <w:t>CE.</w:t>
            </w:r>
          </w:p>
        </w:tc>
      </w:tr>
    </w:tbl>
    <w:p w14:paraId="41D18B02" w14:textId="77777777" w:rsidR="009D6A6A" w:rsidRPr="00346FF0" w:rsidRDefault="009D6A6A">
      <w:pPr>
        <w:pStyle w:val="Standard"/>
        <w:tabs>
          <w:tab w:val="left" w:pos="284"/>
        </w:tabs>
        <w:spacing w:after="60"/>
        <w:rPr>
          <w:rFonts w:asciiTheme="majorHAnsi" w:hAnsiTheme="majorHAnsi" w:cstheme="majorHAnsi"/>
        </w:rPr>
      </w:pPr>
    </w:p>
    <w:sectPr w:rsidR="009D6A6A" w:rsidRPr="00346FF0">
      <w:headerReference w:type="default" r:id="rId12"/>
      <w:footerReference w:type="default" r:id="rId13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0342" w14:textId="77777777" w:rsidR="00BC4109" w:rsidRDefault="00BC4109">
      <w:r>
        <w:separator/>
      </w:r>
    </w:p>
  </w:endnote>
  <w:endnote w:type="continuationSeparator" w:id="0">
    <w:p w14:paraId="2237A81E" w14:textId="77777777" w:rsidR="00BC4109" w:rsidRDefault="00BC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roid Sans">
    <w:altName w:val="Yu Gothic"/>
    <w:charset w:val="80"/>
    <w:family w:val="auto"/>
    <w:pitch w:val="variable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05D2" w14:textId="77777777" w:rsidR="000C3222" w:rsidRDefault="005146D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163BA6">
      <w:rPr>
        <w:noProof/>
      </w:rPr>
      <w:t>6</w:t>
    </w:r>
    <w:r>
      <w:fldChar w:fldCharType="end"/>
    </w:r>
  </w:p>
  <w:p w14:paraId="28AB0C34" w14:textId="77777777" w:rsidR="000C3222" w:rsidRDefault="000C3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7A93" w14:textId="77777777" w:rsidR="00BC4109" w:rsidRDefault="00BC4109">
      <w:r>
        <w:separator/>
      </w:r>
    </w:p>
  </w:footnote>
  <w:footnote w:type="continuationSeparator" w:id="0">
    <w:p w14:paraId="5E56BD0F" w14:textId="77777777" w:rsidR="00BC4109" w:rsidRDefault="00BC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92A2" w14:textId="65509906" w:rsidR="00DF3986" w:rsidRPr="00346FF0" w:rsidRDefault="00DF3986">
    <w:pPr>
      <w:pStyle w:val="Nagwek"/>
      <w:rPr>
        <w:rFonts w:asciiTheme="majorHAnsi" w:hAnsiTheme="majorHAnsi" w:cstheme="majorHAnsi"/>
      </w:rPr>
    </w:pPr>
    <w:r w:rsidRPr="00346FF0">
      <w:rPr>
        <w:rFonts w:asciiTheme="majorHAnsi" w:hAnsiTheme="majorHAnsi" w:cstheme="majorHAnsi"/>
      </w:rPr>
      <w:t xml:space="preserve">PT.2370.4.2025                                                                                                                                                                                                                                             </w:t>
    </w:r>
    <w:r w:rsidR="00346FF0">
      <w:rPr>
        <w:rFonts w:asciiTheme="majorHAnsi" w:hAnsiTheme="majorHAnsi" w:cstheme="majorHAnsi"/>
      </w:rPr>
      <w:t xml:space="preserve">                   </w:t>
    </w:r>
    <w:r w:rsidRPr="00346FF0">
      <w:rPr>
        <w:rFonts w:asciiTheme="majorHAnsi" w:hAnsiTheme="majorHAnsi" w:cstheme="majorHAnsi"/>
      </w:rPr>
      <w:t xml:space="preserve">   Załącznik nr 1A do SWZ</w:t>
    </w:r>
  </w:p>
  <w:p w14:paraId="5E76442D" w14:textId="77777777" w:rsidR="000C3222" w:rsidRDefault="000C3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4D4"/>
    <w:multiLevelType w:val="multilevel"/>
    <w:tmpl w:val="2220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0453C"/>
    <w:multiLevelType w:val="multilevel"/>
    <w:tmpl w:val="96C0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7452"/>
    <w:multiLevelType w:val="multilevel"/>
    <w:tmpl w:val="67E09B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-2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46" w:hanging="720"/>
      </w:pPr>
    </w:lvl>
    <w:lvl w:ilvl="2">
      <w:start w:val="1"/>
      <w:numFmt w:val="decimal"/>
      <w:lvlText w:val="%1.%2.%3."/>
      <w:lvlJc w:val="left"/>
      <w:pPr>
        <w:ind w:left="627" w:hanging="720"/>
      </w:pPr>
    </w:lvl>
    <w:lvl w:ilvl="3">
      <w:start w:val="1"/>
      <w:numFmt w:val="decimal"/>
      <w:lvlText w:val="%1.%2.%3.%4."/>
      <w:lvlJc w:val="left"/>
      <w:pPr>
        <w:ind w:left="1268" w:hanging="1080"/>
      </w:pPr>
    </w:lvl>
    <w:lvl w:ilvl="4">
      <w:start w:val="1"/>
      <w:numFmt w:val="decimal"/>
      <w:lvlText w:val="%1.%2.%3.%4.%5."/>
      <w:lvlJc w:val="left"/>
      <w:pPr>
        <w:ind w:left="1909" w:hanging="1440"/>
      </w:pPr>
    </w:lvl>
    <w:lvl w:ilvl="5">
      <w:start w:val="1"/>
      <w:numFmt w:val="decimal"/>
      <w:lvlText w:val="%1.%2.%3.%4.%5.%6."/>
      <w:lvlJc w:val="left"/>
      <w:pPr>
        <w:ind w:left="2190" w:hanging="1440"/>
      </w:pPr>
    </w:lvl>
    <w:lvl w:ilvl="6">
      <w:start w:val="1"/>
      <w:numFmt w:val="decimal"/>
      <w:lvlText w:val="%1.%2.%3.%4.%5.%6.%7."/>
      <w:lvlJc w:val="left"/>
      <w:pPr>
        <w:ind w:left="2831" w:hanging="1800"/>
      </w:pPr>
    </w:lvl>
    <w:lvl w:ilvl="7">
      <w:start w:val="1"/>
      <w:numFmt w:val="decimal"/>
      <w:lvlText w:val="%1.%2.%3.%4.%5.%6.%7.%8."/>
      <w:lvlJc w:val="left"/>
      <w:pPr>
        <w:ind w:left="3472" w:hanging="2160"/>
      </w:pPr>
    </w:lvl>
    <w:lvl w:ilvl="8">
      <w:start w:val="1"/>
      <w:numFmt w:val="decimal"/>
      <w:lvlText w:val="%1.%2.%3.%4.%5.%6.%7.%8.%9."/>
      <w:lvlJc w:val="left"/>
      <w:pPr>
        <w:ind w:left="3753" w:hanging="2160"/>
      </w:pPr>
    </w:lvl>
  </w:abstractNum>
  <w:abstractNum w:abstractNumId="4" w15:restartNumberingAfterBreak="0">
    <w:nsid w:val="177D4E2F"/>
    <w:multiLevelType w:val="multilevel"/>
    <w:tmpl w:val="496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5746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5386" w:hanging="360"/>
      </w:pPr>
    </w:lvl>
    <w:lvl w:ilvl="2">
      <w:start w:val="1"/>
      <w:numFmt w:val="decimal"/>
      <w:lvlText w:val="%3."/>
      <w:lvlJc w:val="left"/>
      <w:pPr>
        <w:ind w:left="5746" w:hanging="360"/>
      </w:pPr>
    </w:lvl>
    <w:lvl w:ilvl="3">
      <w:start w:val="1"/>
      <w:numFmt w:val="decimal"/>
      <w:lvlText w:val="%4."/>
      <w:lvlJc w:val="left"/>
      <w:pPr>
        <w:ind w:left="6106" w:hanging="360"/>
      </w:pPr>
    </w:lvl>
    <w:lvl w:ilvl="4">
      <w:start w:val="1"/>
      <w:numFmt w:val="decimal"/>
      <w:lvlText w:val="%5."/>
      <w:lvlJc w:val="left"/>
      <w:pPr>
        <w:ind w:left="6466" w:hanging="360"/>
      </w:pPr>
    </w:lvl>
    <w:lvl w:ilvl="5">
      <w:start w:val="1"/>
      <w:numFmt w:val="decimal"/>
      <w:lvlText w:val="%6."/>
      <w:lvlJc w:val="left"/>
      <w:pPr>
        <w:ind w:left="6826" w:hanging="360"/>
      </w:pPr>
    </w:lvl>
    <w:lvl w:ilvl="6">
      <w:start w:val="1"/>
      <w:numFmt w:val="decimal"/>
      <w:lvlText w:val="%7."/>
      <w:lvlJc w:val="left"/>
      <w:pPr>
        <w:ind w:left="7186" w:hanging="360"/>
      </w:pPr>
    </w:lvl>
    <w:lvl w:ilvl="7">
      <w:start w:val="1"/>
      <w:numFmt w:val="decimal"/>
      <w:lvlText w:val="%8."/>
      <w:lvlJc w:val="left"/>
      <w:pPr>
        <w:ind w:left="7546" w:hanging="360"/>
      </w:pPr>
    </w:lvl>
    <w:lvl w:ilvl="8">
      <w:start w:val="1"/>
      <w:numFmt w:val="decimal"/>
      <w:lvlText w:val="%9."/>
      <w:lvlJc w:val="left"/>
      <w:pPr>
        <w:ind w:left="7906" w:hanging="360"/>
      </w:pPr>
    </w:lvl>
  </w:abstractNum>
  <w:abstractNum w:abstractNumId="6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02A07"/>
    <w:multiLevelType w:val="hybridMultilevel"/>
    <w:tmpl w:val="F326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E0A178F"/>
    <w:multiLevelType w:val="multilevel"/>
    <w:tmpl w:val="F240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B1D4F"/>
    <w:multiLevelType w:val="multilevel"/>
    <w:tmpl w:val="36E4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F12"/>
    <w:multiLevelType w:val="multilevel"/>
    <w:tmpl w:val="5104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FD4032"/>
    <w:multiLevelType w:val="multilevel"/>
    <w:tmpl w:val="F7D42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878F0"/>
    <w:multiLevelType w:val="multilevel"/>
    <w:tmpl w:val="65A60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45918"/>
    <w:multiLevelType w:val="multilevel"/>
    <w:tmpl w:val="4DF2C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939CD"/>
    <w:multiLevelType w:val="multilevel"/>
    <w:tmpl w:val="664E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12439">
    <w:abstractNumId w:val="3"/>
  </w:num>
  <w:num w:numId="2" w16cid:durableId="912083895">
    <w:abstractNumId w:val="8"/>
  </w:num>
  <w:num w:numId="3" w16cid:durableId="87042164">
    <w:abstractNumId w:val="15"/>
  </w:num>
  <w:num w:numId="4" w16cid:durableId="511459638">
    <w:abstractNumId w:val="5"/>
  </w:num>
  <w:num w:numId="5" w16cid:durableId="818152965">
    <w:abstractNumId w:val="6"/>
  </w:num>
  <w:num w:numId="6" w16cid:durableId="411270989">
    <w:abstractNumId w:val="16"/>
  </w:num>
  <w:num w:numId="7" w16cid:durableId="1684472323">
    <w:abstractNumId w:val="18"/>
  </w:num>
  <w:num w:numId="8" w16cid:durableId="979458283">
    <w:abstractNumId w:val="11"/>
  </w:num>
  <w:num w:numId="9" w16cid:durableId="163404277">
    <w:abstractNumId w:val="14"/>
  </w:num>
  <w:num w:numId="10" w16cid:durableId="1886066452">
    <w:abstractNumId w:val="9"/>
  </w:num>
  <w:num w:numId="11" w16cid:durableId="1784691195">
    <w:abstractNumId w:val="7"/>
  </w:num>
  <w:num w:numId="12" w16cid:durableId="1842966709">
    <w:abstractNumId w:val="23"/>
  </w:num>
  <w:num w:numId="13" w16cid:durableId="1735468781">
    <w:abstractNumId w:val="2"/>
  </w:num>
  <w:num w:numId="14" w16cid:durableId="197665238">
    <w:abstractNumId w:val="10"/>
  </w:num>
  <w:num w:numId="15" w16cid:durableId="323048306">
    <w:abstractNumId w:val="20"/>
  </w:num>
  <w:num w:numId="16" w16cid:durableId="60561774">
    <w:abstractNumId w:val="1"/>
  </w:num>
  <w:num w:numId="17" w16cid:durableId="1302733695">
    <w:abstractNumId w:val="13"/>
  </w:num>
  <w:num w:numId="18" w16cid:durableId="872620870">
    <w:abstractNumId w:val="4"/>
  </w:num>
  <w:num w:numId="19" w16cid:durableId="81223063">
    <w:abstractNumId w:val="22"/>
  </w:num>
  <w:num w:numId="20" w16cid:durableId="792555530">
    <w:abstractNumId w:val="17"/>
  </w:num>
  <w:num w:numId="21" w16cid:durableId="1042368959">
    <w:abstractNumId w:val="21"/>
  </w:num>
  <w:num w:numId="22" w16cid:durableId="1090546618">
    <w:abstractNumId w:val="19"/>
  </w:num>
  <w:num w:numId="23" w16cid:durableId="787628841">
    <w:abstractNumId w:val="0"/>
  </w:num>
  <w:num w:numId="24" w16cid:durableId="740256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22"/>
    <w:rsid w:val="00003008"/>
    <w:rsid w:val="000031DC"/>
    <w:rsid w:val="000044AC"/>
    <w:rsid w:val="00006D43"/>
    <w:rsid w:val="00012F1D"/>
    <w:rsid w:val="00015236"/>
    <w:rsid w:val="0001535F"/>
    <w:rsid w:val="00057F30"/>
    <w:rsid w:val="0006358D"/>
    <w:rsid w:val="000710CF"/>
    <w:rsid w:val="00074AD6"/>
    <w:rsid w:val="00074EC9"/>
    <w:rsid w:val="000C3222"/>
    <w:rsid w:val="001042CF"/>
    <w:rsid w:val="00112C36"/>
    <w:rsid w:val="00153053"/>
    <w:rsid w:val="00163BA6"/>
    <w:rsid w:val="001810CE"/>
    <w:rsid w:val="00193342"/>
    <w:rsid w:val="00195483"/>
    <w:rsid w:val="001A03C7"/>
    <w:rsid w:val="001A4FF9"/>
    <w:rsid w:val="001B3226"/>
    <w:rsid w:val="001B71A5"/>
    <w:rsid w:val="001D73A7"/>
    <w:rsid w:val="001E0C3D"/>
    <w:rsid w:val="00201AF1"/>
    <w:rsid w:val="00222B75"/>
    <w:rsid w:val="00226870"/>
    <w:rsid w:val="0024144B"/>
    <w:rsid w:val="00242952"/>
    <w:rsid w:val="002461E2"/>
    <w:rsid w:val="00251C3D"/>
    <w:rsid w:val="00263829"/>
    <w:rsid w:val="002958C1"/>
    <w:rsid w:val="002A1E9B"/>
    <w:rsid w:val="002C000A"/>
    <w:rsid w:val="002C5181"/>
    <w:rsid w:val="003157A1"/>
    <w:rsid w:val="00325998"/>
    <w:rsid w:val="00346FF0"/>
    <w:rsid w:val="0036515F"/>
    <w:rsid w:val="0038149D"/>
    <w:rsid w:val="00396054"/>
    <w:rsid w:val="003B2F1B"/>
    <w:rsid w:val="003E3AEC"/>
    <w:rsid w:val="0040368F"/>
    <w:rsid w:val="004163BC"/>
    <w:rsid w:val="0042700A"/>
    <w:rsid w:val="0043650D"/>
    <w:rsid w:val="004543CC"/>
    <w:rsid w:val="004561CF"/>
    <w:rsid w:val="0048339F"/>
    <w:rsid w:val="004853B6"/>
    <w:rsid w:val="0049335A"/>
    <w:rsid w:val="004D35A7"/>
    <w:rsid w:val="004D76EA"/>
    <w:rsid w:val="005146D2"/>
    <w:rsid w:val="00520070"/>
    <w:rsid w:val="00520933"/>
    <w:rsid w:val="00520AB9"/>
    <w:rsid w:val="00526877"/>
    <w:rsid w:val="005430D5"/>
    <w:rsid w:val="00553731"/>
    <w:rsid w:val="00565466"/>
    <w:rsid w:val="00572CCC"/>
    <w:rsid w:val="00580C99"/>
    <w:rsid w:val="00583FC7"/>
    <w:rsid w:val="00590C1C"/>
    <w:rsid w:val="005C38EE"/>
    <w:rsid w:val="005D34FD"/>
    <w:rsid w:val="005F4320"/>
    <w:rsid w:val="006070FE"/>
    <w:rsid w:val="00675C82"/>
    <w:rsid w:val="006A3A12"/>
    <w:rsid w:val="006B1853"/>
    <w:rsid w:val="006B5EC5"/>
    <w:rsid w:val="007143A9"/>
    <w:rsid w:val="00714BE4"/>
    <w:rsid w:val="00736901"/>
    <w:rsid w:val="00757652"/>
    <w:rsid w:val="00795F50"/>
    <w:rsid w:val="007A180A"/>
    <w:rsid w:val="007B5AD1"/>
    <w:rsid w:val="00867B75"/>
    <w:rsid w:val="0088016A"/>
    <w:rsid w:val="008B3885"/>
    <w:rsid w:val="008C739F"/>
    <w:rsid w:val="008D23AC"/>
    <w:rsid w:val="008E49DD"/>
    <w:rsid w:val="009029DA"/>
    <w:rsid w:val="00923A0E"/>
    <w:rsid w:val="0095636E"/>
    <w:rsid w:val="009779E9"/>
    <w:rsid w:val="009B102A"/>
    <w:rsid w:val="009B58C0"/>
    <w:rsid w:val="009C5261"/>
    <w:rsid w:val="009D6A6A"/>
    <w:rsid w:val="009D7133"/>
    <w:rsid w:val="009E08FF"/>
    <w:rsid w:val="00A02C93"/>
    <w:rsid w:val="00A06146"/>
    <w:rsid w:val="00A421B5"/>
    <w:rsid w:val="00A45FF8"/>
    <w:rsid w:val="00A67878"/>
    <w:rsid w:val="00A71784"/>
    <w:rsid w:val="00A9268A"/>
    <w:rsid w:val="00AB25CC"/>
    <w:rsid w:val="00B013BA"/>
    <w:rsid w:val="00B25FCF"/>
    <w:rsid w:val="00B30EDB"/>
    <w:rsid w:val="00B46A24"/>
    <w:rsid w:val="00B566FC"/>
    <w:rsid w:val="00B61683"/>
    <w:rsid w:val="00B726D6"/>
    <w:rsid w:val="00B81810"/>
    <w:rsid w:val="00B87146"/>
    <w:rsid w:val="00B94729"/>
    <w:rsid w:val="00BB4DEA"/>
    <w:rsid w:val="00BC21A3"/>
    <w:rsid w:val="00BC4109"/>
    <w:rsid w:val="00BE16AC"/>
    <w:rsid w:val="00C70784"/>
    <w:rsid w:val="00C93BBC"/>
    <w:rsid w:val="00CA1C09"/>
    <w:rsid w:val="00CB0B4F"/>
    <w:rsid w:val="00CC153B"/>
    <w:rsid w:val="00CC30E8"/>
    <w:rsid w:val="00CD47F6"/>
    <w:rsid w:val="00CF0A70"/>
    <w:rsid w:val="00CF7523"/>
    <w:rsid w:val="00D106B7"/>
    <w:rsid w:val="00D2212B"/>
    <w:rsid w:val="00D427C1"/>
    <w:rsid w:val="00D53BBF"/>
    <w:rsid w:val="00D556A8"/>
    <w:rsid w:val="00D77FD2"/>
    <w:rsid w:val="00D90FD5"/>
    <w:rsid w:val="00DF3986"/>
    <w:rsid w:val="00E1539C"/>
    <w:rsid w:val="00E20707"/>
    <w:rsid w:val="00E27F5D"/>
    <w:rsid w:val="00E673E9"/>
    <w:rsid w:val="00E92423"/>
    <w:rsid w:val="00EA411E"/>
    <w:rsid w:val="00EB3281"/>
    <w:rsid w:val="00EE0108"/>
    <w:rsid w:val="00EE2849"/>
    <w:rsid w:val="00F02DC7"/>
    <w:rsid w:val="00F31457"/>
    <w:rsid w:val="00F37E4B"/>
    <w:rsid w:val="00F4594D"/>
    <w:rsid w:val="00F5549C"/>
    <w:rsid w:val="00F60D2E"/>
    <w:rsid w:val="00F65351"/>
    <w:rsid w:val="00FA753D"/>
    <w:rsid w:val="00FE0153"/>
    <w:rsid w:val="00FE027B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D4BA"/>
  <w15:docId w15:val="{9E603CE1-12CC-4847-9CEA-5B69946D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FontStyle15">
    <w:name w:val="Font Style15"/>
    <w:qFormat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opkaZnak">
    <w:name w:val="Stopka Znak"/>
    <w:basedOn w:val="Domylnaczcionkaakapitu"/>
    <w:qFormat/>
  </w:style>
  <w:style w:type="character" w:customStyle="1" w:styleId="st">
    <w:name w:val="st"/>
    <w:basedOn w:val="Domylnaczcionkaakapitu"/>
    <w:qFormat/>
  </w:style>
  <w:style w:type="character" w:customStyle="1" w:styleId="TytuZnak">
    <w:name w:val="Tytuł Znak"/>
    <w:qFormat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ZwykytekstZnak">
    <w:name w:val="Zwykły tekst Znak"/>
    <w:qFormat/>
    <w:rPr>
      <w:rFonts w:ascii="Courier New" w:hAnsi="Courier New"/>
      <w:lang w:eastAsia="en-US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qFormat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</w:style>
  <w:style w:type="character" w:styleId="Odwoaniedokomentarza">
    <w:name w:val="annotation reference"/>
    <w:qFormat/>
    <w:rPr>
      <w:sz w:val="18"/>
      <w:szCs w:val="18"/>
    </w:rPr>
  </w:style>
  <w:style w:type="character" w:customStyle="1" w:styleId="TekstkomentarzaZnak">
    <w:name w:val="Tekst komentarza Znak"/>
    <w:qFormat/>
    <w:rPr>
      <w:sz w:val="24"/>
      <w:szCs w:val="24"/>
    </w:rPr>
  </w:style>
  <w:style w:type="character" w:customStyle="1" w:styleId="TematkomentarzaZnak">
    <w:name w:val="Temat komentarza Znak"/>
    <w:qFormat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Nagwek3Znak">
    <w:name w:val="Nagłówek 3 Znak"/>
    <w:qFormat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Pr>
      <w:color w:val="0000FF"/>
      <w:u w:val="single" w:color="000000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rFonts w:cs="Times New Roman"/>
      <w:b w:val="0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 w:val="0"/>
      <w:bCs w:val="0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  <w:b w:val="0"/>
      <w:bCs w:val="0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  <w:b w:val="0"/>
      <w:bCs w:val="0"/>
    </w:rPr>
  </w:style>
  <w:style w:type="character" w:customStyle="1" w:styleId="ListLabel123">
    <w:name w:val="ListLabel 123"/>
    <w:qFormat/>
    <w:rPr>
      <w:rFonts w:eastAsia="Times New Roman" w:cs="Times New Roman"/>
      <w:color w:val="00000A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eastAsia="Times New Roman" w:cs="Times New Roman"/>
    </w:rPr>
  </w:style>
  <w:style w:type="character" w:customStyle="1" w:styleId="ListLabel128">
    <w:name w:val="ListLabel 128"/>
    <w:qFormat/>
    <w:rPr>
      <w:rFonts w:eastAsia="Times New Roman" w:cs="Times New Roman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eastAsia="Times New Roman" w:cs="Times New Roman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eastAsia="Times New Roman" w:cs="Times New Roman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eastAsia="Times New Roman" w:cs="Times New Roman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eastAsia="Times New Roman" w:cs="Times New Roman"/>
      <w:color w:val="00000A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eastAsia="Times New Roman" w:cs="Times New Roma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b w:val="0"/>
    </w:rPr>
  </w:style>
  <w:style w:type="character" w:customStyle="1" w:styleId="ListLabel154">
    <w:name w:val="ListLabel 154"/>
    <w:qFormat/>
    <w:rPr>
      <w:b w:val="0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eastAsia="Times New Roman" w:cs="Times New Roman"/>
    </w:rPr>
  </w:style>
  <w:style w:type="character" w:customStyle="1" w:styleId="ListLabel157">
    <w:name w:val="ListLabel 157"/>
    <w:qFormat/>
    <w:rPr>
      <w:rFonts w:eastAsia="Times New Roman"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Pr>
      <w:rFonts w:cs="Times New Roman"/>
      <w:color w:val="000000"/>
    </w:rPr>
  </w:style>
  <w:style w:type="character" w:customStyle="1" w:styleId="ListLabel171">
    <w:name w:val="ListLabel 171"/>
    <w:qFormat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Pr>
      <w:b/>
      <w:bCs/>
    </w:rPr>
  </w:style>
  <w:style w:type="character" w:customStyle="1" w:styleId="ListLabel172">
    <w:name w:val="ListLabel 172"/>
    <w:qFormat/>
    <w:rPr>
      <w:b w:val="0"/>
    </w:rPr>
  </w:style>
  <w:style w:type="character" w:customStyle="1" w:styleId="ListLabel173">
    <w:name w:val="ListLabel 173"/>
    <w:qFormat/>
    <w:rPr>
      <w:b/>
      <w:bCs/>
    </w:rPr>
  </w:style>
  <w:style w:type="character" w:customStyle="1" w:styleId="ListLabel174">
    <w:name w:val="ListLabel 174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Pr>
      <w:b/>
      <w:bCs/>
    </w:rPr>
  </w:style>
  <w:style w:type="character" w:customStyle="1" w:styleId="ListLabel180">
    <w:name w:val="ListLabel 180"/>
    <w:qFormat/>
    <w:rPr>
      <w:b/>
      <w:bCs/>
    </w:rPr>
  </w:style>
  <w:style w:type="character" w:customStyle="1" w:styleId="ListLabel181">
    <w:name w:val="ListLabel 181"/>
    <w:qFormat/>
    <w:rPr>
      <w:b/>
      <w:bCs/>
    </w:rPr>
  </w:style>
  <w:style w:type="character" w:customStyle="1" w:styleId="ListLabel182">
    <w:name w:val="ListLabel 182"/>
    <w:qFormat/>
    <w:rPr>
      <w:b/>
      <w:bCs/>
    </w:rPr>
  </w:style>
  <w:style w:type="character" w:customStyle="1" w:styleId="ListLabel183">
    <w:name w:val="ListLabel 183"/>
    <w:qFormat/>
    <w:rPr>
      <w:b/>
      <w:bCs/>
    </w:rPr>
  </w:style>
  <w:style w:type="character" w:customStyle="1" w:styleId="ListLabel184">
    <w:name w:val="ListLabel 184"/>
    <w:qFormat/>
    <w:rPr>
      <w:b/>
      <w:bCs/>
    </w:rPr>
  </w:style>
  <w:style w:type="character" w:customStyle="1" w:styleId="ListLabel185">
    <w:name w:val="ListLabel 185"/>
    <w:qFormat/>
    <w:rPr>
      <w:b/>
      <w:bCs/>
    </w:rPr>
  </w:style>
  <w:style w:type="character" w:customStyle="1" w:styleId="ListLabel186">
    <w:name w:val="ListLabel 186"/>
    <w:qFormat/>
    <w:rPr>
      <w:b/>
      <w:bCs/>
    </w:rPr>
  </w:style>
  <w:style w:type="character" w:customStyle="1" w:styleId="ListLabel187">
    <w:name w:val="ListLabel 187"/>
    <w:qFormat/>
    <w:rPr>
      <w:b/>
      <w:bCs/>
    </w:rPr>
  </w:style>
  <w:style w:type="character" w:customStyle="1" w:styleId="ListLabel188">
    <w:name w:val="ListLabel 188"/>
    <w:qFormat/>
    <w:rPr>
      <w:b/>
      <w:bCs/>
    </w:rPr>
  </w:style>
  <w:style w:type="character" w:customStyle="1" w:styleId="ListLabel189">
    <w:name w:val="ListLabel 189"/>
    <w:qFormat/>
    <w:rPr>
      <w:b/>
      <w:bCs/>
    </w:rPr>
  </w:style>
  <w:style w:type="character" w:customStyle="1" w:styleId="ListLabel190">
    <w:name w:val="ListLabel 190"/>
    <w:qFormat/>
    <w:rPr>
      <w:b/>
      <w:bCs/>
    </w:rPr>
  </w:style>
  <w:style w:type="character" w:customStyle="1" w:styleId="ListLabel191">
    <w:name w:val="ListLabel 191"/>
    <w:qFormat/>
    <w:rPr>
      <w:b/>
      <w:bCs/>
    </w:rPr>
  </w:style>
  <w:style w:type="character" w:customStyle="1" w:styleId="ListLabel192">
    <w:name w:val="ListLabel 192"/>
    <w:qFormat/>
    <w:rPr>
      <w:b/>
      <w:bCs/>
    </w:rPr>
  </w:style>
  <w:style w:type="character" w:customStyle="1" w:styleId="ListLabel193">
    <w:name w:val="ListLabel 193"/>
    <w:qFormat/>
    <w:rPr>
      <w:b/>
      <w:bCs/>
    </w:rPr>
  </w:style>
  <w:style w:type="character" w:customStyle="1" w:styleId="ListLabel194">
    <w:name w:val="ListLabel 194"/>
    <w:qFormat/>
    <w:rPr>
      <w:b/>
      <w:bCs/>
    </w:rPr>
  </w:style>
  <w:style w:type="character" w:customStyle="1" w:styleId="ListLabel195">
    <w:name w:val="ListLabel 195"/>
    <w:qFormat/>
    <w:rPr>
      <w:b/>
      <w:bCs/>
    </w:rPr>
  </w:style>
  <w:style w:type="character" w:customStyle="1" w:styleId="ListLabel196">
    <w:name w:val="ListLabel 196"/>
    <w:qFormat/>
    <w:rPr>
      <w:b/>
      <w:bCs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qFormat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pPr>
      <w:spacing w:after="120"/>
      <w:ind w:left="283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</w:style>
  <w:style w:type="paragraph" w:customStyle="1" w:styleId="Domylnie">
    <w:name w:val="Domyślnie"/>
    <w:qFormat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Pr>
      <w:rFonts w:ascii="Courier New" w:hAnsi="Courier New"/>
      <w:lang w:val="x-none" w:eastAsia="en-US"/>
    </w:rPr>
  </w:style>
  <w:style w:type="paragraph" w:customStyle="1" w:styleId="Akapitzlist2">
    <w:name w:val="Akapit z listą2"/>
    <w:basedOn w:val="Normalny"/>
    <w:qFormat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  <w:lang w:val="x-none" w:eastAsia="x-none"/>
    </w:rPr>
  </w:style>
  <w:style w:type="paragraph" w:customStyle="1" w:styleId="Teksttreci1">
    <w:name w:val="Tekst treści1"/>
    <w:basedOn w:val="Normalny"/>
    <w:qFormat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paragraph" w:customStyle="1" w:styleId="ChapterTitle">
    <w:name w:val="ChapterTitle"/>
    <w:basedOn w:val="Normalny"/>
    <w:qFormat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Pr>
      <w:sz w:val="24"/>
      <w:szCs w:val="24"/>
      <w:lang w:val="x-none" w:eastAsia="x-none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paragraph" w:styleId="NormalnyWeb">
    <w:name w:val="Normal (Web)"/>
    <w:basedOn w:val="Normalny"/>
    <w:uiPriority w:val="99"/>
    <w:semiHidden/>
    <w:unhideWhenUsed/>
    <w:rsid w:val="00E20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19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l.wikipedia.org/wiki/20_czerw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20_czerw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FF27-6006-48D4-8FE8-B7B1FC04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2217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I.Kmak-Błaszczuk (KP Brzeg)</cp:lastModifiedBy>
  <cp:revision>12</cp:revision>
  <cp:lastPrinted>2020-07-31T08:58:00Z</cp:lastPrinted>
  <dcterms:created xsi:type="dcterms:W3CDTF">2025-09-26T11:54:00Z</dcterms:created>
  <dcterms:modified xsi:type="dcterms:W3CDTF">2025-09-28T20:48:00Z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