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EAA8" w14:textId="77777777" w:rsidR="008357C2" w:rsidRPr="00E56406" w:rsidRDefault="008357C2" w:rsidP="000E6C69">
      <w:pPr>
        <w:jc w:val="both"/>
        <w:rPr>
          <w:rFonts w:asciiTheme="minorHAnsi" w:hAnsiTheme="minorHAnsi" w:cstheme="minorHAnsi"/>
          <w:sz w:val="24"/>
          <w:szCs w:val="24"/>
        </w:rPr>
      </w:pPr>
    </w:p>
    <w:p w14:paraId="61D97417" w14:textId="588A8526" w:rsidR="00BB0912" w:rsidRPr="00E56406" w:rsidRDefault="00BB0912" w:rsidP="000E6C69">
      <w:pPr>
        <w:jc w:val="both"/>
        <w:rPr>
          <w:rFonts w:asciiTheme="minorHAnsi" w:hAnsiTheme="minorHAnsi" w:cstheme="minorHAnsi"/>
          <w:sz w:val="24"/>
          <w:szCs w:val="24"/>
        </w:rPr>
      </w:pPr>
      <w:r w:rsidRPr="00E56406">
        <w:rPr>
          <w:rFonts w:asciiTheme="minorHAnsi" w:hAnsiTheme="minorHAnsi" w:cstheme="minorHAnsi"/>
          <w:sz w:val="24"/>
          <w:szCs w:val="24"/>
        </w:rPr>
        <w:t xml:space="preserve">Załącznik nr </w:t>
      </w:r>
      <w:r w:rsidR="007D63E5" w:rsidRPr="00E56406">
        <w:rPr>
          <w:rFonts w:asciiTheme="minorHAnsi" w:hAnsiTheme="minorHAnsi" w:cstheme="minorHAnsi"/>
          <w:sz w:val="24"/>
          <w:szCs w:val="24"/>
        </w:rPr>
        <w:t>4</w:t>
      </w:r>
    </w:p>
    <w:p w14:paraId="05934296" w14:textId="77777777" w:rsidR="00002D2F" w:rsidRDefault="00002D2F" w:rsidP="00F84874">
      <w:pPr>
        <w:jc w:val="center"/>
        <w:rPr>
          <w:rFonts w:asciiTheme="minorHAnsi" w:eastAsia="Calibri" w:hAnsiTheme="minorHAnsi" w:cstheme="minorHAnsi"/>
          <w:b/>
          <w:sz w:val="32"/>
          <w:szCs w:val="24"/>
        </w:rPr>
      </w:pPr>
    </w:p>
    <w:p w14:paraId="6E477570" w14:textId="3C1FF25A" w:rsidR="00BB0912" w:rsidRDefault="00BB0912" w:rsidP="00F84874">
      <w:pPr>
        <w:jc w:val="center"/>
        <w:rPr>
          <w:rFonts w:asciiTheme="minorHAnsi" w:eastAsia="Calibri" w:hAnsiTheme="minorHAnsi" w:cstheme="minorHAnsi"/>
          <w:b/>
          <w:sz w:val="32"/>
          <w:szCs w:val="24"/>
        </w:rPr>
      </w:pPr>
      <w:r w:rsidRPr="00E56406">
        <w:rPr>
          <w:rFonts w:asciiTheme="minorHAnsi" w:eastAsia="Calibri" w:hAnsiTheme="minorHAnsi" w:cstheme="minorHAnsi"/>
          <w:b/>
          <w:sz w:val="32"/>
          <w:szCs w:val="24"/>
        </w:rPr>
        <w:t xml:space="preserve">Sposób ustalania wysokości dostępnych środków </w:t>
      </w:r>
      <w:r w:rsidR="00F84874" w:rsidRPr="00E56406">
        <w:rPr>
          <w:rFonts w:asciiTheme="minorHAnsi" w:eastAsia="Calibri" w:hAnsiTheme="minorHAnsi" w:cstheme="minorHAnsi"/>
          <w:b/>
          <w:sz w:val="32"/>
          <w:szCs w:val="24"/>
        </w:rPr>
        <w:br/>
      </w:r>
      <w:r w:rsidRPr="00E56406">
        <w:rPr>
          <w:rFonts w:asciiTheme="minorHAnsi" w:eastAsia="Calibri" w:hAnsiTheme="minorHAnsi" w:cstheme="minorHAnsi"/>
          <w:b/>
          <w:sz w:val="32"/>
          <w:szCs w:val="24"/>
        </w:rPr>
        <w:t>przeznaczonych na realizację LSR</w:t>
      </w:r>
    </w:p>
    <w:p w14:paraId="30A14914" w14:textId="77777777" w:rsidR="00002D2F" w:rsidRPr="00E56406" w:rsidRDefault="00002D2F" w:rsidP="00F84874">
      <w:pPr>
        <w:jc w:val="center"/>
        <w:rPr>
          <w:rFonts w:asciiTheme="minorHAnsi" w:hAnsiTheme="minorHAnsi" w:cstheme="minorHAnsi"/>
          <w:b/>
          <w:sz w:val="32"/>
          <w:szCs w:val="24"/>
        </w:rPr>
      </w:pPr>
    </w:p>
    <w:p w14:paraId="5B957A63" w14:textId="2D1573B5" w:rsidR="006D69C2" w:rsidRPr="00E56406" w:rsidRDefault="00BB0912"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 xml:space="preserve">Wysokość </w:t>
      </w:r>
      <w:r w:rsidR="00E254FC" w:rsidRPr="00E56406">
        <w:rPr>
          <w:rFonts w:asciiTheme="minorHAnsi" w:hAnsiTheme="minorHAnsi" w:cstheme="minorHAnsi"/>
          <w:sz w:val="24"/>
          <w:szCs w:val="24"/>
        </w:rPr>
        <w:t xml:space="preserve">dostępnych </w:t>
      </w:r>
      <w:r w:rsidRPr="00E56406">
        <w:rPr>
          <w:rFonts w:asciiTheme="minorHAnsi" w:hAnsiTheme="minorHAnsi" w:cstheme="minorHAnsi"/>
          <w:sz w:val="24"/>
          <w:szCs w:val="24"/>
        </w:rPr>
        <w:t xml:space="preserve">środków przeznaczonych na realizację LSR ustala się odrębnie </w:t>
      </w:r>
      <w:r w:rsidR="00DB26E6" w:rsidRPr="00E56406">
        <w:rPr>
          <w:rFonts w:asciiTheme="minorHAnsi" w:hAnsiTheme="minorHAnsi" w:cstheme="minorHAnsi"/>
          <w:sz w:val="24"/>
          <w:szCs w:val="24"/>
        </w:rPr>
        <w:br/>
      </w:r>
      <w:r w:rsidRPr="00E56406">
        <w:rPr>
          <w:rFonts w:asciiTheme="minorHAnsi" w:hAnsiTheme="minorHAnsi" w:cstheme="minorHAnsi"/>
          <w:sz w:val="24"/>
          <w:szCs w:val="24"/>
        </w:rPr>
        <w:t xml:space="preserve">z każdego programu </w:t>
      </w:r>
      <w:r w:rsidR="00DB26E6" w:rsidRPr="00E56406">
        <w:rPr>
          <w:rFonts w:asciiTheme="minorHAnsi" w:hAnsiTheme="minorHAnsi" w:cstheme="minorHAnsi"/>
          <w:sz w:val="24"/>
          <w:szCs w:val="24"/>
        </w:rPr>
        <w:t>oraz</w:t>
      </w:r>
      <w:r w:rsidRPr="00E56406">
        <w:rPr>
          <w:rFonts w:asciiTheme="minorHAnsi" w:hAnsiTheme="minorHAnsi" w:cstheme="minorHAnsi"/>
          <w:sz w:val="24"/>
          <w:szCs w:val="24"/>
        </w:rPr>
        <w:t xml:space="preserve"> EFSI zgodnie z </w:t>
      </w:r>
      <w:r w:rsidR="00DD74BA" w:rsidRPr="00E56406">
        <w:rPr>
          <w:rFonts w:asciiTheme="minorHAnsi" w:hAnsiTheme="minorHAnsi" w:cstheme="minorHAnsi"/>
          <w:sz w:val="24"/>
          <w:szCs w:val="24"/>
        </w:rPr>
        <w:t xml:space="preserve">sekcjami </w:t>
      </w:r>
      <w:r w:rsidR="007A7443" w:rsidRPr="00E56406">
        <w:rPr>
          <w:rFonts w:asciiTheme="minorHAnsi" w:hAnsiTheme="minorHAnsi" w:cstheme="minorHAnsi"/>
          <w:sz w:val="24"/>
          <w:szCs w:val="24"/>
        </w:rPr>
        <w:t>A-</w:t>
      </w:r>
      <w:r w:rsidR="00A56186" w:rsidRPr="00E56406">
        <w:rPr>
          <w:rFonts w:asciiTheme="minorHAnsi" w:hAnsiTheme="minorHAnsi" w:cstheme="minorHAnsi"/>
          <w:sz w:val="24"/>
          <w:szCs w:val="24"/>
        </w:rPr>
        <w:t>K</w:t>
      </w:r>
      <w:r w:rsidR="006D69C2" w:rsidRPr="00E56406">
        <w:rPr>
          <w:rFonts w:asciiTheme="minorHAnsi" w:hAnsiTheme="minorHAnsi" w:cstheme="minorHAnsi"/>
          <w:sz w:val="24"/>
          <w:szCs w:val="24"/>
        </w:rPr>
        <w:t>:</w:t>
      </w:r>
    </w:p>
    <w:sdt>
      <w:sdtPr>
        <w:rPr>
          <w:rFonts w:asciiTheme="minorHAnsi" w:hAnsiTheme="minorHAnsi" w:cstheme="minorHAnsi"/>
          <w:b w:val="0"/>
          <w:bCs w:val="0"/>
        </w:rPr>
        <w:id w:val="-89388948"/>
        <w:docPartObj>
          <w:docPartGallery w:val="Table of Contents"/>
          <w:docPartUnique/>
        </w:docPartObj>
      </w:sdtPr>
      <w:sdtEndPr>
        <w:rPr>
          <w:b/>
          <w:bCs/>
        </w:rPr>
      </w:sdtEndPr>
      <w:sdtContent>
        <w:p w14:paraId="21928377" w14:textId="2685604E" w:rsidR="00F36F9B" w:rsidRPr="00F36F9B" w:rsidRDefault="003C33CC">
          <w:pPr>
            <w:pStyle w:val="Spistreci1"/>
            <w:rPr>
              <w:rFonts w:asciiTheme="minorHAnsi" w:eastAsiaTheme="minorEastAsia" w:hAnsiTheme="minorHAnsi" w:cstheme="minorBidi"/>
              <w:b w:val="0"/>
              <w:bCs w:val="0"/>
            </w:rPr>
          </w:pPr>
          <w:r w:rsidRPr="00F36F9B">
            <w:rPr>
              <w:rFonts w:asciiTheme="minorHAnsi" w:hAnsiTheme="minorHAnsi" w:cstheme="minorHAnsi"/>
              <w:b w:val="0"/>
              <w:bCs w:val="0"/>
            </w:rPr>
            <w:fldChar w:fldCharType="begin"/>
          </w:r>
          <w:r w:rsidRPr="00F36F9B">
            <w:rPr>
              <w:rFonts w:asciiTheme="minorHAnsi" w:hAnsiTheme="minorHAnsi" w:cstheme="minorHAnsi"/>
              <w:b w:val="0"/>
              <w:bCs w:val="0"/>
            </w:rPr>
            <w:instrText xml:space="preserve"> TOC \o "1-3" \h \z \u </w:instrText>
          </w:r>
          <w:r w:rsidRPr="00F36F9B">
            <w:rPr>
              <w:rFonts w:asciiTheme="minorHAnsi" w:hAnsiTheme="minorHAnsi" w:cstheme="minorHAnsi"/>
              <w:b w:val="0"/>
              <w:bCs w:val="0"/>
            </w:rPr>
            <w:fldChar w:fldCharType="separate"/>
          </w:r>
          <w:hyperlink w:anchor="_Toc117597597" w:history="1">
            <w:r w:rsidR="00F36F9B" w:rsidRPr="00F36F9B">
              <w:rPr>
                <w:rStyle w:val="Hipercze"/>
                <w:b w:val="0"/>
                <w:bCs w:val="0"/>
              </w:rPr>
              <w:t>A. Wysokość dostępnych środków przeznaczonych na realizację LSR w ramach Planu Strategicznego dla Wspólnej Polityki Rolnej na lata 2023-2027 (PS WPR)</w:t>
            </w:r>
            <w:r w:rsidR="00F36F9B" w:rsidRPr="00F36F9B">
              <w:rPr>
                <w:b w:val="0"/>
                <w:bCs w:val="0"/>
                <w:webHidden/>
              </w:rPr>
              <w:tab/>
            </w:r>
            <w:r w:rsidR="00F36F9B" w:rsidRPr="00F36F9B">
              <w:rPr>
                <w:b w:val="0"/>
                <w:bCs w:val="0"/>
                <w:webHidden/>
              </w:rPr>
              <w:fldChar w:fldCharType="begin"/>
            </w:r>
            <w:r w:rsidR="00F36F9B" w:rsidRPr="00F36F9B">
              <w:rPr>
                <w:b w:val="0"/>
                <w:bCs w:val="0"/>
                <w:webHidden/>
              </w:rPr>
              <w:instrText xml:space="preserve"> PAGEREF _Toc117597597 \h </w:instrText>
            </w:r>
            <w:r w:rsidR="00F36F9B" w:rsidRPr="00F36F9B">
              <w:rPr>
                <w:b w:val="0"/>
                <w:bCs w:val="0"/>
                <w:webHidden/>
              </w:rPr>
            </w:r>
            <w:r w:rsidR="00F36F9B" w:rsidRPr="00F36F9B">
              <w:rPr>
                <w:b w:val="0"/>
                <w:bCs w:val="0"/>
                <w:webHidden/>
              </w:rPr>
              <w:fldChar w:fldCharType="separate"/>
            </w:r>
            <w:r w:rsidR="00F36F9B" w:rsidRPr="00F36F9B">
              <w:rPr>
                <w:b w:val="0"/>
                <w:bCs w:val="0"/>
                <w:webHidden/>
              </w:rPr>
              <w:t>2</w:t>
            </w:r>
            <w:r w:rsidR="00F36F9B" w:rsidRPr="00F36F9B">
              <w:rPr>
                <w:b w:val="0"/>
                <w:bCs w:val="0"/>
                <w:webHidden/>
              </w:rPr>
              <w:fldChar w:fldCharType="end"/>
            </w:r>
          </w:hyperlink>
        </w:p>
        <w:p w14:paraId="0CCA2794" w14:textId="19CFF7C9" w:rsidR="00F36F9B" w:rsidRPr="00F36F9B" w:rsidRDefault="00F36F9B">
          <w:pPr>
            <w:pStyle w:val="Spistreci1"/>
            <w:rPr>
              <w:rFonts w:asciiTheme="minorHAnsi" w:eastAsiaTheme="minorEastAsia" w:hAnsiTheme="minorHAnsi" w:cstheme="minorBidi"/>
              <w:b w:val="0"/>
              <w:bCs w:val="0"/>
            </w:rPr>
          </w:pPr>
          <w:hyperlink w:anchor="_Toc117597598" w:history="1">
            <w:r w:rsidRPr="00F36F9B">
              <w:rPr>
                <w:rStyle w:val="Hipercze"/>
                <w:b w:val="0"/>
                <w:bCs w:val="0"/>
              </w:rPr>
              <w:t>B. Wysokość dostępnych środków przeznaczonych na realizację LSR w ramach programu Fundusze Europejskie dla Kujaw i Pomorza na lata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_Toc117597598 \h </w:instrText>
            </w:r>
            <w:r w:rsidRPr="00F36F9B">
              <w:rPr>
                <w:b w:val="0"/>
                <w:bCs w:val="0"/>
                <w:webHidden/>
              </w:rPr>
            </w:r>
            <w:r w:rsidRPr="00F36F9B">
              <w:rPr>
                <w:b w:val="0"/>
                <w:bCs w:val="0"/>
                <w:webHidden/>
              </w:rPr>
              <w:fldChar w:fldCharType="separate"/>
            </w:r>
            <w:r w:rsidRPr="00F36F9B">
              <w:rPr>
                <w:b w:val="0"/>
                <w:bCs w:val="0"/>
                <w:webHidden/>
              </w:rPr>
              <w:t>5</w:t>
            </w:r>
            <w:r w:rsidRPr="00F36F9B">
              <w:rPr>
                <w:b w:val="0"/>
                <w:bCs w:val="0"/>
                <w:webHidden/>
              </w:rPr>
              <w:fldChar w:fldCharType="end"/>
            </w:r>
          </w:hyperlink>
        </w:p>
        <w:p w14:paraId="425D06D9" w14:textId="49E636EE" w:rsidR="00F36F9B" w:rsidRPr="00F36F9B" w:rsidRDefault="00F36F9B">
          <w:pPr>
            <w:pStyle w:val="Spistreci1"/>
            <w:rPr>
              <w:rFonts w:asciiTheme="minorHAnsi" w:eastAsiaTheme="minorEastAsia" w:hAnsiTheme="minorHAnsi" w:cstheme="minorBidi"/>
              <w:b w:val="0"/>
              <w:bCs w:val="0"/>
            </w:rPr>
          </w:pPr>
          <w:hyperlink w:anchor="_Toc117597599" w:history="1">
            <w:r w:rsidRPr="00F36F9B">
              <w:rPr>
                <w:rStyle w:val="Hipercze"/>
                <w:b w:val="0"/>
                <w:bCs w:val="0"/>
              </w:rPr>
              <w:t>C. Wysokość dostępnych środków przeznaczonych na realizację LSR w ramach programu Fundusze Europejskie dla Lubuskiego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_Toc117597599 \h </w:instrText>
            </w:r>
            <w:r w:rsidRPr="00F36F9B">
              <w:rPr>
                <w:b w:val="0"/>
                <w:bCs w:val="0"/>
                <w:webHidden/>
              </w:rPr>
            </w:r>
            <w:r w:rsidRPr="00F36F9B">
              <w:rPr>
                <w:b w:val="0"/>
                <w:bCs w:val="0"/>
                <w:webHidden/>
              </w:rPr>
              <w:fldChar w:fldCharType="separate"/>
            </w:r>
            <w:r w:rsidRPr="00F36F9B">
              <w:rPr>
                <w:b w:val="0"/>
                <w:bCs w:val="0"/>
                <w:webHidden/>
              </w:rPr>
              <w:t>7</w:t>
            </w:r>
            <w:r w:rsidRPr="00F36F9B">
              <w:rPr>
                <w:b w:val="0"/>
                <w:bCs w:val="0"/>
                <w:webHidden/>
              </w:rPr>
              <w:fldChar w:fldCharType="end"/>
            </w:r>
          </w:hyperlink>
        </w:p>
        <w:p w14:paraId="05DC8183" w14:textId="6483B845" w:rsidR="00F36F9B" w:rsidRPr="00F36F9B" w:rsidRDefault="00F36F9B">
          <w:pPr>
            <w:pStyle w:val="Spistreci1"/>
            <w:rPr>
              <w:rFonts w:asciiTheme="minorHAnsi" w:eastAsiaTheme="minorEastAsia" w:hAnsiTheme="minorHAnsi" w:cstheme="minorBidi"/>
              <w:b w:val="0"/>
              <w:bCs w:val="0"/>
            </w:rPr>
          </w:pPr>
          <w:hyperlink w:anchor="_Toc117597600" w:history="1">
            <w:r w:rsidRPr="00F36F9B">
              <w:rPr>
                <w:rStyle w:val="Hipercze"/>
                <w:b w:val="0"/>
                <w:bCs w:val="0"/>
              </w:rPr>
              <w:t>D. Wysokość dostępnych środków przeznaczonych na realizację LSR w ramach programu Fundusze Europejskie dla Małopolski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_Toc117597600 \h </w:instrText>
            </w:r>
            <w:r w:rsidRPr="00F36F9B">
              <w:rPr>
                <w:b w:val="0"/>
                <w:bCs w:val="0"/>
                <w:webHidden/>
              </w:rPr>
            </w:r>
            <w:r w:rsidRPr="00F36F9B">
              <w:rPr>
                <w:b w:val="0"/>
                <w:bCs w:val="0"/>
                <w:webHidden/>
              </w:rPr>
              <w:fldChar w:fldCharType="separate"/>
            </w:r>
            <w:r w:rsidRPr="00F36F9B">
              <w:rPr>
                <w:b w:val="0"/>
                <w:bCs w:val="0"/>
                <w:webHidden/>
              </w:rPr>
              <w:t>8</w:t>
            </w:r>
            <w:r w:rsidRPr="00F36F9B">
              <w:rPr>
                <w:b w:val="0"/>
                <w:bCs w:val="0"/>
                <w:webHidden/>
              </w:rPr>
              <w:fldChar w:fldCharType="end"/>
            </w:r>
          </w:hyperlink>
        </w:p>
        <w:p w14:paraId="7761276C" w14:textId="770A45D6" w:rsidR="00F36F9B" w:rsidRPr="00F36F9B" w:rsidRDefault="00F36F9B">
          <w:pPr>
            <w:pStyle w:val="Spistreci1"/>
            <w:rPr>
              <w:rFonts w:asciiTheme="minorHAnsi" w:eastAsiaTheme="minorEastAsia" w:hAnsiTheme="minorHAnsi" w:cstheme="minorBidi"/>
              <w:b w:val="0"/>
              <w:bCs w:val="0"/>
            </w:rPr>
          </w:pPr>
          <w:hyperlink w:anchor="_Toc117597601" w:history="1">
            <w:r w:rsidRPr="00F36F9B">
              <w:rPr>
                <w:rStyle w:val="Hipercze"/>
                <w:b w:val="0"/>
                <w:bCs w:val="0"/>
              </w:rPr>
              <w:t>E. Wysokość dostępnych środków przeznaczonych na realizację LSR w ramach programu Fundusze Europejskie dla Podkarpacia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_Toc117597601 \h </w:instrText>
            </w:r>
            <w:r w:rsidRPr="00F36F9B">
              <w:rPr>
                <w:b w:val="0"/>
                <w:bCs w:val="0"/>
                <w:webHidden/>
              </w:rPr>
            </w:r>
            <w:r w:rsidRPr="00F36F9B">
              <w:rPr>
                <w:b w:val="0"/>
                <w:bCs w:val="0"/>
                <w:webHidden/>
              </w:rPr>
              <w:fldChar w:fldCharType="separate"/>
            </w:r>
            <w:r w:rsidRPr="00F36F9B">
              <w:rPr>
                <w:b w:val="0"/>
                <w:bCs w:val="0"/>
                <w:webHidden/>
              </w:rPr>
              <w:t>13</w:t>
            </w:r>
            <w:r w:rsidRPr="00F36F9B">
              <w:rPr>
                <w:b w:val="0"/>
                <w:bCs w:val="0"/>
                <w:webHidden/>
              </w:rPr>
              <w:fldChar w:fldCharType="end"/>
            </w:r>
          </w:hyperlink>
        </w:p>
        <w:p w14:paraId="65325A36" w14:textId="2AF81ED8" w:rsidR="00F36F9B" w:rsidRPr="00F36F9B" w:rsidRDefault="00F36F9B">
          <w:pPr>
            <w:pStyle w:val="Spistreci1"/>
            <w:rPr>
              <w:rFonts w:asciiTheme="minorHAnsi" w:eastAsiaTheme="minorEastAsia" w:hAnsiTheme="minorHAnsi" w:cstheme="minorBidi"/>
              <w:b w:val="0"/>
              <w:bCs w:val="0"/>
            </w:rPr>
          </w:pPr>
          <w:hyperlink w:anchor="_Toc117597602" w:history="1">
            <w:r w:rsidRPr="00F36F9B">
              <w:rPr>
                <w:rStyle w:val="Hipercze"/>
                <w:b w:val="0"/>
                <w:bCs w:val="0"/>
              </w:rPr>
              <w:t>F. Wysokość dostępnych środków przeznaczonych na realizację LSR w ramach programu Fundusze Europejskie dla Podlaskiego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_Toc117597602 \h </w:instrText>
            </w:r>
            <w:r w:rsidRPr="00F36F9B">
              <w:rPr>
                <w:b w:val="0"/>
                <w:bCs w:val="0"/>
                <w:webHidden/>
              </w:rPr>
            </w:r>
            <w:r w:rsidRPr="00F36F9B">
              <w:rPr>
                <w:b w:val="0"/>
                <w:bCs w:val="0"/>
                <w:webHidden/>
              </w:rPr>
              <w:fldChar w:fldCharType="separate"/>
            </w:r>
            <w:r w:rsidRPr="00F36F9B">
              <w:rPr>
                <w:b w:val="0"/>
                <w:bCs w:val="0"/>
                <w:webHidden/>
              </w:rPr>
              <w:t>1</w:t>
            </w:r>
            <w:r w:rsidRPr="00F36F9B">
              <w:rPr>
                <w:b w:val="0"/>
                <w:bCs w:val="0"/>
                <w:webHidden/>
              </w:rPr>
              <w:t>6</w:t>
            </w:r>
            <w:r w:rsidRPr="00F36F9B">
              <w:rPr>
                <w:b w:val="0"/>
                <w:bCs w:val="0"/>
                <w:webHidden/>
              </w:rPr>
              <w:fldChar w:fldCharType="end"/>
            </w:r>
          </w:hyperlink>
        </w:p>
        <w:p w14:paraId="57BBACBF" w14:textId="2DEC388D" w:rsidR="00F36F9B" w:rsidRPr="00F36F9B" w:rsidRDefault="00F36F9B">
          <w:pPr>
            <w:pStyle w:val="Spistreci1"/>
            <w:rPr>
              <w:rFonts w:asciiTheme="minorHAnsi" w:eastAsiaTheme="minorEastAsia" w:hAnsiTheme="minorHAnsi" w:cstheme="minorBidi"/>
              <w:b w:val="0"/>
              <w:bCs w:val="0"/>
            </w:rPr>
          </w:pPr>
          <w:hyperlink w:anchor="_Toc117597603" w:history="1">
            <w:r w:rsidRPr="00F36F9B">
              <w:rPr>
                <w:rStyle w:val="Hipercze"/>
                <w:b w:val="0"/>
                <w:bCs w:val="0"/>
              </w:rPr>
              <w:t>G. Wysokość dostępnych środków przeznaczonych na realizację LSR w ramach programu Fundusze Europejskie dla Pomorza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_Toc117597603 \h </w:instrText>
            </w:r>
            <w:r w:rsidRPr="00F36F9B">
              <w:rPr>
                <w:b w:val="0"/>
                <w:bCs w:val="0"/>
                <w:webHidden/>
              </w:rPr>
            </w:r>
            <w:r w:rsidRPr="00F36F9B">
              <w:rPr>
                <w:b w:val="0"/>
                <w:bCs w:val="0"/>
                <w:webHidden/>
              </w:rPr>
              <w:fldChar w:fldCharType="separate"/>
            </w:r>
            <w:r w:rsidRPr="00F36F9B">
              <w:rPr>
                <w:b w:val="0"/>
                <w:bCs w:val="0"/>
                <w:webHidden/>
              </w:rPr>
              <w:t>22</w:t>
            </w:r>
            <w:r w:rsidRPr="00F36F9B">
              <w:rPr>
                <w:b w:val="0"/>
                <w:bCs w:val="0"/>
                <w:webHidden/>
              </w:rPr>
              <w:fldChar w:fldCharType="end"/>
            </w:r>
          </w:hyperlink>
        </w:p>
        <w:p w14:paraId="55DF0123" w14:textId="6FF1A5B5" w:rsidR="00F36F9B" w:rsidRPr="00F36F9B" w:rsidRDefault="00F36F9B">
          <w:pPr>
            <w:pStyle w:val="Spistreci1"/>
            <w:rPr>
              <w:rFonts w:asciiTheme="minorHAnsi" w:eastAsiaTheme="minorEastAsia" w:hAnsiTheme="minorHAnsi" w:cstheme="minorBidi"/>
              <w:b w:val="0"/>
              <w:bCs w:val="0"/>
            </w:rPr>
          </w:pPr>
          <w:hyperlink w:anchor="_Toc117597604" w:history="1">
            <w:r w:rsidRPr="00F36F9B">
              <w:rPr>
                <w:rStyle w:val="Hipercze"/>
                <w:b w:val="0"/>
                <w:bCs w:val="0"/>
              </w:rPr>
              <w:t>H. Wysokość dostępnych środków przeznaczonych na realizację LSR w ramach programu Fundusze Europejskie dla Śląskiego 2021-2027</w:t>
            </w:r>
            <w:r w:rsidRPr="00F36F9B">
              <w:rPr>
                <w:b w:val="0"/>
                <w:bCs w:val="0"/>
                <w:webHidden/>
              </w:rPr>
              <w:tab/>
            </w:r>
            <w:r w:rsidRPr="00F36F9B">
              <w:rPr>
                <w:b w:val="0"/>
                <w:bCs w:val="0"/>
                <w:webHidden/>
              </w:rPr>
              <w:fldChar w:fldCharType="begin"/>
            </w:r>
            <w:r w:rsidRPr="00F36F9B">
              <w:rPr>
                <w:b w:val="0"/>
                <w:bCs w:val="0"/>
                <w:webHidden/>
              </w:rPr>
              <w:instrText xml:space="preserve"> PAGEREF _Toc117597604 \h </w:instrText>
            </w:r>
            <w:r w:rsidRPr="00F36F9B">
              <w:rPr>
                <w:b w:val="0"/>
                <w:bCs w:val="0"/>
                <w:webHidden/>
              </w:rPr>
            </w:r>
            <w:r w:rsidRPr="00F36F9B">
              <w:rPr>
                <w:b w:val="0"/>
                <w:bCs w:val="0"/>
                <w:webHidden/>
              </w:rPr>
              <w:fldChar w:fldCharType="separate"/>
            </w:r>
            <w:r w:rsidRPr="00F36F9B">
              <w:rPr>
                <w:b w:val="0"/>
                <w:bCs w:val="0"/>
                <w:webHidden/>
              </w:rPr>
              <w:t>26</w:t>
            </w:r>
            <w:r w:rsidRPr="00F36F9B">
              <w:rPr>
                <w:b w:val="0"/>
                <w:bCs w:val="0"/>
                <w:webHidden/>
              </w:rPr>
              <w:fldChar w:fldCharType="end"/>
            </w:r>
          </w:hyperlink>
        </w:p>
        <w:p w14:paraId="673B8F2D" w14:textId="4B440D7D" w:rsidR="00F36F9B" w:rsidRPr="00F36F9B" w:rsidRDefault="00F36F9B">
          <w:pPr>
            <w:pStyle w:val="Spistreci1"/>
            <w:rPr>
              <w:rFonts w:asciiTheme="minorHAnsi" w:eastAsiaTheme="minorEastAsia" w:hAnsiTheme="minorHAnsi" w:cstheme="minorBidi"/>
              <w:b w:val="0"/>
              <w:bCs w:val="0"/>
            </w:rPr>
          </w:pPr>
          <w:hyperlink w:anchor="_Toc117597605" w:history="1">
            <w:r w:rsidRPr="00F36F9B">
              <w:rPr>
                <w:rStyle w:val="Hipercze"/>
                <w:b w:val="0"/>
                <w:bCs w:val="0"/>
              </w:rPr>
              <w:t>I. Wysokość dostępnych środków przeznaczonych na realizację LSR w ramach programu regionalnego na lata 2021-2027 Fundusze Europejskie dla Świętokrzyskiego</w:t>
            </w:r>
            <w:r w:rsidRPr="00F36F9B">
              <w:rPr>
                <w:b w:val="0"/>
                <w:bCs w:val="0"/>
                <w:webHidden/>
              </w:rPr>
              <w:tab/>
            </w:r>
            <w:r w:rsidRPr="00F36F9B">
              <w:rPr>
                <w:b w:val="0"/>
                <w:bCs w:val="0"/>
                <w:webHidden/>
              </w:rPr>
              <w:fldChar w:fldCharType="begin"/>
            </w:r>
            <w:r w:rsidRPr="00F36F9B">
              <w:rPr>
                <w:b w:val="0"/>
                <w:bCs w:val="0"/>
                <w:webHidden/>
              </w:rPr>
              <w:instrText xml:space="preserve"> PAGEREF _Toc117597605 \h </w:instrText>
            </w:r>
            <w:r w:rsidRPr="00F36F9B">
              <w:rPr>
                <w:b w:val="0"/>
                <w:bCs w:val="0"/>
                <w:webHidden/>
              </w:rPr>
            </w:r>
            <w:r w:rsidRPr="00F36F9B">
              <w:rPr>
                <w:b w:val="0"/>
                <w:bCs w:val="0"/>
                <w:webHidden/>
              </w:rPr>
              <w:fldChar w:fldCharType="separate"/>
            </w:r>
            <w:r w:rsidRPr="00F36F9B">
              <w:rPr>
                <w:b w:val="0"/>
                <w:bCs w:val="0"/>
                <w:webHidden/>
              </w:rPr>
              <w:t>27</w:t>
            </w:r>
            <w:r w:rsidRPr="00F36F9B">
              <w:rPr>
                <w:b w:val="0"/>
                <w:bCs w:val="0"/>
                <w:webHidden/>
              </w:rPr>
              <w:fldChar w:fldCharType="end"/>
            </w:r>
          </w:hyperlink>
        </w:p>
        <w:p w14:paraId="72F0AE07" w14:textId="4135ADDC" w:rsidR="00F36F9B" w:rsidRPr="00F36F9B" w:rsidRDefault="00F36F9B">
          <w:pPr>
            <w:pStyle w:val="Spistreci1"/>
            <w:rPr>
              <w:rFonts w:asciiTheme="minorHAnsi" w:eastAsiaTheme="minorEastAsia" w:hAnsiTheme="minorHAnsi" w:cstheme="minorBidi"/>
              <w:b w:val="0"/>
              <w:bCs w:val="0"/>
            </w:rPr>
          </w:pPr>
          <w:hyperlink w:anchor="_Toc117597606" w:history="1">
            <w:r w:rsidRPr="00F36F9B">
              <w:rPr>
                <w:rStyle w:val="Hipercze"/>
                <w:b w:val="0"/>
                <w:bCs w:val="0"/>
              </w:rPr>
              <w:t>J. Wysokość dostępnych środków przeznaczonych na realizację LSR w ramach programu Fundusze Europejskie dla Wielkopolski 2021-2027 (FEW)</w:t>
            </w:r>
            <w:r w:rsidRPr="00F36F9B">
              <w:rPr>
                <w:b w:val="0"/>
                <w:bCs w:val="0"/>
                <w:webHidden/>
              </w:rPr>
              <w:tab/>
            </w:r>
            <w:r w:rsidRPr="00F36F9B">
              <w:rPr>
                <w:b w:val="0"/>
                <w:bCs w:val="0"/>
                <w:webHidden/>
              </w:rPr>
              <w:fldChar w:fldCharType="begin"/>
            </w:r>
            <w:r w:rsidRPr="00F36F9B">
              <w:rPr>
                <w:b w:val="0"/>
                <w:bCs w:val="0"/>
                <w:webHidden/>
              </w:rPr>
              <w:instrText xml:space="preserve"> PAGEREF _Toc117597606 \h </w:instrText>
            </w:r>
            <w:r w:rsidRPr="00F36F9B">
              <w:rPr>
                <w:b w:val="0"/>
                <w:bCs w:val="0"/>
                <w:webHidden/>
              </w:rPr>
            </w:r>
            <w:r w:rsidRPr="00F36F9B">
              <w:rPr>
                <w:b w:val="0"/>
                <w:bCs w:val="0"/>
                <w:webHidden/>
              </w:rPr>
              <w:fldChar w:fldCharType="separate"/>
            </w:r>
            <w:r w:rsidRPr="00F36F9B">
              <w:rPr>
                <w:b w:val="0"/>
                <w:bCs w:val="0"/>
                <w:webHidden/>
              </w:rPr>
              <w:t>28</w:t>
            </w:r>
            <w:r w:rsidRPr="00F36F9B">
              <w:rPr>
                <w:b w:val="0"/>
                <w:bCs w:val="0"/>
                <w:webHidden/>
              </w:rPr>
              <w:fldChar w:fldCharType="end"/>
            </w:r>
          </w:hyperlink>
        </w:p>
        <w:p w14:paraId="1AB62DBC" w14:textId="165125FA" w:rsidR="003C33CC" w:rsidRPr="00E56406" w:rsidRDefault="003C33CC" w:rsidP="000E6C69">
          <w:pPr>
            <w:pStyle w:val="Spistreci1"/>
            <w:rPr>
              <w:rFonts w:asciiTheme="minorHAnsi" w:hAnsiTheme="minorHAnsi" w:cstheme="minorHAnsi"/>
            </w:rPr>
          </w:pPr>
          <w:r w:rsidRPr="00F36F9B">
            <w:rPr>
              <w:rFonts w:asciiTheme="minorHAnsi" w:hAnsiTheme="minorHAnsi" w:cstheme="minorHAnsi"/>
              <w:b w:val="0"/>
              <w:bCs w:val="0"/>
            </w:rPr>
            <w:fldChar w:fldCharType="end"/>
          </w:r>
        </w:p>
      </w:sdtContent>
    </w:sdt>
    <w:p w14:paraId="0605E95A" w14:textId="57D68F28" w:rsidR="000B63F7" w:rsidRPr="00E56406" w:rsidRDefault="000B63F7" w:rsidP="002E5BCA">
      <w:pPr>
        <w:pStyle w:val="Punkt"/>
        <w:numPr>
          <w:ilvl w:val="0"/>
          <w:numId w:val="0"/>
        </w:numPr>
        <w:spacing w:line="276" w:lineRule="auto"/>
        <w:ind w:left="426"/>
        <w:rPr>
          <w:rFonts w:asciiTheme="minorHAnsi" w:hAnsiTheme="minorHAnsi" w:cstheme="minorHAnsi"/>
          <w:sz w:val="24"/>
          <w:szCs w:val="24"/>
        </w:rPr>
      </w:pPr>
    </w:p>
    <w:p w14:paraId="1AC0FCDA" w14:textId="77777777" w:rsidR="002E5BCA" w:rsidRPr="00E56406" w:rsidRDefault="002E5BCA" w:rsidP="002E5BCA">
      <w:pPr>
        <w:pStyle w:val="Punkt"/>
        <w:numPr>
          <w:ilvl w:val="0"/>
          <w:numId w:val="0"/>
        </w:numPr>
        <w:spacing w:line="276" w:lineRule="auto"/>
        <w:ind w:left="426"/>
        <w:rPr>
          <w:rFonts w:asciiTheme="minorHAnsi" w:hAnsiTheme="minorHAnsi" w:cstheme="minorHAnsi"/>
          <w:sz w:val="24"/>
          <w:szCs w:val="24"/>
        </w:rPr>
      </w:pPr>
    </w:p>
    <w:p w14:paraId="6DD88553" w14:textId="77777777" w:rsidR="00002D2F" w:rsidRDefault="00002D2F">
      <w:pPr>
        <w:spacing w:after="160" w:line="259" w:lineRule="auto"/>
        <w:rPr>
          <w:rFonts w:asciiTheme="minorHAnsi" w:hAnsiTheme="minorHAnsi" w:cstheme="minorHAnsi"/>
          <w:b/>
          <w:sz w:val="32"/>
          <w:szCs w:val="32"/>
        </w:rPr>
      </w:pPr>
      <w:r>
        <w:rPr>
          <w:szCs w:val="32"/>
        </w:rPr>
        <w:br w:type="page"/>
      </w:r>
    </w:p>
    <w:p w14:paraId="47C38522" w14:textId="75F908EE" w:rsidR="00BB0912" w:rsidRPr="00E56406" w:rsidRDefault="00BB0912" w:rsidP="000E6C69">
      <w:pPr>
        <w:pStyle w:val="Nagwek1"/>
        <w:spacing w:line="276" w:lineRule="auto"/>
        <w:jc w:val="both"/>
        <w:rPr>
          <w:szCs w:val="32"/>
        </w:rPr>
      </w:pPr>
      <w:bookmarkStart w:id="0" w:name="_Toc117597597"/>
      <w:r w:rsidRPr="00E56406">
        <w:rPr>
          <w:szCs w:val="32"/>
        </w:rPr>
        <w:lastRenderedPageBreak/>
        <w:t>A. Wysokość dostępnych środków przeznaczonych na realizację LSR w rama</w:t>
      </w:r>
      <w:r w:rsidR="00CB4E71" w:rsidRPr="00E56406">
        <w:rPr>
          <w:szCs w:val="32"/>
        </w:rPr>
        <w:t>ch</w:t>
      </w:r>
      <w:r w:rsidR="00382DD9" w:rsidRPr="00E56406">
        <w:rPr>
          <w:szCs w:val="32"/>
        </w:rPr>
        <w:t xml:space="preserve"> Planu Strategicznego </w:t>
      </w:r>
      <w:r w:rsidR="00A56186" w:rsidRPr="00E56406">
        <w:rPr>
          <w:szCs w:val="32"/>
        </w:rPr>
        <w:t>dla</w:t>
      </w:r>
      <w:r w:rsidR="00382DD9" w:rsidRPr="00E56406">
        <w:rPr>
          <w:szCs w:val="32"/>
        </w:rPr>
        <w:t xml:space="preserve"> Wspólnej Polityki Rolnej na lata 2023-2027</w:t>
      </w:r>
      <w:r w:rsidRPr="00E56406">
        <w:rPr>
          <w:szCs w:val="32"/>
        </w:rPr>
        <w:t xml:space="preserve"> (</w:t>
      </w:r>
      <w:r w:rsidR="000065D5" w:rsidRPr="00E56406">
        <w:rPr>
          <w:szCs w:val="32"/>
        </w:rPr>
        <w:t>PS WPR</w:t>
      </w:r>
      <w:r w:rsidRPr="00E56406">
        <w:rPr>
          <w:szCs w:val="32"/>
        </w:rPr>
        <w:t>)</w:t>
      </w:r>
      <w:bookmarkEnd w:id="0"/>
    </w:p>
    <w:p w14:paraId="7D4B16C0" w14:textId="7F8B70CF" w:rsidR="00DD74BA" w:rsidRPr="00E56406" w:rsidRDefault="00DC5EC2"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w:t>
      </w:r>
      <w:r w:rsidR="00DD74BA" w:rsidRPr="00E56406">
        <w:rPr>
          <w:rFonts w:asciiTheme="minorHAnsi" w:hAnsiTheme="minorHAnsi" w:cstheme="minorHAnsi"/>
          <w:sz w:val="24"/>
          <w:szCs w:val="24"/>
        </w:rPr>
        <w:t xml:space="preserve">ysokość dostępnych środków </w:t>
      </w:r>
      <w:r w:rsidRPr="00E56406">
        <w:rPr>
          <w:rFonts w:asciiTheme="minorHAnsi" w:hAnsiTheme="minorHAnsi" w:cstheme="minorHAnsi"/>
          <w:sz w:val="24"/>
          <w:szCs w:val="24"/>
        </w:rPr>
        <w:t>przeznaczonych na realizację LSR w ramach PS WPR wynosi</w:t>
      </w:r>
      <w:r w:rsidR="00DD74BA" w:rsidRPr="00E56406">
        <w:rPr>
          <w:rFonts w:asciiTheme="minorHAnsi" w:hAnsiTheme="minorHAnsi" w:cstheme="minorHAnsi"/>
          <w:sz w:val="24"/>
          <w:szCs w:val="24"/>
        </w:rPr>
        <w:t xml:space="preserve"> 708 509 091 EUR.</w:t>
      </w:r>
    </w:p>
    <w:p w14:paraId="32D74F4B" w14:textId="5B714112" w:rsidR="00FE4DFB" w:rsidRPr="00E56406" w:rsidRDefault="00BB0912" w:rsidP="00BB06C3">
      <w:pPr>
        <w:pStyle w:val="Default"/>
        <w:spacing w:line="276" w:lineRule="auto"/>
      </w:pPr>
      <w:r w:rsidRPr="00E56406">
        <w:t xml:space="preserve">Kwota dostępnych środków obejmuje zarówno wkład EFRROW, jak i wymagany krajowy wkład środków publicznych. Zgodnie z </w:t>
      </w:r>
      <w:r w:rsidR="000065D5" w:rsidRPr="00E56406">
        <w:t>PS WPR</w:t>
      </w:r>
      <w:r w:rsidR="00CB4E71" w:rsidRPr="00E56406">
        <w:t xml:space="preserve"> </w:t>
      </w:r>
      <w:r w:rsidR="005C75E7" w:rsidRPr="00E56406">
        <w:t>dla interwencji LEADER</w:t>
      </w:r>
      <w:r w:rsidR="00361888" w:rsidRPr="00E56406">
        <w:t>,</w:t>
      </w:r>
      <w:r w:rsidR="005C75E7" w:rsidRPr="00E56406">
        <w:t xml:space="preserve"> </w:t>
      </w:r>
      <w:r w:rsidRPr="00E56406">
        <w:t>jednol</w:t>
      </w:r>
      <w:r w:rsidR="00E86E54" w:rsidRPr="00E56406">
        <w:t>ita wielkość wkładu EFRROW</w:t>
      </w:r>
      <w:r w:rsidR="005C75E7" w:rsidRPr="00E56406">
        <w:t xml:space="preserve"> </w:t>
      </w:r>
      <w:r w:rsidR="00E86E54" w:rsidRPr="00E56406">
        <w:t>to 55</w:t>
      </w:r>
      <w:r w:rsidRPr="00E56406">
        <w:t xml:space="preserve">%, w związku z czym wymagany krajowy wkład środków publicznych to </w:t>
      </w:r>
      <w:r w:rsidR="00E86E54" w:rsidRPr="00E56406">
        <w:t>45</w:t>
      </w:r>
      <w:r w:rsidRPr="00E56406">
        <w:t xml:space="preserve">%. </w:t>
      </w:r>
    </w:p>
    <w:p w14:paraId="0909BBA1" w14:textId="77777777" w:rsidR="00FE4DFB" w:rsidRPr="00E56406" w:rsidRDefault="00BB0912"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 przypadku operacji</w:t>
      </w:r>
      <w:r w:rsidR="00A07D14" w:rsidRPr="00E56406">
        <w:rPr>
          <w:rFonts w:asciiTheme="minorHAnsi" w:hAnsiTheme="minorHAnsi" w:cstheme="minorHAnsi"/>
          <w:sz w:val="24"/>
          <w:szCs w:val="24"/>
        </w:rPr>
        <w:t>,</w:t>
      </w:r>
      <w:r w:rsidRPr="00E56406">
        <w:rPr>
          <w:rFonts w:asciiTheme="minorHAnsi" w:hAnsiTheme="minorHAnsi" w:cstheme="minorHAnsi"/>
          <w:sz w:val="24"/>
          <w:szCs w:val="24"/>
        </w:rPr>
        <w:t xml:space="preserve"> gdzie beneficjentem jest jednostka sektora finansów publicznych</w:t>
      </w:r>
      <w:r w:rsidR="00A07D14" w:rsidRPr="00E56406">
        <w:rPr>
          <w:rFonts w:asciiTheme="minorHAnsi" w:hAnsiTheme="minorHAnsi" w:cstheme="minorHAnsi"/>
          <w:sz w:val="24"/>
          <w:szCs w:val="24"/>
        </w:rPr>
        <w:t>,</w:t>
      </w:r>
      <w:r w:rsidRPr="00E56406">
        <w:rPr>
          <w:rFonts w:asciiTheme="minorHAnsi" w:hAnsiTheme="minorHAnsi" w:cstheme="minorHAnsi"/>
          <w:sz w:val="24"/>
          <w:szCs w:val="24"/>
        </w:rPr>
        <w:t xml:space="preserve"> krajowym wkładem środków publicznych jest wkład własny tej jednostki na poziomie </w:t>
      </w:r>
      <w:r w:rsidR="005C75E7" w:rsidRPr="00E56406">
        <w:rPr>
          <w:rFonts w:asciiTheme="minorHAnsi" w:hAnsiTheme="minorHAnsi" w:cstheme="minorHAnsi"/>
          <w:sz w:val="24"/>
          <w:szCs w:val="24"/>
        </w:rPr>
        <w:t>25%, natomiast pozostałe 20%</w:t>
      </w:r>
      <w:r w:rsidR="00FA33CC" w:rsidRPr="00E56406">
        <w:rPr>
          <w:rFonts w:asciiTheme="minorHAnsi" w:hAnsiTheme="minorHAnsi" w:cstheme="minorHAnsi"/>
          <w:sz w:val="24"/>
          <w:szCs w:val="24"/>
        </w:rPr>
        <w:t xml:space="preserve"> </w:t>
      </w:r>
      <w:r w:rsidR="00FE4DFB" w:rsidRPr="00E56406">
        <w:rPr>
          <w:rFonts w:asciiTheme="minorHAnsi" w:hAnsiTheme="minorHAnsi" w:cstheme="minorHAnsi"/>
          <w:sz w:val="24"/>
          <w:szCs w:val="24"/>
        </w:rPr>
        <w:t>finansowane</w:t>
      </w:r>
      <w:r w:rsidR="005C75E7" w:rsidRPr="00E56406">
        <w:rPr>
          <w:rFonts w:asciiTheme="minorHAnsi" w:hAnsiTheme="minorHAnsi" w:cstheme="minorHAnsi"/>
          <w:sz w:val="24"/>
          <w:szCs w:val="24"/>
        </w:rPr>
        <w:t xml:space="preserve"> jest z</w:t>
      </w:r>
      <w:r w:rsidR="00FE4DFB" w:rsidRPr="00E56406">
        <w:rPr>
          <w:rFonts w:asciiTheme="minorHAnsi" w:hAnsiTheme="minorHAnsi" w:cstheme="minorHAnsi"/>
          <w:sz w:val="24"/>
          <w:szCs w:val="24"/>
        </w:rPr>
        <w:t>e środków</w:t>
      </w:r>
      <w:r w:rsidR="005C75E7" w:rsidRPr="00E56406">
        <w:rPr>
          <w:rFonts w:asciiTheme="minorHAnsi" w:hAnsiTheme="minorHAnsi" w:cstheme="minorHAnsi"/>
          <w:sz w:val="24"/>
          <w:szCs w:val="24"/>
        </w:rPr>
        <w:t xml:space="preserve"> budżetu państwa</w:t>
      </w:r>
      <w:r w:rsidR="00FE4DFB" w:rsidRPr="00E56406">
        <w:rPr>
          <w:rFonts w:asciiTheme="minorHAnsi" w:hAnsiTheme="minorHAnsi" w:cstheme="minorHAnsi"/>
          <w:sz w:val="24"/>
          <w:szCs w:val="24"/>
        </w:rPr>
        <w:t>. Oznacza to, że p</w:t>
      </w:r>
      <w:r w:rsidRPr="00E56406">
        <w:rPr>
          <w:rFonts w:asciiTheme="minorHAnsi" w:hAnsiTheme="minorHAnsi" w:cstheme="minorHAnsi"/>
          <w:sz w:val="24"/>
          <w:szCs w:val="24"/>
        </w:rPr>
        <w:t>omoc wypłacana przez agencję płatniczą</w:t>
      </w:r>
      <w:r w:rsidR="00FE4DFB" w:rsidRPr="00E56406">
        <w:rPr>
          <w:rFonts w:asciiTheme="minorHAnsi" w:hAnsiTheme="minorHAnsi" w:cstheme="minorHAnsi"/>
          <w:sz w:val="24"/>
          <w:szCs w:val="24"/>
        </w:rPr>
        <w:t xml:space="preserve"> wynosi</w:t>
      </w:r>
      <w:r w:rsidRPr="00E56406">
        <w:rPr>
          <w:rFonts w:asciiTheme="minorHAnsi" w:hAnsiTheme="minorHAnsi" w:cstheme="minorHAnsi"/>
          <w:sz w:val="24"/>
          <w:szCs w:val="24"/>
        </w:rPr>
        <w:t xml:space="preserve"> </w:t>
      </w:r>
      <w:r w:rsidR="005C75E7" w:rsidRPr="00E56406">
        <w:rPr>
          <w:rFonts w:asciiTheme="minorHAnsi" w:hAnsiTheme="minorHAnsi" w:cstheme="minorHAnsi"/>
          <w:sz w:val="24"/>
          <w:szCs w:val="24"/>
        </w:rPr>
        <w:t>7</w:t>
      </w:r>
      <w:r w:rsidR="00BF2375" w:rsidRPr="00E56406">
        <w:rPr>
          <w:rFonts w:asciiTheme="minorHAnsi" w:hAnsiTheme="minorHAnsi" w:cstheme="minorHAnsi"/>
          <w:sz w:val="24"/>
          <w:szCs w:val="24"/>
        </w:rPr>
        <w:t>5</w:t>
      </w:r>
      <w:r w:rsidRPr="00E56406">
        <w:rPr>
          <w:rFonts w:asciiTheme="minorHAnsi" w:hAnsiTheme="minorHAnsi" w:cstheme="minorHAnsi"/>
          <w:sz w:val="24"/>
          <w:szCs w:val="24"/>
        </w:rPr>
        <w:t>% kosztów kwalifikowalnych</w:t>
      </w:r>
      <w:r w:rsidR="00FE4DFB" w:rsidRPr="00E56406">
        <w:rPr>
          <w:rFonts w:asciiTheme="minorHAnsi" w:hAnsiTheme="minorHAnsi" w:cstheme="minorHAnsi"/>
          <w:sz w:val="24"/>
          <w:szCs w:val="24"/>
        </w:rPr>
        <w:t>, na co składa się 55% wkładu EFRROW i 20%</w:t>
      </w:r>
      <w:r w:rsidR="00FA33CC" w:rsidRPr="00E56406">
        <w:rPr>
          <w:rFonts w:asciiTheme="minorHAnsi" w:hAnsiTheme="minorHAnsi" w:cstheme="minorHAnsi"/>
          <w:sz w:val="24"/>
          <w:szCs w:val="24"/>
        </w:rPr>
        <w:t xml:space="preserve"> </w:t>
      </w:r>
      <w:r w:rsidR="00FE4DFB" w:rsidRPr="00E56406">
        <w:rPr>
          <w:rFonts w:asciiTheme="minorHAnsi" w:hAnsiTheme="minorHAnsi" w:cstheme="minorHAnsi"/>
          <w:sz w:val="24"/>
          <w:szCs w:val="24"/>
        </w:rPr>
        <w:t>wkładu ze środków budżetu państwa.</w:t>
      </w:r>
      <w:r w:rsidRPr="00E56406">
        <w:rPr>
          <w:rFonts w:asciiTheme="minorHAnsi" w:hAnsiTheme="minorHAnsi" w:cstheme="minorHAnsi"/>
          <w:sz w:val="24"/>
          <w:szCs w:val="24"/>
        </w:rPr>
        <w:t xml:space="preserve"> </w:t>
      </w:r>
    </w:p>
    <w:p w14:paraId="556FB89F" w14:textId="0D38663C" w:rsidR="00BB0912" w:rsidRPr="00E56406" w:rsidRDefault="00BB0912"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 xml:space="preserve">W pozostałych przypadkach pomoc wypłacana przez agencję płatniczą (w wysokości określonej zgodnie z obowiązującymi przepisami) w </w:t>
      </w:r>
      <w:r w:rsidR="00BF2375" w:rsidRPr="00E56406">
        <w:rPr>
          <w:rFonts w:asciiTheme="minorHAnsi" w:hAnsiTheme="minorHAnsi" w:cstheme="minorHAnsi"/>
          <w:sz w:val="24"/>
          <w:szCs w:val="24"/>
        </w:rPr>
        <w:t>55</w:t>
      </w:r>
      <w:r w:rsidRPr="00E56406">
        <w:rPr>
          <w:rFonts w:asciiTheme="minorHAnsi" w:hAnsiTheme="minorHAnsi" w:cstheme="minorHAnsi"/>
          <w:sz w:val="24"/>
          <w:szCs w:val="24"/>
        </w:rPr>
        <w:t xml:space="preserve">% finansowana jest ze środków EFRROW, a w </w:t>
      </w:r>
      <w:r w:rsidR="00BF2375" w:rsidRPr="00E56406">
        <w:rPr>
          <w:rFonts w:asciiTheme="minorHAnsi" w:hAnsiTheme="minorHAnsi" w:cstheme="minorHAnsi"/>
          <w:sz w:val="24"/>
          <w:szCs w:val="24"/>
        </w:rPr>
        <w:t>45</w:t>
      </w:r>
      <w:r w:rsidRPr="00E56406">
        <w:rPr>
          <w:rFonts w:asciiTheme="minorHAnsi" w:hAnsiTheme="minorHAnsi" w:cstheme="minorHAnsi"/>
          <w:sz w:val="24"/>
          <w:szCs w:val="24"/>
        </w:rPr>
        <w:t>% ze środków budżetu państwa.</w:t>
      </w:r>
    </w:p>
    <w:p w14:paraId="47B6CDA9" w14:textId="77777777" w:rsidR="00734A74" w:rsidRPr="00E56406" w:rsidRDefault="00734A74" w:rsidP="00BB06C3">
      <w:pPr>
        <w:pStyle w:val="AkapitStandardowyRyczat"/>
        <w:spacing w:line="276" w:lineRule="auto"/>
        <w:rPr>
          <w:rFonts w:asciiTheme="minorHAnsi" w:hAnsiTheme="minorHAnsi" w:cstheme="minorHAnsi"/>
          <w:sz w:val="24"/>
          <w:szCs w:val="24"/>
        </w:rPr>
      </w:pPr>
    </w:p>
    <w:p w14:paraId="3A0AA140" w14:textId="77777777" w:rsidR="00BB0912" w:rsidRPr="00E56406" w:rsidRDefault="00BB0912" w:rsidP="00C43F9F">
      <w:pPr>
        <w:pStyle w:val="AkapitStandardowyRyczat"/>
        <w:numPr>
          <w:ilvl w:val="0"/>
          <w:numId w:val="48"/>
        </w:numPr>
        <w:spacing w:line="276" w:lineRule="auto"/>
        <w:ind w:left="284"/>
        <w:rPr>
          <w:rFonts w:asciiTheme="minorHAnsi" w:hAnsiTheme="minorHAnsi" w:cstheme="minorHAnsi"/>
          <w:b/>
          <w:sz w:val="28"/>
          <w:szCs w:val="28"/>
        </w:rPr>
      </w:pPr>
      <w:r w:rsidRPr="00E56406">
        <w:rPr>
          <w:rFonts w:asciiTheme="minorHAnsi" w:hAnsiTheme="minorHAnsi" w:cstheme="minorHAnsi"/>
          <w:b/>
          <w:sz w:val="28"/>
          <w:szCs w:val="28"/>
        </w:rPr>
        <w:t>Wysokość dostępnych środków w poszczególnych województwach ustala się w następujący sposób:</w:t>
      </w:r>
    </w:p>
    <w:p w14:paraId="44D8E6E5" w14:textId="352B1AB0" w:rsidR="00BB0912" w:rsidRPr="00E56406" w:rsidRDefault="00BB0912"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1)</w:t>
      </w:r>
      <w:r w:rsidRPr="00E56406">
        <w:rPr>
          <w:rFonts w:asciiTheme="minorHAnsi" w:hAnsiTheme="minorHAnsi" w:cstheme="minorHAnsi"/>
          <w:sz w:val="24"/>
          <w:szCs w:val="24"/>
        </w:rPr>
        <w:tab/>
        <w:t xml:space="preserve">limit środków EFRROW na </w:t>
      </w:r>
      <w:r w:rsidR="00BF2375" w:rsidRPr="00E56406">
        <w:rPr>
          <w:rFonts w:asciiTheme="minorHAnsi" w:hAnsiTheme="minorHAnsi" w:cstheme="minorHAnsi"/>
          <w:sz w:val="24"/>
          <w:szCs w:val="24"/>
        </w:rPr>
        <w:t>interwencję</w:t>
      </w:r>
      <w:r w:rsidRPr="00E56406">
        <w:rPr>
          <w:rFonts w:asciiTheme="minorHAnsi" w:hAnsiTheme="minorHAnsi" w:cstheme="minorHAnsi"/>
          <w:sz w:val="24"/>
          <w:szCs w:val="24"/>
        </w:rPr>
        <w:t xml:space="preserve"> LEADER, wskazany w </w:t>
      </w:r>
      <w:r w:rsidR="000065D5" w:rsidRPr="00E56406">
        <w:rPr>
          <w:rFonts w:asciiTheme="minorHAnsi" w:hAnsiTheme="minorHAnsi" w:cstheme="minorHAnsi"/>
          <w:sz w:val="24"/>
          <w:szCs w:val="24"/>
        </w:rPr>
        <w:t>PS WPR</w:t>
      </w:r>
      <w:r w:rsidR="00A56186" w:rsidRPr="00E56406">
        <w:rPr>
          <w:rFonts w:asciiTheme="minorHAnsi" w:hAnsiTheme="minorHAnsi" w:cstheme="minorHAnsi"/>
          <w:sz w:val="24"/>
          <w:szCs w:val="24"/>
        </w:rPr>
        <w:t xml:space="preserve"> równy 389 680 000 EUR</w:t>
      </w:r>
      <w:r w:rsidR="00B96E90" w:rsidRPr="00E56406">
        <w:rPr>
          <w:rFonts w:asciiTheme="minorHAnsi" w:hAnsiTheme="minorHAnsi" w:cstheme="minorHAnsi"/>
          <w:sz w:val="24"/>
          <w:szCs w:val="24"/>
        </w:rPr>
        <w:t>,</w:t>
      </w:r>
      <w:r w:rsidRPr="00E56406">
        <w:rPr>
          <w:rFonts w:asciiTheme="minorHAnsi" w:hAnsiTheme="minorHAnsi" w:cstheme="minorHAnsi"/>
          <w:sz w:val="24"/>
          <w:szCs w:val="24"/>
        </w:rPr>
        <w:t xml:space="preserve"> powiększa się o kwotę wymaganego wkładu krajowych środków publicznych </w:t>
      </w:r>
      <w:r w:rsidR="00F4306A" w:rsidRPr="00E56406">
        <w:rPr>
          <w:rFonts w:asciiTheme="minorHAnsi" w:hAnsiTheme="minorHAnsi" w:cstheme="minorHAnsi"/>
          <w:sz w:val="24"/>
          <w:szCs w:val="24"/>
        </w:rPr>
        <w:t>dzieląc ten limit przez wielkość wkładu EFRROW równego 55%</w:t>
      </w:r>
      <w:r w:rsidR="00AF0256" w:rsidRPr="00E56406">
        <w:rPr>
          <w:rFonts w:asciiTheme="minorHAnsi" w:hAnsiTheme="minorHAnsi" w:cstheme="minorHAnsi"/>
          <w:sz w:val="24"/>
          <w:szCs w:val="24"/>
        </w:rPr>
        <w:t>;</w:t>
      </w:r>
    </w:p>
    <w:p w14:paraId="501EC671" w14:textId="5309A48E" w:rsidR="00BB0912" w:rsidRPr="00E56406" w:rsidRDefault="00DE7490"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2</w:t>
      </w:r>
      <w:r w:rsidR="00BB0912" w:rsidRPr="00E56406">
        <w:rPr>
          <w:rFonts w:asciiTheme="minorHAnsi" w:hAnsiTheme="minorHAnsi" w:cstheme="minorHAnsi"/>
          <w:sz w:val="24"/>
          <w:szCs w:val="24"/>
        </w:rPr>
        <w:t>)</w:t>
      </w:r>
      <w:r w:rsidR="00BB0912" w:rsidRPr="00E56406">
        <w:rPr>
          <w:rFonts w:asciiTheme="minorHAnsi" w:hAnsiTheme="minorHAnsi" w:cstheme="minorHAnsi"/>
          <w:sz w:val="24"/>
          <w:szCs w:val="24"/>
        </w:rPr>
        <w:tab/>
      </w:r>
      <w:r w:rsidR="00296531" w:rsidRPr="00E56406">
        <w:rPr>
          <w:rFonts w:asciiTheme="minorHAnsi" w:hAnsiTheme="minorHAnsi" w:cstheme="minorHAnsi"/>
          <w:sz w:val="24"/>
          <w:szCs w:val="24"/>
        </w:rPr>
        <w:t xml:space="preserve">po otrzymaniu </w:t>
      </w:r>
      <w:r w:rsidR="000526FF" w:rsidRPr="00E56406">
        <w:rPr>
          <w:rFonts w:asciiTheme="minorHAnsi" w:hAnsiTheme="minorHAnsi" w:cstheme="minorHAnsi"/>
          <w:sz w:val="24"/>
          <w:szCs w:val="24"/>
        </w:rPr>
        <w:t xml:space="preserve">przez </w:t>
      </w:r>
      <w:r w:rsidR="00046F1D">
        <w:rPr>
          <w:rFonts w:asciiTheme="minorHAnsi" w:hAnsiTheme="minorHAnsi" w:cstheme="minorHAnsi"/>
          <w:sz w:val="24"/>
          <w:szCs w:val="24"/>
        </w:rPr>
        <w:t>MRiRW</w:t>
      </w:r>
      <w:r w:rsidR="00296531" w:rsidRPr="00E56406">
        <w:rPr>
          <w:rFonts w:asciiTheme="minorHAnsi" w:hAnsiTheme="minorHAnsi" w:cstheme="minorHAnsi"/>
          <w:sz w:val="24"/>
          <w:szCs w:val="24"/>
        </w:rPr>
        <w:t xml:space="preserve"> od</w:t>
      </w:r>
      <w:r w:rsidR="00B93588" w:rsidRPr="00E56406">
        <w:rPr>
          <w:rFonts w:asciiTheme="minorHAnsi" w:hAnsiTheme="minorHAnsi" w:cstheme="minorHAnsi"/>
          <w:sz w:val="24"/>
          <w:szCs w:val="24"/>
        </w:rPr>
        <w:t xml:space="preserve"> </w:t>
      </w:r>
      <w:r w:rsidR="00CB792C" w:rsidRPr="00E56406">
        <w:rPr>
          <w:rFonts w:asciiTheme="minorHAnsi" w:hAnsiTheme="minorHAnsi" w:cstheme="minorHAnsi"/>
          <w:sz w:val="24"/>
          <w:szCs w:val="24"/>
        </w:rPr>
        <w:t xml:space="preserve">wszystkich </w:t>
      </w:r>
      <w:r w:rsidR="00046F1D">
        <w:rPr>
          <w:rFonts w:asciiTheme="minorHAnsi" w:hAnsiTheme="minorHAnsi" w:cstheme="minorHAnsi"/>
          <w:sz w:val="24"/>
          <w:szCs w:val="24"/>
        </w:rPr>
        <w:t>ZW</w:t>
      </w:r>
      <w:r w:rsidR="00BB0912" w:rsidRPr="00E56406">
        <w:rPr>
          <w:rFonts w:asciiTheme="minorHAnsi" w:hAnsiTheme="minorHAnsi" w:cstheme="minorHAnsi"/>
          <w:sz w:val="24"/>
          <w:szCs w:val="24"/>
        </w:rPr>
        <w:t xml:space="preserve"> informacj</w:t>
      </w:r>
      <w:r w:rsidR="00B93588" w:rsidRPr="00E56406">
        <w:rPr>
          <w:rFonts w:asciiTheme="minorHAnsi" w:hAnsiTheme="minorHAnsi" w:cstheme="minorHAnsi"/>
          <w:sz w:val="24"/>
          <w:szCs w:val="24"/>
        </w:rPr>
        <w:t>i</w:t>
      </w:r>
      <w:r w:rsidR="00BB0912" w:rsidRPr="00E56406">
        <w:rPr>
          <w:rFonts w:asciiTheme="minorHAnsi" w:hAnsiTheme="minorHAnsi" w:cstheme="minorHAnsi"/>
          <w:sz w:val="24"/>
          <w:szCs w:val="24"/>
        </w:rPr>
        <w:t xml:space="preserve"> dotycząc</w:t>
      </w:r>
      <w:r w:rsidR="00B93588" w:rsidRPr="00E56406">
        <w:rPr>
          <w:rFonts w:asciiTheme="minorHAnsi" w:hAnsiTheme="minorHAnsi" w:cstheme="minorHAnsi"/>
          <w:sz w:val="24"/>
          <w:szCs w:val="24"/>
        </w:rPr>
        <w:t>ych</w:t>
      </w:r>
      <w:r w:rsidR="00BB0912" w:rsidRPr="00E56406">
        <w:rPr>
          <w:rFonts w:asciiTheme="minorHAnsi" w:hAnsiTheme="minorHAnsi" w:cstheme="minorHAnsi"/>
          <w:sz w:val="24"/>
          <w:szCs w:val="24"/>
        </w:rPr>
        <w:t xml:space="preserve"> </w:t>
      </w:r>
      <w:r w:rsidR="00D243F5" w:rsidRPr="00E56406">
        <w:rPr>
          <w:rFonts w:asciiTheme="minorHAnsi" w:hAnsiTheme="minorHAnsi" w:cstheme="minorHAnsi"/>
          <w:sz w:val="24"/>
          <w:szCs w:val="24"/>
        </w:rPr>
        <w:t xml:space="preserve">wszystkich </w:t>
      </w:r>
      <w:r w:rsidR="00BB0912" w:rsidRPr="00E56406">
        <w:rPr>
          <w:rFonts w:asciiTheme="minorHAnsi" w:hAnsiTheme="minorHAnsi" w:cstheme="minorHAnsi"/>
          <w:sz w:val="24"/>
          <w:szCs w:val="24"/>
        </w:rPr>
        <w:t>LSR i LGD</w:t>
      </w:r>
      <w:r w:rsidR="00FA0D2C" w:rsidRPr="00E56406">
        <w:rPr>
          <w:rFonts w:asciiTheme="minorHAnsi" w:hAnsiTheme="minorHAnsi" w:cstheme="minorHAnsi"/>
          <w:sz w:val="24"/>
          <w:szCs w:val="24"/>
        </w:rPr>
        <w:t>, któ</w:t>
      </w:r>
      <w:r w:rsidR="002E3A11" w:rsidRPr="00E56406">
        <w:rPr>
          <w:rFonts w:asciiTheme="minorHAnsi" w:hAnsiTheme="minorHAnsi" w:cstheme="minorHAnsi"/>
          <w:sz w:val="24"/>
          <w:szCs w:val="24"/>
        </w:rPr>
        <w:t>re</w:t>
      </w:r>
      <w:r w:rsidR="00FA0D2C" w:rsidRPr="00E56406">
        <w:rPr>
          <w:rFonts w:asciiTheme="minorHAnsi" w:hAnsiTheme="minorHAnsi" w:cstheme="minorHAnsi"/>
          <w:sz w:val="24"/>
          <w:szCs w:val="24"/>
        </w:rPr>
        <w:t xml:space="preserve"> te strategi</w:t>
      </w:r>
      <w:r w:rsidR="002E3A11" w:rsidRPr="00E56406">
        <w:rPr>
          <w:rFonts w:asciiTheme="minorHAnsi" w:hAnsiTheme="minorHAnsi" w:cstheme="minorHAnsi"/>
          <w:sz w:val="24"/>
          <w:szCs w:val="24"/>
        </w:rPr>
        <w:t>e</w:t>
      </w:r>
      <w:r w:rsidR="00FA0D2C" w:rsidRPr="00E56406">
        <w:rPr>
          <w:rFonts w:asciiTheme="minorHAnsi" w:hAnsiTheme="minorHAnsi" w:cstheme="minorHAnsi"/>
          <w:sz w:val="24"/>
          <w:szCs w:val="24"/>
        </w:rPr>
        <w:t xml:space="preserve"> opracował</w:t>
      </w:r>
      <w:r w:rsidR="002E3A11" w:rsidRPr="00E56406">
        <w:rPr>
          <w:rFonts w:asciiTheme="minorHAnsi" w:hAnsiTheme="minorHAnsi" w:cstheme="minorHAnsi"/>
          <w:sz w:val="24"/>
          <w:szCs w:val="24"/>
        </w:rPr>
        <w:t>y</w:t>
      </w:r>
      <w:r w:rsidR="00BB0912" w:rsidRPr="00E56406">
        <w:rPr>
          <w:rFonts w:asciiTheme="minorHAnsi" w:hAnsiTheme="minorHAnsi" w:cstheme="minorHAnsi"/>
          <w:sz w:val="24"/>
          <w:szCs w:val="24"/>
        </w:rPr>
        <w:t>, w szczególności:</w:t>
      </w:r>
    </w:p>
    <w:p w14:paraId="47AFC26E" w14:textId="77777777" w:rsidR="00D243F5" w:rsidRPr="00E56406" w:rsidRDefault="00D243F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t>a)</w:t>
      </w:r>
      <w:r w:rsidRPr="00E56406">
        <w:rPr>
          <w:rFonts w:asciiTheme="minorHAnsi" w:hAnsiTheme="minorHAnsi" w:cstheme="minorHAnsi"/>
          <w:sz w:val="24"/>
          <w:szCs w:val="24"/>
        </w:rPr>
        <w:tab/>
        <w:t>nazwa LGD i nr KRS</w:t>
      </w:r>
    </w:p>
    <w:p w14:paraId="3CC2C696" w14:textId="77777777" w:rsidR="00BB0912" w:rsidRPr="00E56406" w:rsidRDefault="00D243F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t>b</w:t>
      </w:r>
      <w:r w:rsidR="00FA0D2C" w:rsidRPr="00E56406">
        <w:rPr>
          <w:rFonts w:asciiTheme="minorHAnsi" w:hAnsiTheme="minorHAnsi" w:cstheme="minorHAnsi"/>
          <w:sz w:val="24"/>
          <w:szCs w:val="24"/>
        </w:rPr>
        <w:t>)</w:t>
      </w:r>
      <w:r w:rsidR="00FA0D2C" w:rsidRPr="00E56406">
        <w:rPr>
          <w:rFonts w:asciiTheme="minorHAnsi" w:hAnsiTheme="minorHAnsi" w:cstheme="minorHAnsi"/>
          <w:sz w:val="24"/>
          <w:szCs w:val="24"/>
        </w:rPr>
        <w:tab/>
        <w:t xml:space="preserve">nazwy i numery TERYT gmin objętych LSR poszczególnych </w:t>
      </w:r>
      <w:r w:rsidR="00BB0912" w:rsidRPr="00E56406">
        <w:rPr>
          <w:rFonts w:asciiTheme="minorHAnsi" w:hAnsiTheme="minorHAnsi" w:cstheme="minorHAnsi"/>
          <w:sz w:val="24"/>
          <w:szCs w:val="24"/>
        </w:rPr>
        <w:t>LGD;</w:t>
      </w:r>
    </w:p>
    <w:p w14:paraId="17492D0E" w14:textId="77777777" w:rsidR="00BB0912" w:rsidRPr="00E56406" w:rsidRDefault="00D243F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t>c</w:t>
      </w:r>
      <w:r w:rsidR="00BB0912" w:rsidRPr="00E56406">
        <w:rPr>
          <w:rFonts w:asciiTheme="minorHAnsi" w:hAnsiTheme="minorHAnsi" w:cstheme="minorHAnsi"/>
          <w:sz w:val="24"/>
          <w:szCs w:val="24"/>
        </w:rPr>
        <w:t>)</w:t>
      </w:r>
      <w:r w:rsidR="00BB0912" w:rsidRPr="00E56406">
        <w:rPr>
          <w:rFonts w:asciiTheme="minorHAnsi" w:hAnsiTheme="minorHAnsi" w:cstheme="minorHAnsi"/>
          <w:sz w:val="24"/>
          <w:szCs w:val="24"/>
        </w:rPr>
        <w:tab/>
        <w:t xml:space="preserve">liczbę ludności wiejskiej zamieszkałej obszar objęty poszczególnymi </w:t>
      </w:r>
      <w:r w:rsidR="00FA0D2C" w:rsidRPr="00E56406">
        <w:rPr>
          <w:rFonts w:asciiTheme="minorHAnsi" w:hAnsiTheme="minorHAnsi" w:cstheme="minorHAnsi"/>
          <w:sz w:val="24"/>
          <w:szCs w:val="24"/>
        </w:rPr>
        <w:t xml:space="preserve">planowanymi </w:t>
      </w:r>
      <w:r w:rsidR="00BB0912" w:rsidRPr="00E56406">
        <w:rPr>
          <w:rFonts w:asciiTheme="minorHAnsi" w:hAnsiTheme="minorHAnsi" w:cstheme="minorHAnsi"/>
          <w:sz w:val="24"/>
          <w:szCs w:val="24"/>
        </w:rPr>
        <w:t>LSR</w:t>
      </w:r>
      <w:r w:rsidR="00790B45" w:rsidRPr="00E56406">
        <w:rPr>
          <w:rFonts w:asciiTheme="minorHAnsi" w:hAnsiTheme="minorHAnsi" w:cstheme="minorHAnsi"/>
          <w:sz w:val="24"/>
          <w:szCs w:val="24"/>
        </w:rPr>
        <w:t xml:space="preserve"> (według danych GUS </w:t>
      </w:r>
      <w:r w:rsidR="00255D95" w:rsidRPr="00E56406">
        <w:rPr>
          <w:rFonts w:asciiTheme="minorHAnsi" w:hAnsiTheme="minorHAnsi" w:cstheme="minorHAnsi"/>
          <w:sz w:val="24"/>
          <w:szCs w:val="24"/>
        </w:rPr>
        <w:t>z</w:t>
      </w:r>
      <w:r w:rsidR="00790B45" w:rsidRPr="00E56406">
        <w:rPr>
          <w:rFonts w:asciiTheme="minorHAnsi" w:hAnsiTheme="minorHAnsi" w:cstheme="minorHAnsi"/>
          <w:sz w:val="24"/>
          <w:szCs w:val="24"/>
        </w:rPr>
        <w:t>a 2020 rok)</w:t>
      </w:r>
      <w:r w:rsidR="00BB0912" w:rsidRPr="00E56406">
        <w:rPr>
          <w:rFonts w:asciiTheme="minorHAnsi" w:hAnsiTheme="minorHAnsi" w:cstheme="minorHAnsi"/>
          <w:sz w:val="24"/>
          <w:szCs w:val="24"/>
        </w:rPr>
        <w:t>;</w:t>
      </w:r>
    </w:p>
    <w:p w14:paraId="6D522D47" w14:textId="77777777" w:rsidR="00790B45" w:rsidRPr="00E56406" w:rsidRDefault="00790B4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t>d)</w:t>
      </w:r>
      <w:r w:rsidRPr="00E56406">
        <w:rPr>
          <w:rFonts w:asciiTheme="minorHAnsi" w:hAnsiTheme="minorHAnsi" w:cstheme="minorHAnsi"/>
          <w:sz w:val="24"/>
          <w:szCs w:val="24"/>
        </w:rPr>
        <w:tab/>
        <w:t xml:space="preserve">informację czy spełnione są </w:t>
      </w:r>
      <w:r w:rsidR="00C36177" w:rsidRPr="00E56406">
        <w:rPr>
          <w:rFonts w:asciiTheme="minorHAnsi" w:hAnsiTheme="minorHAnsi" w:cstheme="minorHAnsi"/>
          <w:sz w:val="24"/>
          <w:szCs w:val="24"/>
        </w:rPr>
        <w:t>warunk</w:t>
      </w:r>
      <w:r w:rsidR="00B4287F" w:rsidRPr="00E56406">
        <w:rPr>
          <w:rFonts w:asciiTheme="minorHAnsi" w:hAnsiTheme="minorHAnsi" w:cstheme="minorHAnsi"/>
          <w:sz w:val="24"/>
          <w:szCs w:val="24"/>
        </w:rPr>
        <w:t>i</w:t>
      </w:r>
      <w:r w:rsidR="00C36177" w:rsidRPr="00E56406">
        <w:rPr>
          <w:rFonts w:asciiTheme="minorHAnsi" w:hAnsiTheme="minorHAnsi" w:cstheme="minorHAnsi"/>
          <w:sz w:val="24"/>
          <w:szCs w:val="24"/>
        </w:rPr>
        <w:t xml:space="preserve"> dostę</w:t>
      </w:r>
      <w:r w:rsidR="00B4287F" w:rsidRPr="00E56406">
        <w:rPr>
          <w:rFonts w:asciiTheme="minorHAnsi" w:hAnsiTheme="minorHAnsi" w:cstheme="minorHAnsi"/>
          <w:sz w:val="24"/>
          <w:szCs w:val="24"/>
        </w:rPr>
        <w:t>pu oraz czy nie ma konfliktu obszarowego z innymi LSR lub jest on rozstrzygnięty na korzyść danej LSR (</w:t>
      </w:r>
      <w:r w:rsidR="00B4287F" w:rsidRPr="00E56406">
        <w:rPr>
          <w:rFonts w:asciiTheme="minorHAnsi" w:eastAsia="Calibri" w:hAnsiTheme="minorHAnsi" w:cstheme="minorHAnsi"/>
          <w:sz w:val="24"/>
          <w:szCs w:val="24"/>
          <w:lang w:eastAsia="en-US"/>
        </w:rPr>
        <w:t>§ 13</w:t>
      </w:r>
      <w:r w:rsidR="00B4287F" w:rsidRPr="00E56406">
        <w:rPr>
          <w:rFonts w:asciiTheme="minorHAnsi" w:hAnsiTheme="minorHAnsi" w:cstheme="minorHAnsi"/>
          <w:sz w:val="24"/>
          <w:szCs w:val="24"/>
        </w:rPr>
        <w:t xml:space="preserve"> regulaminu konkursu</w:t>
      </w:r>
      <w:r w:rsidR="00CB792C" w:rsidRPr="00E56406">
        <w:rPr>
          <w:rFonts w:asciiTheme="minorHAnsi" w:hAnsiTheme="minorHAnsi" w:cstheme="minorHAnsi"/>
          <w:sz w:val="24"/>
          <w:szCs w:val="24"/>
        </w:rPr>
        <w:t xml:space="preserve"> na wybór strategii rozwoju lokalnego kierowanego przez społeczność</w:t>
      </w:r>
      <w:r w:rsidR="00B4287F" w:rsidRPr="00E56406">
        <w:rPr>
          <w:rFonts w:asciiTheme="minorHAnsi" w:hAnsiTheme="minorHAnsi" w:cstheme="minorHAnsi"/>
          <w:sz w:val="24"/>
          <w:szCs w:val="24"/>
        </w:rPr>
        <w:t>)</w:t>
      </w:r>
      <w:r w:rsidR="00C36177" w:rsidRPr="00E56406">
        <w:rPr>
          <w:rFonts w:asciiTheme="minorHAnsi" w:hAnsiTheme="minorHAnsi" w:cstheme="minorHAnsi"/>
          <w:sz w:val="24"/>
          <w:szCs w:val="24"/>
        </w:rPr>
        <w:t xml:space="preserve"> </w:t>
      </w:r>
      <w:r w:rsidRPr="00E56406">
        <w:rPr>
          <w:rFonts w:asciiTheme="minorHAnsi" w:hAnsiTheme="minorHAnsi" w:cstheme="minorHAnsi"/>
          <w:sz w:val="24"/>
          <w:szCs w:val="24"/>
        </w:rPr>
        <w:t>;</w:t>
      </w:r>
    </w:p>
    <w:p w14:paraId="049FE9AB" w14:textId="77777777" w:rsidR="00DE7490" w:rsidRPr="00E56406" w:rsidRDefault="00790B4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t>e</w:t>
      </w:r>
      <w:r w:rsidR="00BB0912" w:rsidRPr="00E56406">
        <w:rPr>
          <w:rFonts w:asciiTheme="minorHAnsi" w:hAnsiTheme="minorHAnsi" w:cstheme="minorHAnsi"/>
          <w:sz w:val="24"/>
          <w:szCs w:val="24"/>
        </w:rPr>
        <w:t>)</w:t>
      </w:r>
      <w:r w:rsidR="00BB0912" w:rsidRPr="00E56406">
        <w:rPr>
          <w:rFonts w:asciiTheme="minorHAnsi" w:hAnsiTheme="minorHAnsi" w:cstheme="minorHAnsi"/>
          <w:sz w:val="24"/>
          <w:szCs w:val="24"/>
        </w:rPr>
        <w:tab/>
        <w:t xml:space="preserve">wysokość środków </w:t>
      </w:r>
      <w:r w:rsidR="00DE7490" w:rsidRPr="00E56406">
        <w:rPr>
          <w:rFonts w:asciiTheme="minorHAnsi" w:hAnsiTheme="minorHAnsi" w:cstheme="minorHAnsi"/>
          <w:sz w:val="24"/>
          <w:szCs w:val="24"/>
        </w:rPr>
        <w:t xml:space="preserve">w ramach </w:t>
      </w:r>
      <w:r w:rsidR="000065D5" w:rsidRPr="00E56406">
        <w:rPr>
          <w:rFonts w:asciiTheme="minorHAnsi" w:hAnsiTheme="minorHAnsi" w:cstheme="minorHAnsi"/>
          <w:sz w:val="24"/>
          <w:szCs w:val="24"/>
        </w:rPr>
        <w:t>PS WPR</w:t>
      </w:r>
      <w:r w:rsidR="00BB0912" w:rsidRPr="00E56406">
        <w:rPr>
          <w:rFonts w:asciiTheme="minorHAnsi" w:hAnsiTheme="minorHAnsi" w:cstheme="minorHAnsi"/>
          <w:sz w:val="24"/>
          <w:szCs w:val="24"/>
        </w:rPr>
        <w:t xml:space="preserve"> przewidzianych </w:t>
      </w:r>
      <w:r w:rsidR="00B96E90" w:rsidRPr="00E56406">
        <w:rPr>
          <w:rFonts w:asciiTheme="minorHAnsi" w:hAnsiTheme="minorHAnsi" w:cstheme="minorHAnsi"/>
          <w:sz w:val="24"/>
          <w:szCs w:val="24"/>
        </w:rPr>
        <w:t>w poszczególnych wnioskach o wybór</w:t>
      </w:r>
      <w:r w:rsidR="00F936BA" w:rsidRPr="00E56406">
        <w:rPr>
          <w:rFonts w:asciiTheme="minorHAnsi" w:hAnsiTheme="minorHAnsi" w:cstheme="minorHAnsi"/>
          <w:sz w:val="24"/>
          <w:szCs w:val="24"/>
        </w:rPr>
        <w:t xml:space="preserve"> </w:t>
      </w:r>
      <w:r w:rsidR="00BB0912" w:rsidRPr="00E56406">
        <w:rPr>
          <w:rFonts w:asciiTheme="minorHAnsi" w:hAnsiTheme="minorHAnsi" w:cstheme="minorHAnsi"/>
          <w:sz w:val="24"/>
          <w:szCs w:val="24"/>
        </w:rPr>
        <w:t xml:space="preserve">LSR </w:t>
      </w:r>
      <w:r w:rsidR="00A4638F" w:rsidRPr="00E56406">
        <w:rPr>
          <w:rFonts w:asciiTheme="minorHAnsi" w:hAnsiTheme="minorHAnsi" w:cstheme="minorHAnsi"/>
          <w:sz w:val="24"/>
          <w:szCs w:val="24"/>
        </w:rPr>
        <w:t>na</w:t>
      </w:r>
      <w:r w:rsidR="00021C65" w:rsidRPr="00E56406">
        <w:rPr>
          <w:rFonts w:asciiTheme="minorHAnsi" w:hAnsiTheme="minorHAnsi" w:cstheme="minorHAnsi"/>
          <w:sz w:val="24"/>
          <w:szCs w:val="24"/>
        </w:rPr>
        <w:t xml:space="preserve"> komponent </w:t>
      </w:r>
      <w:r w:rsidR="00A4638F" w:rsidRPr="00E56406">
        <w:rPr>
          <w:rFonts w:asciiTheme="minorHAnsi" w:hAnsiTheme="minorHAnsi" w:cstheme="minorHAnsi"/>
          <w:sz w:val="24"/>
          <w:szCs w:val="24"/>
        </w:rPr>
        <w:t xml:space="preserve">wdrażanie </w:t>
      </w:r>
      <w:r w:rsidR="00A07D14" w:rsidRPr="00E56406">
        <w:rPr>
          <w:rFonts w:asciiTheme="minorHAnsi" w:hAnsiTheme="minorHAnsi" w:cstheme="minorHAnsi"/>
          <w:sz w:val="24"/>
          <w:szCs w:val="24"/>
        </w:rPr>
        <w:t>LSR</w:t>
      </w:r>
      <w:r w:rsidR="00021C65" w:rsidRPr="00E56406">
        <w:rPr>
          <w:rFonts w:asciiTheme="minorHAnsi" w:hAnsiTheme="minorHAnsi" w:cstheme="minorHAnsi"/>
          <w:sz w:val="24"/>
          <w:szCs w:val="24"/>
        </w:rPr>
        <w:t>;</w:t>
      </w:r>
      <w:r w:rsidR="00A4638F" w:rsidRPr="00E56406">
        <w:rPr>
          <w:rFonts w:asciiTheme="minorHAnsi" w:hAnsiTheme="minorHAnsi" w:cstheme="minorHAnsi"/>
          <w:sz w:val="24"/>
          <w:szCs w:val="24"/>
        </w:rPr>
        <w:t xml:space="preserve"> </w:t>
      </w:r>
    </w:p>
    <w:p w14:paraId="05D3F5C1" w14:textId="77777777" w:rsidR="00BB0912" w:rsidRPr="00E56406" w:rsidRDefault="00790B45" w:rsidP="00BB06C3">
      <w:pPr>
        <w:pStyle w:val="AkapitStandardowyRyczat"/>
        <w:spacing w:before="60" w:line="276" w:lineRule="auto"/>
        <w:ind w:left="851" w:hanging="425"/>
        <w:rPr>
          <w:rFonts w:asciiTheme="minorHAnsi" w:hAnsiTheme="minorHAnsi" w:cstheme="minorHAnsi"/>
          <w:sz w:val="24"/>
          <w:szCs w:val="24"/>
        </w:rPr>
      </w:pPr>
      <w:r w:rsidRPr="00E56406">
        <w:rPr>
          <w:rFonts w:asciiTheme="minorHAnsi" w:hAnsiTheme="minorHAnsi" w:cstheme="minorHAnsi"/>
          <w:sz w:val="24"/>
          <w:szCs w:val="24"/>
        </w:rPr>
        <w:lastRenderedPageBreak/>
        <w:t>f</w:t>
      </w:r>
      <w:r w:rsidR="00DE7490" w:rsidRPr="00E56406">
        <w:rPr>
          <w:rFonts w:asciiTheme="minorHAnsi" w:hAnsiTheme="minorHAnsi" w:cstheme="minorHAnsi"/>
          <w:sz w:val="24"/>
          <w:szCs w:val="24"/>
        </w:rPr>
        <w:t>)</w:t>
      </w:r>
      <w:r w:rsidR="00DE7490" w:rsidRPr="00E56406">
        <w:rPr>
          <w:rFonts w:asciiTheme="minorHAnsi" w:hAnsiTheme="minorHAnsi" w:cstheme="minorHAnsi"/>
          <w:sz w:val="24"/>
          <w:szCs w:val="24"/>
        </w:rPr>
        <w:tab/>
        <w:t xml:space="preserve">wysokość środków w ramach </w:t>
      </w:r>
      <w:r w:rsidR="000065D5" w:rsidRPr="00E56406">
        <w:rPr>
          <w:rFonts w:asciiTheme="minorHAnsi" w:hAnsiTheme="minorHAnsi" w:cstheme="minorHAnsi"/>
          <w:sz w:val="24"/>
          <w:szCs w:val="24"/>
        </w:rPr>
        <w:t>PS WPR</w:t>
      </w:r>
      <w:r w:rsidR="00DE7490" w:rsidRPr="00E56406">
        <w:rPr>
          <w:rFonts w:asciiTheme="minorHAnsi" w:hAnsiTheme="minorHAnsi" w:cstheme="minorHAnsi"/>
          <w:sz w:val="24"/>
          <w:szCs w:val="24"/>
        </w:rPr>
        <w:t xml:space="preserve"> przewidzianych </w:t>
      </w:r>
      <w:r w:rsidR="00021C65" w:rsidRPr="00E56406">
        <w:rPr>
          <w:rFonts w:asciiTheme="minorHAnsi" w:hAnsiTheme="minorHAnsi" w:cstheme="minorHAnsi"/>
          <w:sz w:val="24"/>
          <w:szCs w:val="24"/>
        </w:rPr>
        <w:t xml:space="preserve">w poszczególnych wnioskach o wybór LSR na komponent </w:t>
      </w:r>
      <w:r w:rsidR="0011165B" w:rsidRPr="00E56406">
        <w:rPr>
          <w:rFonts w:asciiTheme="minorHAnsi" w:hAnsiTheme="minorHAnsi" w:cstheme="minorHAnsi"/>
          <w:sz w:val="24"/>
          <w:szCs w:val="24"/>
        </w:rPr>
        <w:t>z</w:t>
      </w:r>
      <w:r w:rsidR="00A4638F" w:rsidRPr="00E56406">
        <w:rPr>
          <w:rFonts w:asciiTheme="minorHAnsi" w:hAnsiTheme="minorHAnsi" w:cstheme="minorHAnsi"/>
          <w:sz w:val="24"/>
          <w:szCs w:val="24"/>
        </w:rPr>
        <w:t xml:space="preserve">arządzanie LSR </w:t>
      </w:r>
    </w:p>
    <w:p w14:paraId="2F879C2B" w14:textId="0807ED63" w:rsidR="00D243F5" w:rsidRPr="00E56406" w:rsidRDefault="00021C65" w:rsidP="00BB06C3">
      <w:pPr>
        <w:pStyle w:val="AkapitStandardowyRyczat"/>
        <w:spacing w:before="60" w:line="276" w:lineRule="auto"/>
        <w:rPr>
          <w:rFonts w:asciiTheme="minorHAnsi" w:hAnsiTheme="minorHAnsi" w:cstheme="minorHAnsi"/>
          <w:sz w:val="24"/>
          <w:szCs w:val="24"/>
        </w:rPr>
      </w:pPr>
      <w:r w:rsidRPr="00E56406">
        <w:rPr>
          <w:rFonts w:asciiTheme="minorHAnsi" w:hAnsiTheme="minorHAnsi" w:cstheme="minorHAnsi"/>
          <w:sz w:val="24"/>
          <w:szCs w:val="24"/>
        </w:rPr>
        <w:t xml:space="preserve">- </w:t>
      </w:r>
      <w:r w:rsidR="00046F1D">
        <w:rPr>
          <w:rFonts w:asciiTheme="minorHAnsi" w:hAnsiTheme="minorHAnsi" w:cstheme="minorHAnsi"/>
          <w:sz w:val="24"/>
          <w:szCs w:val="24"/>
        </w:rPr>
        <w:t>MRiRW</w:t>
      </w:r>
      <w:r w:rsidR="003D5028" w:rsidRPr="00E56406">
        <w:rPr>
          <w:rFonts w:asciiTheme="minorHAnsi" w:hAnsiTheme="minorHAnsi" w:cstheme="minorHAnsi"/>
          <w:sz w:val="24"/>
          <w:szCs w:val="24"/>
        </w:rPr>
        <w:t xml:space="preserve"> </w:t>
      </w:r>
      <w:r w:rsidR="00BB0912" w:rsidRPr="00E56406">
        <w:rPr>
          <w:rFonts w:asciiTheme="minorHAnsi" w:hAnsiTheme="minorHAnsi" w:cstheme="minorHAnsi"/>
          <w:sz w:val="24"/>
          <w:szCs w:val="24"/>
        </w:rPr>
        <w:t xml:space="preserve">dla każdej LSR spełniającej warunki </w:t>
      </w:r>
      <w:r w:rsidR="00CB792C" w:rsidRPr="00E56406">
        <w:rPr>
          <w:rFonts w:asciiTheme="minorHAnsi" w:hAnsiTheme="minorHAnsi" w:cstheme="minorHAnsi"/>
          <w:sz w:val="24"/>
          <w:szCs w:val="24"/>
        </w:rPr>
        <w:t>dostępu i która nie ma konfliktu obszarowego z innymi LSR lub jest on rozstrzygnięty na korzyść danej LSR (</w:t>
      </w:r>
      <w:r w:rsidR="000E0061" w:rsidRPr="00E56406">
        <w:rPr>
          <w:rFonts w:asciiTheme="minorHAnsi" w:eastAsia="Calibri" w:hAnsiTheme="minorHAnsi" w:cstheme="minorHAnsi"/>
          <w:sz w:val="24"/>
          <w:szCs w:val="24"/>
          <w:lang w:eastAsia="en-US"/>
        </w:rPr>
        <w:t>§ 13</w:t>
      </w:r>
      <w:r w:rsidR="006457C4" w:rsidRPr="00E56406">
        <w:rPr>
          <w:rFonts w:asciiTheme="minorHAnsi" w:hAnsiTheme="minorHAnsi" w:cstheme="minorHAnsi"/>
          <w:sz w:val="24"/>
          <w:szCs w:val="24"/>
        </w:rPr>
        <w:t xml:space="preserve"> regulaminu konkursu na wybór strategii rozwoju lokalnego kierowanego przez społeczność)</w:t>
      </w:r>
      <w:r w:rsidR="00BB0912" w:rsidRPr="00E56406">
        <w:rPr>
          <w:rFonts w:asciiTheme="minorHAnsi" w:hAnsiTheme="minorHAnsi" w:cstheme="minorHAnsi"/>
          <w:sz w:val="24"/>
          <w:szCs w:val="24"/>
        </w:rPr>
        <w:t xml:space="preserve"> </w:t>
      </w:r>
      <w:r w:rsidR="00FA0D2C" w:rsidRPr="00E56406">
        <w:rPr>
          <w:rFonts w:asciiTheme="minorHAnsi" w:hAnsiTheme="minorHAnsi" w:cstheme="minorHAnsi"/>
          <w:sz w:val="24"/>
          <w:szCs w:val="24"/>
        </w:rPr>
        <w:t>i LGD, któ</w:t>
      </w:r>
      <w:r w:rsidR="002E3A11" w:rsidRPr="00E56406">
        <w:rPr>
          <w:rFonts w:asciiTheme="minorHAnsi" w:hAnsiTheme="minorHAnsi" w:cstheme="minorHAnsi"/>
          <w:sz w:val="24"/>
          <w:szCs w:val="24"/>
        </w:rPr>
        <w:t>ra tę LSR opracowała,</w:t>
      </w:r>
      <w:r w:rsidR="00BB0912" w:rsidRPr="00E56406">
        <w:rPr>
          <w:rFonts w:asciiTheme="minorHAnsi" w:hAnsiTheme="minorHAnsi" w:cstheme="minorHAnsi"/>
          <w:sz w:val="24"/>
          <w:szCs w:val="24"/>
        </w:rPr>
        <w:t xml:space="preserve"> ustala wysokość środków</w:t>
      </w:r>
      <w:r w:rsidR="004B1FD1" w:rsidRPr="00E56406">
        <w:rPr>
          <w:rFonts w:asciiTheme="minorHAnsi" w:hAnsiTheme="minorHAnsi" w:cstheme="minorHAnsi"/>
          <w:sz w:val="24"/>
          <w:szCs w:val="24"/>
        </w:rPr>
        <w:t xml:space="preserve"> na </w:t>
      </w:r>
      <w:r w:rsidR="00E34C13" w:rsidRPr="00E56406">
        <w:rPr>
          <w:rFonts w:asciiTheme="minorHAnsi" w:hAnsiTheme="minorHAnsi" w:cstheme="minorHAnsi"/>
          <w:sz w:val="24"/>
          <w:szCs w:val="24"/>
        </w:rPr>
        <w:t xml:space="preserve">komponent </w:t>
      </w:r>
      <w:r w:rsidR="0011165B" w:rsidRPr="00E56406">
        <w:rPr>
          <w:rFonts w:asciiTheme="minorHAnsi" w:hAnsiTheme="minorHAnsi" w:cstheme="minorHAnsi"/>
          <w:sz w:val="24"/>
          <w:szCs w:val="24"/>
        </w:rPr>
        <w:t>w</w:t>
      </w:r>
      <w:r w:rsidR="004B1FD1" w:rsidRPr="00E56406">
        <w:rPr>
          <w:rFonts w:asciiTheme="minorHAnsi" w:hAnsiTheme="minorHAnsi" w:cstheme="minorHAnsi"/>
          <w:sz w:val="24"/>
          <w:szCs w:val="24"/>
        </w:rPr>
        <w:t>drażanie LSR oraz</w:t>
      </w:r>
      <w:r w:rsidR="00BB0912" w:rsidRPr="00E56406">
        <w:rPr>
          <w:rFonts w:asciiTheme="minorHAnsi" w:hAnsiTheme="minorHAnsi" w:cstheme="minorHAnsi"/>
          <w:sz w:val="24"/>
          <w:szCs w:val="24"/>
        </w:rPr>
        <w:t xml:space="preserve"> </w:t>
      </w:r>
      <w:r w:rsidR="004B1FD1" w:rsidRPr="00E56406">
        <w:rPr>
          <w:rFonts w:asciiTheme="minorHAnsi" w:hAnsiTheme="minorHAnsi" w:cstheme="minorHAnsi"/>
          <w:sz w:val="24"/>
          <w:szCs w:val="24"/>
        </w:rPr>
        <w:t>na</w:t>
      </w:r>
      <w:r w:rsidR="00E34C13" w:rsidRPr="00E56406">
        <w:rPr>
          <w:rFonts w:asciiTheme="minorHAnsi" w:hAnsiTheme="minorHAnsi" w:cstheme="minorHAnsi"/>
          <w:sz w:val="24"/>
          <w:szCs w:val="24"/>
        </w:rPr>
        <w:t xml:space="preserve"> komponent</w:t>
      </w:r>
      <w:r w:rsidR="004B1FD1" w:rsidRPr="00E56406">
        <w:rPr>
          <w:rFonts w:asciiTheme="minorHAnsi" w:hAnsiTheme="minorHAnsi" w:cstheme="minorHAnsi"/>
          <w:sz w:val="24"/>
          <w:szCs w:val="24"/>
        </w:rPr>
        <w:t xml:space="preserve"> </w:t>
      </w:r>
      <w:r w:rsidR="0011165B" w:rsidRPr="00E56406">
        <w:rPr>
          <w:rFonts w:asciiTheme="minorHAnsi" w:hAnsiTheme="minorHAnsi" w:cstheme="minorHAnsi"/>
          <w:sz w:val="24"/>
          <w:szCs w:val="24"/>
        </w:rPr>
        <w:t>z</w:t>
      </w:r>
      <w:r w:rsidR="004B1FD1" w:rsidRPr="00E56406">
        <w:rPr>
          <w:rFonts w:asciiTheme="minorHAnsi" w:hAnsiTheme="minorHAnsi" w:cstheme="minorHAnsi"/>
          <w:sz w:val="24"/>
          <w:szCs w:val="24"/>
        </w:rPr>
        <w:t xml:space="preserve">arządzanie LSR w ramach </w:t>
      </w:r>
      <w:r w:rsidR="000065D5" w:rsidRPr="00E56406">
        <w:rPr>
          <w:rFonts w:asciiTheme="minorHAnsi" w:hAnsiTheme="minorHAnsi" w:cstheme="minorHAnsi"/>
          <w:sz w:val="24"/>
          <w:szCs w:val="24"/>
        </w:rPr>
        <w:t>PS WPR</w:t>
      </w:r>
      <w:r w:rsidR="00897F47" w:rsidRPr="00E56406">
        <w:rPr>
          <w:rFonts w:asciiTheme="minorHAnsi" w:hAnsiTheme="minorHAnsi" w:cstheme="minorHAnsi"/>
          <w:sz w:val="24"/>
          <w:szCs w:val="24"/>
        </w:rPr>
        <w:t>;</w:t>
      </w:r>
    </w:p>
    <w:p w14:paraId="007EFA29" w14:textId="2F2EDD8B" w:rsidR="00790B45" w:rsidRPr="00E56406" w:rsidRDefault="000526FF"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3</w:t>
      </w:r>
      <w:r w:rsidR="00790B45" w:rsidRPr="00E56406">
        <w:rPr>
          <w:rFonts w:asciiTheme="minorHAnsi" w:hAnsiTheme="minorHAnsi" w:cstheme="minorHAnsi"/>
          <w:sz w:val="24"/>
          <w:szCs w:val="24"/>
        </w:rPr>
        <w:t>)</w:t>
      </w:r>
      <w:r w:rsidR="00790B45" w:rsidRPr="00E56406">
        <w:rPr>
          <w:rFonts w:asciiTheme="minorHAnsi" w:hAnsiTheme="minorHAnsi" w:cstheme="minorHAnsi"/>
          <w:sz w:val="24"/>
          <w:szCs w:val="24"/>
        </w:rPr>
        <w:tab/>
        <w:t xml:space="preserve">wraz z informacjami, o których mowa w pkt 2 </w:t>
      </w:r>
      <w:r w:rsidR="00046F1D">
        <w:rPr>
          <w:rFonts w:asciiTheme="minorHAnsi" w:hAnsiTheme="minorHAnsi" w:cstheme="minorHAnsi"/>
          <w:sz w:val="24"/>
          <w:szCs w:val="24"/>
        </w:rPr>
        <w:t>ZW</w:t>
      </w:r>
      <w:r w:rsidR="00790B45" w:rsidRPr="00E56406">
        <w:rPr>
          <w:rFonts w:asciiTheme="minorHAnsi" w:hAnsiTheme="minorHAnsi" w:cstheme="minorHAnsi"/>
          <w:sz w:val="24"/>
          <w:szCs w:val="24"/>
        </w:rPr>
        <w:t xml:space="preserve"> przekazują informacje o białych plamach na obszarze tych województw wraz z informacją o</w:t>
      </w:r>
      <w:r w:rsidR="00792EFF" w:rsidRPr="00E56406">
        <w:rPr>
          <w:rFonts w:asciiTheme="minorHAnsi" w:hAnsiTheme="minorHAnsi" w:cstheme="minorHAnsi"/>
          <w:sz w:val="24"/>
          <w:szCs w:val="24"/>
        </w:rPr>
        <w:t xml:space="preserve"> liczbie mieszkańców poszczególnych białych plam</w:t>
      </w:r>
      <w:r w:rsidR="00DA6C4F" w:rsidRPr="00E56406">
        <w:rPr>
          <w:rFonts w:asciiTheme="minorHAnsi" w:hAnsiTheme="minorHAnsi" w:cstheme="minorHAnsi"/>
          <w:sz w:val="24"/>
          <w:szCs w:val="24"/>
        </w:rPr>
        <w:t>.</w:t>
      </w:r>
    </w:p>
    <w:p w14:paraId="6727DA96" w14:textId="0C3A8E06" w:rsidR="006B40E2" w:rsidRPr="00E56406" w:rsidRDefault="000526FF"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4</w:t>
      </w:r>
      <w:r w:rsidR="00BB0912" w:rsidRPr="00E56406">
        <w:rPr>
          <w:rFonts w:asciiTheme="minorHAnsi" w:hAnsiTheme="minorHAnsi" w:cstheme="minorHAnsi"/>
          <w:sz w:val="24"/>
          <w:szCs w:val="24"/>
        </w:rPr>
        <w:t>)</w:t>
      </w:r>
      <w:r w:rsidR="00BB0912" w:rsidRPr="00E56406">
        <w:rPr>
          <w:rFonts w:asciiTheme="minorHAnsi" w:hAnsiTheme="minorHAnsi" w:cstheme="minorHAnsi"/>
          <w:sz w:val="24"/>
          <w:szCs w:val="24"/>
        </w:rPr>
        <w:tab/>
      </w:r>
      <w:r w:rsidR="00926F96" w:rsidRPr="00E56406">
        <w:rPr>
          <w:rFonts w:asciiTheme="minorHAnsi" w:hAnsiTheme="minorHAnsi" w:cstheme="minorHAnsi"/>
          <w:sz w:val="24"/>
          <w:szCs w:val="24"/>
        </w:rPr>
        <w:t>na podstawie kwot, o których mowa w pkt 2</w:t>
      </w:r>
      <w:r w:rsidR="00C27B9C" w:rsidRPr="00E56406">
        <w:rPr>
          <w:rFonts w:asciiTheme="minorHAnsi" w:hAnsiTheme="minorHAnsi" w:cstheme="minorHAnsi"/>
          <w:sz w:val="24"/>
          <w:szCs w:val="24"/>
        </w:rPr>
        <w:t xml:space="preserve"> </w:t>
      </w:r>
      <w:r w:rsidR="007858E5" w:rsidRPr="00E56406">
        <w:rPr>
          <w:rFonts w:asciiTheme="minorHAnsi" w:hAnsiTheme="minorHAnsi" w:cstheme="minorHAnsi"/>
          <w:sz w:val="24"/>
          <w:szCs w:val="24"/>
        </w:rPr>
        <w:t>i 3</w:t>
      </w:r>
      <w:r w:rsidR="0025323A" w:rsidRPr="00E56406">
        <w:rPr>
          <w:rFonts w:asciiTheme="minorHAnsi" w:hAnsiTheme="minorHAnsi" w:cstheme="minorHAnsi"/>
          <w:sz w:val="24"/>
          <w:szCs w:val="24"/>
        </w:rPr>
        <w:t>,</w:t>
      </w:r>
      <w:r w:rsidR="00926F96" w:rsidRPr="00E56406">
        <w:rPr>
          <w:rFonts w:asciiTheme="minorHAnsi" w:hAnsiTheme="minorHAnsi" w:cstheme="minorHAnsi"/>
          <w:sz w:val="24"/>
          <w:szCs w:val="24"/>
        </w:rPr>
        <w:t xml:space="preserve"> dla każdego województwa ustala się łączne zapotrzebowanie na środki przeznaczone na komponent wdrażanie LSR i na komponent zarządzanie LSR w ramach PS WPR w danym województwie</w:t>
      </w:r>
      <w:r w:rsidR="00C27B9C" w:rsidRPr="00E56406">
        <w:rPr>
          <w:rFonts w:asciiTheme="minorHAnsi" w:hAnsiTheme="minorHAnsi" w:cstheme="minorHAnsi"/>
          <w:sz w:val="24"/>
          <w:szCs w:val="24"/>
        </w:rPr>
        <w:t xml:space="preserve"> </w:t>
      </w:r>
      <w:r w:rsidR="00926F96" w:rsidRPr="00E56406">
        <w:rPr>
          <w:rFonts w:asciiTheme="minorHAnsi" w:hAnsiTheme="minorHAnsi" w:cstheme="minorHAnsi"/>
          <w:sz w:val="24"/>
          <w:szCs w:val="24"/>
        </w:rPr>
        <w:t>(dla LSR realizowanych przez LGD mające siedzibę w danym województwie)</w:t>
      </w:r>
      <w:r w:rsidR="00C27B9C" w:rsidRPr="00E56406">
        <w:rPr>
          <w:rFonts w:asciiTheme="minorHAnsi" w:hAnsiTheme="minorHAnsi" w:cstheme="minorHAnsi"/>
          <w:sz w:val="24"/>
          <w:szCs w:val="24"/>
        </w:rPr>
        <w:t xml:space="preserve">, przy czym na podstawie informacji, o których mowa w pkt </w:t>
      </w:r>
      <w:r w:rsidRPr="00E56406">
        <w:rPr>
          <w:rFonts w:asciiTheme="minorHAnsi" w:hAnsiTheme="minorHAnsi" w:cstheme="minorHAnsi"/>
          <w:sz w:val="24"/>
          <w:szCs w:val="24"/>
        </w:rPr>
        <w:t>3</w:t>
      </w:r>
      <w:r w:rsidR="00C27B9C" w:rsidRPr="00E56406">
        <w:rPr>
          <w:rFonts w:asciiTheme="minorHAnsi" w:hAnsiTheme="minorHAnsi" w:cstheme="minorHAnsi"/>
          <w:sz w:val="24"/>
          <w:szCs w:val="24"/>
        </w:rPr>
        <w:t xml:space="preserve">, zapotrzebowanie na środki przeznaczone na komponenty wdrażanie LSR i zarządzanie LSR </w:t>
      </w:r>
      <w:r w:rsidR="00781333" w:rsidRPr="00E56406">
        <w:rPr>
          <w:rFonts w:asciiTheme="minorHAnsi" w:hAnsiTheme="minorHAnsi" w:cstheme="minorHAnsi"/>
          <w:sz w:val="24"/>
          <w:szCs w:val="24"/>
        </w:rPr>
        <w:t xml:space="preserve">wynikające z powstałych białych plam </w:t>
      </w:r>
      <w:r w:rsidR="00C27B9C" w:rsidRPr="00E56406">
        <w:rPr>
          <w:rFonts w:asciiTheme="minorHAnsi" w:hAnsiTheme="minorHAnsi" w:cstheme="minorHAnsi"/>
          <w:sz w:val="24"/>
          <w:szCs w:val="24"/>
        </w:rPr>
        <w:t>w poszczególnych województwach ustala się w taki sposób, że środki te uzależnione są od liczby mieszkańców poszczególnych białych plam</w:t>
      </w:r>
      <w:r w:rsidR="00781333" w:rsidRPr="00E56406">
        <w:rPr>
          <w:rFonts w:asciiTheme="minorHAnsi" w:hAnsiTheme="minorHAnsi" w:cstheme="minorHAnsi"/>
          <w:sz w:val="24"/>
          <w:szCs w:val="24"/>
        </w:rPr>
        <w:t>, a</w:t>
      </w:r>
      <w:r w:rsidR="00C27B9C" w:rsidRPr="00E56406">
        <w:rPr>
          <w:rFonts w:asciiTheme="minorHAnsi" w:hAnsiTheme="minorHAnsi" w:cstheme="minorHAnsi"/>
          <w:sz w:val="24"/>
          <w:szCs w:val="24"/>
        </w:rPr>
        <w:t xml:space="preserve"> każde rozpoczęte 10</w:t>
      </w:r>
      <w:r w:rsidR="00CC2FC6" w:rsidRPr="00E56406">
        <w:rPr>
          <w:rFonts w:asciiTheme="minorHAnsi" w:hAnsiTheme="minorHAnsi" w:cstheme="minorHAnsi"/>
          <w:sz w:val="24"/>
          <w:szCs w:val="24"/>
        </w:rPr>
        <w:t xml:space="preserve"> 000</w:t>
      </w:r>
      <w:r w:rsidR="00C27B9C" w:rsidRPr="00E56406">
        <w:rPr>
          <w:rFonts w:asciiTheme="minorHAnsi" w:hAnsiTheme="minorHAnsi" w:cstheme="minorHAnsi"/>
          <w:sz w:val="24"/>
          <w:szCs w:val="24"/>
        </w:rPr>
        <w:t xml:space="preserve"> mieszkańców białej plamy oznacza równowartość 300</w:t>
      </w:r>
      <w:r w:rsidR="000803B3" w:rsidRPr="00E56406">
        <w:rPr>
          <w:rFonts w:asciiTheme="minorHAnsi" w:hAnsiTheme="minorHAnsi" w:cstheme="minorHAnsi"/>
          <w:sz w:val="24"/>
          <w:szCs w:val="24"/>
        </w:rPr>
        <w:t> </w:t>
      </w:r>
      <w:r w:rsidR="006659F3" w:rsidRPr="00E56406">
        <w:rPr>
          <w:rFonts w:asciiTheme="minorHAnsi" w:hAnsiTheme="minorHAnsi" w:cstheme="minorHAnsi"/>
          <w:sz w:val="24"/>
          <w:szCs w:val="24"/>
        </w:rPr>
        <w:t>000</w:t>
      </w:r>
      <w:r w:rsidR="000803B3" w:rsidRPr="00E56406">
        <w:rPr>
          <w:rFonts w:asciiTheme="minorHAnsi" w:hAnsiTheme="minorHAnsi" w:cstheme="minorHAnsi"/>
          <w:sz w:val="24"/>
          <w:szCs w:val="24"/>
        </w:rPr>
        <w:t xml:space="preserve"> </w:t>
      </w:r>
      <w:r w:rsidR="006659F3" w:rsidRPr="00E56406">
        <w:rPr>
          <w:rFonts w:asciiTheme="minorHAnsi" w:hAnsiTheme="minorHAnsi" w:cstheme="minorHAnsi"/>
          <w:sz w:val="24"/>
          <w:szCs w:val="24"/>
        </w:rPr>
        <w:t>EUR</w:t>
      </w:r>
      <w:r w:rsidR="00C27B9C" w:rsidRPr="00E56406">
        <w:rPr>
          <w:rFonts w:asciiTheme="minorHAnsi" w:hAnsiTheme="minorHAnsi" w:cstheme="minorHAnsi"/>
          <w:sz w:val="24"/>
          <w:szCs w:val="24"/>
        </w:rPr>
        <w:t xml:space="preserve"> ogółem </w:t>
      </w:r>
      <w:r w:rsidR="00781333" w:rsidRPr="00E56406">
        <w:rPr>
          <w:rFonts w:asciiTheme="minorHAnsi" w:hAnsiTheme="minorHAnsi" w:cstheme="minorHAnsi"/>
          <w:sz w:val="24"/>
          <w:szCs w:val="24"/>
        </w:rPr>
        <w:t xml:space="preserve">tego </w:t>
      </w:r>
      <w:r w:rsidR="00C27B9C" w:rsidRPr="00E56406">
        <w:rPr>
          <w:rFonts w:asciiTheme="minorHAnsi" w:hAnsiTheme="minorHAnsi" w:cstheme="minorHAnsi"/>
          <w:sz w:val="24"/>
          <w:szCs w:val="24"/>
        </w:rPr>
        <w:t>zapotrzebowania</w:t>
      </w:r>
      <w:r w:rsidR="00926F96" w:rsidRPr="00E56406">
        <w:rPr>
          <w:rFonts w:asciiTheme="minorHAnsi" w:hAnsiTheme="minorHAnsi" w:cstheme="minorHAnsi"/>
          <w:sz w:val="24"/>
          <w:szCs w:val="24"/>
        </w:rPr>
        <w:t>;</w:t>
      </w:r>
    </w:p>
    <w:p w14:paraId="7EF993B4" w14:textId="40FCBAC6" w:rsidR="00BB0912" w:rsidRPr="00E56406" w:rsidRDefault="000526FF"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5</w:t>
      </w:r>
      <w:r w:rsidR="00BB0912" w:rsidRPr="00E56406">
        <w:rPr>
          <w:rFonts w:asciiTheme="minorHAnsi" w:hAnsiTheme="minorHAnsi" w:cstheme="minorHAnsi"/>
          <w:sz w:val="24"/>
          <w:szCs w:val="24"/>
        </w:rPr>
        <w:t>)</w:t>
      </w:r>
      <w:r w:rsidR="00BB0912" w:rsidRPr="00E56406">
        <w:rPr>
          <w:rFonts w:asciiTheme="minorHAnsi" w:hAnsiTheme="minorHAnsi" w:cstheme="minorHAnsi"/>
          <w:sz w:val="24"/>
          <w:szCs w:val="24"/>
        </w:rPr>
        <w:tab/>
        <w:t xml:space="preserve">na podstawie kwot, o których mowa w pkt </w:t>
      </w:r>
      <w:r w:rsidRPr="00E56406">
        <w:rPr>
          <w:rFonts w:asciiTheme="minorHAnsi" w:hAnsiTheme="minorHAnsi" w:cstheme="minorHAnsi"/>
          <w:sz w:val="24"/>
          <w:szCs w:val="24"/>
        </w:rPr>
        <w:t>4</w:t>
      </w:r>
      <w:r w:rsidR="00021C65" w:rsidRPr="00E56406">
        <w:rPr>
          <w:rFonts w:asciiTheme="minorHAnsi" w:hAnsiTheme="minorHAnsi" w:cstheme="minorHAnsi"/>
          <w:sz w:val="24"/>
          <w:szCs w:val="24"/>
        </w:rPr>
        <w:t>,</w:t>
      </w:r>
      <w:r w:rsidR="00BB0912" w:rsidRPr="00E56406">
        <w:rPr>
          <w:rFonts w:asciiTheme="minorHAnsi" w:hAnsiTheme="minorHAnsi" w:cstheme="minorHAnsi"/>
          <w:sz w:val="24"/>
          <w:szCs w:val="24"/>
        </w:rPr>
        <w:t xml:space="preserve"> ustala się łączne zapotrzebowanie na środki </w:t>
      </w:r>
      <w:r w:rsidR="000065D5" w:rsidRPr="00E56406">
        <w:rPr>
          <w:rFonts w:asciiTheme="minorHAnsi" w:hAnsiTheme="minorHAnsi" w:cstheme="minorHAnsi"/>
          <w:sz w:val="24"/>
          <w:szCs w:val="24"/>
        </w:rPr>
        <w:t>PS WPR</w:t>
      </w:r>
      <w:r w:rsidR="00BB0912" w:rsidRPr="00E56406">
        <w:rPr>
          <w:rFonts w:asciiTheme="minorHAnsi" w:hAnsiTheme="minorHAnsi" w:cstheme="minorHAnsi"/>
          <w:sz w:val="24"/>
          <w:szCs w:val="24"/>
        </w:rPr>
        <w:t xml:space="preserve"> w ramach LSR w całym kraju</w:t>
      </w:r>
      <w:r w:rsidR="00907DFE" w:rsidRPr="00E56406">
        <w:rPr>
          <w:rFonts w:asciiTheme="minorHAnsi" w:hAnsiTheme="minorHAnsi" w:cstheme="minorHAnsi"/>
          <w:sz w:val="24"/>
          <w:szCs w:val="24"/>
        </w:rPr>
        <w:t>;</w:t>
      </w:r>
    </w:p>
    <w:p w14:paraId="47A4556E" w14:textId="64E88132" w:rsidR="0057311D" w:rsidRPr="00E56406" w:rsidRDefault="000526FF"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6</w:t>
      </w:r>
      <w:r w:rsidR="0057311D" w:rsidRPr="00E56406">
        <w:rPr>
          <w:rFonts w:asciiTheme="minorHAnsi" w:hAnsiTheme="minorHAnsi" w:cstheme="minorHAnsi"/>
          <w:sz w:val="24"/>
          <w:szCs w:val="24"/>
        </w:rPr>
        <w:t>)</w:t>
      </w:r>
      <w:r w:rsidR="006F12BD" w:rsidRPr="00E56406">
        <w:rPr>
          <w:rFonts w:asciiTheme="minorHAnsi" w:hAnsiTheme="minorHAnsi" w:cstheme="minorHAnsi"/>
          <w:sz w:val="24"/>
          <w:szCs w:val="24"/>
        </w:rPr>
        <w:tab/>
      </w:r>
      <w:r w:rsidR="00907DFE" w:rsidRPr="00E56406">
        <w:rPr>
          <w:rFonts w:asciiTheme="minorHAnsi" w:hAnsiTheme="minorHAnsi" w:cstheme="minorHAnsi"/>
          <w:sz w:val="24"/>
          <w:szCs w:val="24"/>
        </w:rPr>
        <w:t>ustala się</w:t>
      </w:r>
      <w:r w:rsidR="0057311D" w:rsidRPr="00E56406">
        <w:rPr>
          <w:rFonts w:asciiTheme="minorHAnsi" w:hAnsiTheme="minorHAnsi" w:cstheme="minorHAnsi"/>
          <w:sz w:val="24"/>
          <w:szCs w:val="24"/>
        </w:rPr>
        <w:t xml:space="preserve"> </w:t>
      </w:r>
      <w:r w:rsidR="00907DFE" w:rsidRPr="00E56406">
        <w:rPr>
          <w:rFonts w:asciiTheme="minorHAnsi" w:hAnsiTheme="minorHAnsi" w:cstheme="minorHAnsi"/>
          <w:sz w:val="24"/>
          <w:szCs w:val="24"/>
        </w:rPr>
        <w:t>udział</w:t>
      </w:r>
      <w:r w:rsidR="00142CE3" w:rsidRPr="00E56406">
        <w:rPr>
          <w:rFonts w:asciiTheme="minorHAnsi" w:hAnsiTheme="minorHAnsi" w:cstheme="minorHAnsi"/>
          <w:sz w:val="24"/>
          <w:szCs w:val="24"/>
        </w:rPr>
        <w:t xml:space="preserve"> </w:t>
      </w:r>
      <w:r w:rsidR="009B04B0" w:rsidRPr="00E56406">
        <w:rPr>
          <w:rFonts w:asciiTheme="minorHAnsi" w:hAnsiTheme="minorHAnsi" w:cstheme="minorHAnsi"/>
          <w:sz w:val="24"/>
          <w:szCs w:val="24"/>
        </w:rPr>
        <w:t xml:space="preserve">kwoty określonej na podstawie pkt 1 w zapotrzebowaniu </w:t>
      </w:r>
      <w:r w:rsidR="0057311D" w:rsidRPr="00E56406">
        <w:rPr>
          <w:rFonts w:asciiTheme="minorHAnsi" w:hAnsiTheme="minorHAnsi" w:cstheme="minorHAnsi"/>
          <w:sz w:val="24"/>
          <w:szCs w:val="24"/>
        </w:rPr>
        <w:t xml:space="preserve">na środki </w:t>
      </w:r>
      <w:r w:rsidR="000065D5" w:rsidRPr="00E56406">
        <w:rPr>
          <w:rFonts w:asciiTheme="minorHAnsi" w:hAnsiTheme="minorHAnsi" w:cstheme="minorHAnsi"/>
          <w:sz w:val="24"/>
          <w:szCs w:val="24"/>
        </w:rPr>
        <w:t>PS WPR</w:t>
      </w:r>
      <w:r w:rsidR="0057311D" w:rsidRPr="00E56406">
        <w:rPr>
          <w:rFonts w:asciiTheme="minorHAnsi" w:hAnsiTheme="minorHAnsi" w:cstheme="minorHAnsi"/>
          <w:sz w:val="24"/>
          <w:szCs w:val="24"/>
        </w:rPr>
        <w:t xml:space="preserve"> w ramach LSR w całym</w:t>
      </w:r>
      <w:r w:rsidR="00142CE3" w:rsidRPr="00E56406">
        <w:rPr>
          <w:rFonts w:asciiTheme="minorHAnsi" w:hAnsiTheme="minorHAnsi" w:cstheme="minorHAnsi"/>
          <w:sz w:val="24"/>
          <w:szCs w:val="24"/>
        </w:rPr>
        <w:t xml:space="preserve"> kraju</w:t>
      </w:r>
      <w:r w:rsidR="009B04B0" w:rsidRPr="00E56406">
        <w:rPr>
          <w:rFonts w:asciiTheme="minorHAnsi" w:hAnsiTheme="minorHAnsi" w:cstheme="minorHAnsi"/>
          <w:sz w:val="24"/>
          <w:szCs w:val="24"/>
        </w:rPr>
        <w:t xml:space="preserve">, </w:t>
      </w:r>
      <w:r w:rsidR="00142CE3" w:rsidRPr="00E56406">
        <w:rPr>
          <w:rFonts w:asciiTheme="minorHAnsi" w:hAnsiTheme="minorHAnsi" w:cstheme="minorHAnsi"/>
          <w:sz w:val="24"/>
          <w:szCs w:val="24"/>
        </w:rPr>
        <w:t xml:space="preserve">jako iloraz </w:t>
      </w:r>
      <w:r w:rsidR="009B04B0" w:rsidRPr="00E56406">
        <w:rPr>
          <w:rFonts w:asciiTheme="minorHAnsi" w:hAnsiTheme="minorHAnsi" w:cstheme="minorHAnsi"/>
          <w:sz w:val="24"/>
          <w:szCs w:val="24"/>
        </w:rPr>
        <w:t xml:space="preserve">kwoty określonej </w:t>
      </w:r>
      <w:r w:rsidR="006E33A9" w:rsidRPr="00E56406">
        <w:rPr>
          <w:rFonts w:asciiTheme="minorHAnsi" w:hAnsiTheme="minorHAnsi" w:cstheme="minorHAnsi"/>
          <w:sz w:val="24"/>
          <w:szCs w:val="24"/>
        </w:rPr>
        <w:t xml:space="preserve">zgodnie z </w:t>
      </w:r>
      <w:r w:rsidR="009B04B0" w:rsidRPr="00E56406">
        <w:rPr>
          <w:rFonts w:asciiTheme="minorHAnsi" w:hAnsiTheme="minorHAnsi" w:cstheme="minorHAnsi"/>
          <w:sz w:val="24"/>
          <w:szCs w:val="24"/>
        </w:rPr>
        <w:t xml:space="preserve">pkt 1 i </w:t>
      </w:r>
      <w:r w:rsidR="00142CE3" w:rsidRPr="00E56406">
        <w:rPr>
          <w:rFonts w:asciiTheme="minorHAnsi" w:hAnsiTheme="minorHAnsi" w:cstheme="minorHAnsi"/>
          <w:sz w:val="24"/>
          <w:szCs w:val="24"/>
        </w:rPr>
        <w:t>kwoty okreś</w:t>
      </w:r>
      <w:r w:rsidR="009B04B0" w:rsidRPr="00E56406">
        <w:rPr>
          <w:rFonts w:asciiTheme="minorHAnsi" w:hAnsiTheme="minorHAnsi" w:cstheme="minorHAnsi"/>
          <w:sz w:val="24"/>
          <w:szCs w:val="24"/>
        </w:rPr>
        <w:t xml:space="preserve">lonej </w:t>
      </w:r>
      <w:r w:rsidR="006E33A9" w:rsidRPr="00E56406">
        <w:rPr>
          <w:rFonts w:asciiTheme="minorHAnsi" w:hAnsiTheme="minorHAnsi" w:cstheme="minorHAnsi"/>
          <w:sz w:val="24"/>
          <w:szCs w:val="24"/>
        </w:rPr>
        <w:t xml:space="preserve">zgodnie z pkt </w:t>
      </w:r>
      <w:r w:rsidRPr="00E56406">
        <w:rPr>
          <w:rFonts w:asciiTheme="minorHAnsi" w:hAnsiTheme="minorHAnsi" w:cstheme="minorHAnsi"/>
          <w:sz w:val="24"/>
          <w:szCs w:val="24"/>
        </w:rPr>
        <w:t>5</w:t>
      </w:r>
      <w:r w:rsidR="007C6993" w:rsidRPr="00E56406">
        <w:rPr>
          <w:rFonts w:asciiTheme="minorHAnsi" w:hAnsiTheme="minorHAnsi" w:cstheme="minorHAnsi"/>
          <w:sz w:val="24"/>
          <w:szCs w:val="24"/>
        </w:rPr>
        <w:t xml:space="preserve">, w zaokrągleniu do </w:t>
      </w:r>
      <w:r w:rsidR="00907DFE" w:rsidRPr="00E56406">
        <w:rPr>
          <w:rFonts w:asciiTheme="minorHAnsi" w:hAnsiTheme="minorHAnsi" w:cstheme="minorHAnsi"/>
          <w:sz w:val="24"/>
          <w:szCs w:val="24"/>
        </w:rPr>
        <w:t>jedn</w:t>
      </w:r>
      <w:r w:rsidR="00046F1D">
        <w:rPr>
          <w:rFonts w:asciiTheme="minorHAnsi" w:hAnsiTheme="minorHAnsi" w:cstheme="minorHAnsi"/>
          <w:sz w:val="24"/>
          <w:szCs w:val="24"/>
        </w:rPr>
        <w:t>ej</w:t>
      </w:r>
      <w:r w:rsidR="00907DFE" w:rsidRPr="00E56406">
        <w:rPr>
          <w:rFonts w:asciiTheme="minorHAnsi" w:hAnsiTheme="minorHAnsi" w:cstheme="minorHAnsi"/>
          <w:sz w:val="24"/>
          <w:szCs w:val="24"/>
        </w:rPr>
        <w:t xml:space="preserve"> dziesięciotysięcznej</w:t>
      </w:r>
      <w:r w:rsidR="00954505" w:rsidRPr="00E56406">
        <w:rPr>
          <w:rFonts w:asciiTheme="minorHAnsi" w:hAnsiTheme="minorHAnsi" w:cstheme="minorHAnsi"/>
          <w:sz w:val="24"/>
          <w:szCs w:val="24"/>
        </w:rPr>
        <w:t xml:space="preserve"> </w:t>
      </w:r>
      <w:r w:rsidR="00907DFE" w:rsidRPr="00E56406">
        <w:rPr>
          <w:rFonts w:asciiTheme="minorHAnsi" w:hAnsiTheme="minorHAnsi" w:cstheme="minorHAnsi"/>
          <w:sz w:val="24"/>
          <w:szCs w:val="24"/>
        </w:rPr>
        <w:t>(</w:t>
      </w:r>
      <w:r w:rsidR="007C6993" w:rsidRPr="00E56406">
        <w:rPr>
          <w:rFonts w:asciiTheme="minorHAnsi" w:hAnsiTheme="minorHAnsi" w:cstheme="minorHAnsi"/>
          <w:sz w:val="24"/>
          <w:szCs w:val="24"/>
        </w:rPr>
        <w:t>0,</w:t>
      </w:r>
      <w:r w:rsidR="00907DFE" w:rsidRPr="00E56406">
        <w:rPr>
          <w:rFonts w:asciiTheme="minorHAnsi" w:hAnsiTheme="minorHAnsi" w:cstheme="minorHAnsi"/>
          <w:sz w:val="24"/>
          <w:szCs w:val="24"/>
        </w:rPr>
        <w:t>00</w:t>
      </w:r>
      <w:r w:rsidR="007C6993" w:rsidRPr="00E56406">
        <w:rPr>
          <w:rFonts w:asciiTheme="minorHAnsi" w:hAnsiTheme="minorHAnsi" w:cstheme="minorHAnsi"/>
          <w:sz w:val="24"/>
          <w:szCs w:val="24"/>
        </w:rPr>
        <w:t>01</w:t>
      </w:r>
      <w:r w:rsidR="00907DFE" w:rsidRPr="00E56406">
        <w:rPr>
          <w:rFonts w:asciiTheme="minorHAnsi" w:hAnsiTheme="minorHAnsi" w:cstheme="minorHAnsi"/>
          <w:sz w:val="24"/>
          <w:szCs w:val="24"/>
        </w:rPr>
        <w:t>)</w:t>
      </w:r>
      <w:r w:rsidR="007C6993" w:rsidRPr="00E56406">
        <w:rPr>
          <w:rFonts w:asciiTheme="minorHAnsi" w:hAnsiTheme="minorHAnsi" w:cstheme="minorHAnsi"/>
          <w:sz w:val="24"/>
          <w:szCs w:val="24"/>
        </w:rPr>
        <w:t xml:space="preserve"> odrzucając części mniejsze niż</w:t>
      </w:r>
      <w:r w:rsidR="00907DFE" w:rsidRPr="00E56406">
        <w:rPr>
          <w:rFonts w:asciiTheme="minorHAnsi" w:hAnsiTheme="minorHAnsi" w:cstheme="minorHAnsi"/>
          <w:sz w:val="24"/>
          <w:szCs w:val="24"/>
        </w:rPr>
        <w:t xml:space="preserve"> jedna dziesięciotysięczna</w:t>
      </w:r>
      <w:r w:rsidR="009457BA" w:rsidRPr="00E56406">
        <w:rPr>
          <w:rFonts w:asciiTheme="minorHAnsi" w:hAnsiTheme="minorHAnsi" w:cstheme="minorHAnsi"/>
          <w:sz w:val="24"/>
          <w:szCs w:val="24"/>
        </w:rPr>
        <w:t>;</w:t>
      </w:r>
    </w:p>
    <w:p w14:paraId="066E2C50" w14:textId="73B94D27" w:rsidR="00734A74" w:rsidRPr="00E56406" w:rsidRDefault="000526FF" w:rsidP="00BB06C3">
      <w:pPr>
        <w:pStyle w:val="AkapitStandardowyRyczat"/>
        <w:spacing w:before="60" w:line="276" w:lineRule="auto"/>
        <w:ind w:left="426" w:hanging="425"/>
        <w:rPr>
          <w:rFonts w:asciiTheme="minorHAnsi" w:hAnsiTheme="minorHAnsi" w:cstheme="minorHAnsi"/>
          <w:sz w:val="24"/>
          <w:szCs w:val="24"/>
        </w:rPr>
      </w:pPr>
      <w:r w:rsidRPr="00E56406">
        <w:rPr>
          <w:rFonts w:asciiTheme="minorHAnsi" w:hAnsiTheme="minorHAnsi" w:cstheme="minorHAnsi"/>
          <w:sz w:val="24"/>
          <w:szCs w:val="24"/>
        </w:rPr>
        <w:t>7</w:t>
      </w:r>
      <w:r w:rsidR="006F12BD" w:rsidRPr="00E56406">
        <w:rPr>
          <w:rFonts w:asciiTheme="minorHAnsi" w:hAnsiTheme="minorHAnsi" w:cstheme="minorHAnsi"/>
          <w:sz w:val="24"/>
          <w:szCs w:val="24"/>
        </w:rPr>
        <w:t>)</w:t>
      </w:r>
      <w:r w:rsidR="006F12BD" w:rsidRPr="00E56406">
        <w:rPr>
          <w:rFonts w:asciiTheme="minorHAnsi" w:hAnsiTheme="minorHAnsi" w:cstheme="minorHAnsi"/>
          <w:sz w:val="24"/>
          <w:szCs w:val="24"/>
        </w:rPr>
        <w:tab/>
      </w:r>
      <w:r w:rsidR="00901D5C" w:rsidRPr="00E56406">
        <w:rPr>
          <w:rFonts w:asciiTheme="minorHAnsi" w:hAnsiTheme="minorHAnsi" w:cstheme="minorHAnsi"/>
          <w:sz w:val="24"/>
          <w:szCs w:val="24"/>
        </w:rPr>
        <w:t>dla każdego województwa</w:t>
      </w:r>
      <w:r w:rsidR="002E3A11" w:rsidRPr="00E56406">
        <w:rPr>
          <w:rFonts w:asciiTheme="minorHAnsi" w:hAnsiTheme="minorHAnsi" w:cstheme="minorHAnsi"/>
          <w:sz w:val="24"/>
          <w:szCs w:val="24"/>
        </w:rPr>
        <w:t xml:space="preserve"> </w:t>
      </w:r>
      <w:r w:rsidR="0057311D" w:rsidRPr="00E56406">
        <w:rPr>
          <w:rFonts w:asciiTheme="minorHAnsi" w:hAnsiTheme="minorHAnsi" w:cstheme="minorHAnsi"/>
          <w:sz w:val="24"/>
          <w:szCs w:val="24"/>
        </w:rPr>
        <w:t>ustala się limit</w:t>
      </w:r>
      <w:r w:rsidR="00901D5C" w:rsidRPr="00E56406">
        <w:rPr>
          <w:rFonts w:asciiTheme="minorHAnsi" w:hAnsiTheme="minorHAnsi" w:cstheme="minorHAnsi"/>
          <w:sz w:val="24"/>
          <w:szCs w:val="24"/>
        </w:rPr>
        <w:t xml:space="preserve"> </w:t>
      </w:r>
      <w:r w:rsidR="009B04B0" w:rsidRPr="00E56406">
        <w:rPr>
          <w:rFonts w:asciiTheme="minorHAnsi" w:hAnsiTheme="minorHAnsi" w:cstheme="minorHAnsi"/>
          <w:sz w:val="24"/>
          <w:szCs w:val="24"/>
        </w:rPr>
        <w:t xml:space="preserve">środków przeznaczonych na </w:t>
      </w:r>
      <w:r w:rsidR="00E34C13" w:rsidRPr="00E56406">
        <w:rPr>
          <w:rFonts w:asciiTheme="minorHAnsi" w:hAnsiTheme="minorHAnsi" w:cstheme="minorHAnsi"/>
          <w:sz w:val="24"/>
          <w:szCs w:val="24"/>
        </w:rPr>
        <w:t xml:space="preserve">komponent </w:t>
      </w:r>
      <w:r w:rsidR="0011165B" w:rsidRPr="00E56406">
        <w:rPr>
          <w:rFonts w:asciiTheme="minorHAnsi" w:hAnsiTheme="minorHAnsi" w:cstheme="minorHAnsi"/>
          <w:sz w:val="24"/>
          <w:szCs w:val="24"/>
        </w:rPr>
        <w:t>w</w:t>
      </w:r>
      <w:r w:rsidR="009B04B0" w:rsidRPr="00E56406">
        <w:rPr>
          <w:rFonts w:asciiTheme="minorHAnsi" w:hAnsiTheme="minorHAnsi" w:cstheme="minorHAnsi"/>
          <w:sz w:val="24"/>
          <w:szCs w:val="24"/>
        </w:rPr>
        <w:t xml:space="preserve">drażanie LSR i </w:t>
      </w:r>
      <w:r w:rsidR="00E34C13" w:rsidRPr="00E56406">
        <w:rPr>
          <w:rFonts w:asciiTheme="minorHAnsi" w:hAnsiTheme="minorHAnsi" w:cstheme="minorHAnsi"/>
          <w:sz w:val="24"/>
          <w:szCs w:val="24"/>
        </w:rPr>
        <w:t xml:space="preserve">na komponent </w:t>
      </w:r>
      <w:r w:rsidR="0011165B" w:rsidRPr="00E56406">
        <w:rPr>
          <w:rFonts w:asciiTheme="minorHAnsi" w:hAnsiTheme="minorHAnsi" w:cstheme="minorHAnsi"/>
          <w:sz w:val="24"/>
          <w:szCs w:val="24"/>
        </w:rPr>
        <w:t>z</w:t>
      </w:r>
      <w:r w:rsidR="009B04B0" w:rsidRPr="00E56406">
        <w:rPr>
          <w:rFonts w:asciiTheme="minorHAnsi" w:hAnsiTheme="minorHAnsi" w:cstheme="minorHAnsi"/>
          <w:sz w:val="24"/>
          <w:szCs w:val="24"/>
        </w:rPr>
        <w:t>arządzanie LSR</w:t>
      </w:r>
      <w:r w:rsidR="00522D80" w:rsidRPr="00E56406">
        <w:rPr>
          <w:rFonts w:asciiTheme="minorHAnsi" w:hAnsiTheme="minorHAnsi" w:cstheme="minorHAnsi"/>
          <w:sz w:val="24"/>
          <w:szCs w:val="24"/>
        </w:rPr>
        <w:t xml:space="preserve"> w ramach </w:t>
      </w:r>
      <w:r w:rsidR="000065D5" w:rsidRPr="00E56406">
        <w:rPr>
          <w:rFonts w:asciiTheme="minorHAnsi" w:hAnsiTheme="minorHAnsi" w:cstheme="minorHAnsi"/>
          <w:sz w:val="24"/>
          <w:szCs w:val="24"/>
        </w:rPr>
        <w:t>PS WPR</w:t>
      </w:r>
      <w:r w:rsidR="009B04B0" w:rsidRPr="00E56406">
        <w:rPr>
          <w:rFonts w:asciiTheme="minorHAnsi" w:hAnsiTheme="minorHAnsi" w:cstheme="minorHAnsi"/>
          <w:sz w:val="24"/>
          <w:szCs w:val="24"/>
        </w:rPr>
        <w:t xml:space="preserve">, jako iloczyn wartości procentowej określonej </w:t>
      </w:r>
      <w:r w:rsidR="006E33A9" w:rsidRPr="00E56406">
        <w:rPr>
          <w:rFonts w:asciiTheme="minorHAnsi" w:hAnsiTheme="minorHAnsi" w:cstheme="minorHAnsi"/>
          <w:sz w:val="24"/>
          <w:szCs w:val="24"/>
        </w:rPr>
        <w:t xml:space="preserve">zgodnie z pkt </w:t>
      </w:r>
      <w:r w:rsidRPr="00E56406">
        <w:rPr>
          <w:rFonts w:asciiTheme="minorHAnsi" w:hAnsiTheme="minorHAnsi" w:cstheme="minorHAnsi"/>
          <w:sz w:val="24"/>
          <w:szCs w:val="24"/>
        </w:rPr>
        <w:t>6</w:t>
      </w:r>
      <w:r w:rsidR="00145175" w:rsidRPr="00E56406">
        <w:rPr>
          <w:rFonts w:asciiTheme="minorHAnsi" w:hAnsiTheme="minorHAnsi" w:cstheme="minorHAnsi"/>
          <w:sz w:val="24"/>
          <w:szCs w:val="24"/>
        </w:rPr>
        <w:t xml:space="preserve"> </w:t>
      </w:r>
      <w:r w:rsidR="009B04B0" w:rsidRPr="00E56406">
        <w:rPr>
          <w:rFonts w:asciiTheme="minorHAnsi" w:hAnsiTheme="minorHAnsi" w:cstheme="minorHAnsi"/>
          <w:sz w:val="24"/>
          <w:szCs w:val="24"/>
        </w:rPr>
        <w:t>i kwoty zapotrzebowania</w:t>
      </w:r>
      <w:r w:rsidR="00145175" w:rsidRPr="00E56406">
        <w:rPr>
          <w:rFonts w:asciiTheme="minorHAnsi" w:hAnsiTheme="minorHAnsi" w:cstheme="minorHAnsi"/>
          <w:sz w:val="24"/>
          <w:szCs w:val="24"/>
        </w:rPr>
        <w:t xml:space="preserve"> w</w:t>
      </w:r>
      <w:r w:rsidR="009B04B0" w:rsidRPr="00E56406">
        <w:rPr>
          <w:rFonts w:asciiTheme="minorHAnsi" w:hAnsiTheme="minorHAnsi" w:cstheme="minorHAnsi"/>
          <w:sz w:val="24"/>
          <w:szCs w:val="24"/>
        </w:rPr>
        <w:t xml:space="preserve"> </w:t>
      </w:r>
      <w:r w:rsidR="00145175" w:rsidRPr="00E56406">
        <w:rPr>
          <w:rFonts w:asciiTheme="minorHAnsi" w:hAnsiTheme="minorHAnsi" w:cstheme="minorHAnsi"/>
          <w:sz w:val="24"/>
          <w:szCs w:val="24"/>
        </w:rPr>
        <w:t>danym województwie określonej</w:t>
      </w:r>
      <w:r w:rsidR="006E33A9" w:rsidRPr="00E56406">
        <w:rPr>
          <w:rFonts w:asciiTheme="minorHAnsi" w:hAnsiTheme="minorHAnsi" w:cstheme="minorHAnsi"/>
          <w:sz w:val="24"/>
          <w:szCs w:val="24"/>
        </w:rPr>
        <w:t xml:space="preserve"> zgodnie z </w:t>
      </w:r>
      <w:r w:rsidR="00145175" w:rsidRPr="00E56406">
        <w:rPr>
          <w:rFonts w:asciiTheme="minorHAnsi" w:hAnsiTheme="minorHAnsi" w:cstheme="minorHAnsi"/>
          <w:sz w:val="24"/>
          <w:szCs w:val="24"/>
        </w:rPr>
        <w:t xml:space="preserve">pkt </w:t>
      </w:r>
      <w:r w:rsidRPr="00E56406">
        <w:rPr>
          <w:rFonts w:asciiTheme="minorHAnsi" w:hAnsiTheme="minorHAnsi" w:cstheme="minorHAnsi"/>
          <w:sz w:val="24"/>
          <w:szCs w:val="24"/>
        </w:rPr>
        <w:t>4</w:t>
      </w:r>
      <w:r w:rsidR="007C6993" w:rsidRPr="00E56406">
        <w:rPr>
          <w:rFonts w:asciiTheme="minorHAnsi" w:hAnsiTheme="minorHAnsi" w:cstheme="minorHAnsi"/>
          <w:sz w:val="24"/>
          <w:szCs w:val="24"/>
        </w:rPr>
        <w:t xml:space="preserve">, z tym że </w:t>
      </w:r>
      <w:r w:rsidR="00580C60" w:rsidRPr="00E56406">
        <w:rPr>
          <w:rFonts w:asciiTheme="minorHAnsi" w:hAnsiTheme="minorHAnsi" w:cstheme="minorHAnsi"/>
          <w:sz w:val="24"/>
          <w:szCs w:val="24"/>
        </w:rPr>
        <w:t xml:space="preserve">jeżeli </w:t>
      </w:r>
      <w:r w:rsidR="007C6993" w:rsidRPr="00E56406">
        <w:rPr>
          <w:rFonts w:asciiTheme="minorHAnsi" w:hAnsiTheme="minorHAnsi" w:cstheme="minorHAnsi"/>
          <w:sz w:val="24"/>
          <w:szCs w:val="24"/>
        </w:rPr>
        <w:t xml:space="preserve">wartość określona zgodnie z pkt </w:t>
      </w:r>
      <w:r w:rsidRPr="00E56406">
        <w:rPr>
          <w:rFonts w:asciiTheme="minorHAnsi" w:hAnsiTheme="minorHAnsi" w:cstheme="minorHAnsi"/>
          <w:sz w:val="24"/>
          <w:szCs w:val="24"/>
        </w:rPr>
        <w:t xml:space="preserve">6 </w:t>
      </w:r>
      <w:r w:rsidR="00580C60" w:rsidRPr="00E56406">
        <w:rPr>
          <w:rFonts w:asciiTheme="minorHAnsi" w:hAnsiTheme="minorHAnsi" w:cstheme="minorHAnsi"/>
          <w:sz w:val="24"/>
          <w:szCs w:val="24"/>
        </w:rPr>
        <w:t xml:space="preserve">jest wyższa niż </w:t>
      </w:r>
      <w:r w:rsidR="007B1B73" w:rsidRPr="00E56406">
        <w:rPr>
          <w:rFonts w:asciiTheme="minorHAnsi" w:hAnsiTheme="minorHAnsi" w:cstheme="minorHAnsi"/>
          <w:sz w:val="24"/>
          <w:szCs w:val="24"/>
        </w:rPr>
        <w:t>1</w:t>
      </w:r>
      <w:r w:rsidR="00580C60" w:rsidRPr="00E56406">
        <w:rPr>
          <w:rFonts w:asciiTheme="minorHAnsi" w:hAnsiTheme="minorHAnsi" w:cstheme="minorHAnsi"/>
          <w:sz w:val="24"/>
          <w:szCs w:val="24"/>
        </w:rPr>
        <w:t xml:space="preserve">, do wyliczeń w tym punkcie wartość tę przyjmuje się jako </w:t>
      </w:r>
      <w:r w:rsidR="007B1B73" w:rsidRPr="00E56406">
        <w:rPr>
          <w:rFonts w:asciiTheme="minorHAnsi" w:hAnsiTheme="minorHAnsi" w:cstheme="minorHAnsi"/>
          <w:sz w:val="24"/>
          <w:szCs w:val="24"/>
        </w:rPr>
        <w:t>1</w:t>
      </w:r>
      <w:r w:rsidR="009457BA" w:rsidRPr="00E56406">
        <w:rPr>
          <w:rFonts w:asciiTheme="minorHAnsi" w:hAnsiTheme="minorHAnsi" w:cstheme="minorHAnsi"/>
          <w:sz w:val="24"/>
          <w:szCs w:val="24"/>
        </w:rPr>
        <w:t>.</w:t>
      </w:r>
      <w:r w:rsidR="00145175" w:rsidRPr="00E56406">
        <w:rPr>
          <w:rFonts w:asciiTheme="minorHAnsi" w:hAnsiTheme="minorHAnsi" w:cstheme="minorHAnsi"/>
          <w:sz w:val="24"/>
          <w:szCs w:val="24"/>
        </w:rPr>
        <w:t xml:space="preserve"> </w:t>
      </w:r>
    </w:p>
    <w:p w14:paraId="4BA6BA40" w14:textId="7E71C40A" w:rsidR="00BB0912" w:rsidRDefault="00734A74" w:rsidP="00C43F9F">
      <w:pPr>
        <w:pStyle w:val="AkapitStandardowyRyczat"/>
        <w:numPr>
          <w:ilvl w:val="0"/>
          <w:numId w:val="48"/>
        </w:numPr>
        <w:spacing w:line="276" w:lineRule="auto"/>
        <w:ind w:left="284"/>
        <w:rPr>
          <w:rFonts w:asciiTheme="minorHAnsi" w:hAnsiTheme="minorHAnsi" w:cstheme="minorHAnsi"/>
          <w:b/>
          <w:sz w:val="28"/>
          <w:szCs w:val="28"/>
        </w:rPr>
      </w:pPr>
      <w:r w:rsidRPr="00E56406">
        <w:rPr>
          <w:rFonts w:asciiTheme="minorHAnsi" w:hAnsiTheme="minorHAnsi" w:cstheme="minorHAnsi"/>
          <w:sz w:val="24"/>
          <w:szCs w:val="24"/>
        </w:rPr>
        <w:br w:type="page"/>
      </w:r>
      <w:r w:rsidR="00880179" w:rsidRPr="00E56406">
        <w:rPr>
          <w:rFonts w:asciiTheme="minorHAnsi" w:hAnsiTheme="minorHAnsi" w:cstheme="minorHAnsi"/>
          <w:b/>
          <w:sz w:val="28"/>
          <w:szCs w:val="28"/>
        </w:rPr>
        <w:lastRenderedPageBreak/>
        <w:t>K</w:t>
      </w:r>
      <w:r w:rsidR="00BB0912" w:rsidRPr="00E56406">
        <w:rPr>
          <w:rFonts w:asciiTheme="minorHAnsi" w:hAnsiTheme="minorHAnsi" w:cstheme="minorHAnsi"/>
          <w:b/>
          <w:sz w:val="28"/>
          <w:szCs w:val="28"/>
        </w:rPr>
        <w:t xml:space="preserve">woty środków w odniesieniu do </w:t>
      </w:r>
      <w:r w:rsidR="00550775" w:rsidRPr="00E56406">
        <w:rPr>
          <w:rFonts w:asciiTheme="minorHAnsi" w:hAnsiTheme="minorHAnsi" w:cstheme="minorHAnsi"/>
          <w:b/>
          <w:sz w:val="28"/>
          <w:szCs w:val="28"/>
        </w:rPr>
        <w:t xml:space="preserve">poszczególnych </w:t>
      </w:r>
      <w:r w:rsidR="00BB0912" w:rsidRPr="00E56406">
        <w:rPr>
          <w:rFonts w:asciiTheme="minorHAnsi" w:hAnsiTheme="minorHAnsi" w:cstheme="minorHAnsi"/>
          <w:b/>
          <w:sz w:val="28"/>
          <w:szCs w:val="28"/>
        </w:rPr>
        <w:t xml:space="preserve">LSR są uzależnione od liczby ludności zamieszkującej obszar objęty </w:t>
      </w:r>
      <w:r w:rsidR="00B33C03" w:rsidRPr="00E56406">
        <w:rPr>
          <w:rFonts w:asciiTheme="minorHAnsi" w:hAnsiTheme="minorHAnsi" w:cstheme="minorHAnsi"/>
          <w:b/>
          <w:sz w:val="28"/>
          <w:szCs w:val="28"/>
        </w:rPr>
        <w:t>LSR</w:t>
      </w:r>
      <w:r w:rsidR="00BB0912" w:rsidRPr="00E56406">
        <w:rPr>
          <w:rFonts w:asciiTheme="minorHAnsi" w:hAnsiTheme="minorHAnsi" w:cstheme="minorHAnsi"/>
          <w:b/>
          <w:sz w:val="28"/>
          <w:szCs w:val="28"/>
        </w:rPr>
        <w:t xml:space="preserve"> zgodnie z poniższą tabelą:</w:t>
      </w:r>
    </w:p>
    <w:p w14:paraId="6D7AAE10" w14:textId="424B1343" w:rsidR="00492BD4" w:rsidRPr="00492BD4" w:rsidRDefault="00492BD4" w:rsidP="00492BD4">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Kwot</w:t>
      </w:r>
      <w:r w:rsidR="0020782C">
        <w:rPr>
          <w:rFonts w:asciiTheme="minorHAnsi" w:hAnsiTheme="minorHAnsi" w:cstheme="minorHAnsi"/>
          <w:sz w:val="24"/>
          <w:szCs w:val="24"/>
        </w:rPr>
        <w:t>y</w:t>
      </w:r>
      <w:r w:rsidRPr="00E56406">
        <w:rPr>
          <w:rFonts w:asciiTheme="minorHAnsi" w:hAnsiTheme="minorHAnsi" w:cstheme="minorHAnsi"/>
          <w:sz w:val="24"/>
          <w:szCs w:val="24"/>
        </w:rPr>
        <w:t xml:space="preserve"> przewidzian</w:t>
      </w:r>
      <w:r w:rsidR="0020782C">
        <w:rPr>
          <w:rFonts w:asciiTheme="minorHAnsi" w:hAnsiTheme="minorHAnsi" w:cstheme="minorHAnsi"/>
          <w:sz w:val="24"/>
          <w:szCs w:val="24"/>
        </w:rPr>
        <w:t>e</w:t>
      </w:r>
      <w:r w:rsidRPr="00E56406">
        <w:rPr>
          <w:rFonts w:asciiTheme="minorHAnsi" w:hAnsiTheme="minorHAnsi" w:cstheme="minorHAnsi"/>
          <w:sz w:val="24"/>
          <w:szCs w:val="24"/>
        </w:rPr>
        <w:t xml:space="preserve"> w LSR na komponent wdrażanie LSR i zarządzanie LSR w ramach PS WPR ustala się dla każdej LSR </w:t>
      </w:r>
      <w:r>
        <w:rPr>
          <w:rFonts w:asciiTheme="minorHAnsi" w:hAnsiTheme="minorHAnsi" w:cstheme="minorHAnsi"/>
          <w:sz w:val="24"/>
          <w:szCs w:val="24"/>
        </w:rPr>
        <w:t>zgodnie z poniższą tabelą</w:t>
      </w:r>
      <w:r w:rsidRPr="00E56406">
        <w:rPr>
          <w:rFonts w:asciiTheme="minorHAnsi" w:hAnsiTheme="minorHAnsi" w:cstheme="minorHAnsi"/>
          <w:sz w:val="24"/>
          <w:szCs w:val="24"/>
        </w:rPr>
        <w:t>.</w:t>
      </w:r>
    </w:p>
    <w:tbl>
      <w:tblPr>
        <w:tblW w:w="9007" w:type="dxa"/>
        <w:tblInd w:w="55" w:type="dxa"/>
        <w:tblCellMar>
          <w:left w:w="70" w:type="dxa"/>
          <w:right w:w="70" w:type="dxa"/>
        </w:tblCellMar>
        <w:tblLook w:val="04A0" w:firstRow="1" w:lastRow="0" w:firstColumn="1" w:lastColumn="0" w:noHBand="0" w:noVBand="1"/>
      </w:tblPr>
      <w:tblGrid>
        <w:gridCol w:w="3624"/>
        <w:gridCol w:w="2692"/>
        <w:gridCol w:w="2691"/>
      </w:tblGrid>
      <w:tr w:rsidR="00880179" w:rsidRPr="00E56406" w14:paraId="12D15E11" w14:textId="77777777" w:rsidTr="009457BA">
        <w:trPr>
          <w:trHeight w:val="470"/>
        </w:trPr>
        <w:tc>
          <w:tcPr>
            <w:tcW w:w="3624" w:type="dxa"/>
            <w:tcBorders>
              <w:top w:val="single" w:sz="4" w:space="0" w:color="auto"/>
              <w:left w:val="single" w:sz="4" w:space="0" w:color="auto"/>
              <w:right w:val="single" w:sz="4" w:space="0" w:color="auto"/>
            </w:tcBorders>
            <w:vAlign w:val="center"/>
          </w:tcPr>
          <w:p w14:paraId="56440423" w14:textId="77777777" w:rsidR="00880179" w:rsidRPr="00E56406" w:rsidRDefault="00880179" w:rsidP="002E5BCA">
            <w:pPr>
              <w:pStyle w:val="AkapitStandardowyRyczat"/>
              <w:spacing w:before="0" w:after="0" w:line="276" w:lineRule="auto"/>
              <w:jc w:val="center"/>
              <w:rPr>
                <w:rFonts w:asciiTheme="minorHAnsi" w:hAnsiTheme="minorHAnsi" w:cstheme="minorHAnsi"/>
                <w:sz w:val="24"/>
                <w:szCs w:val="24"/>
              </w:rPr>
            </w:pPr>
            <w:r w:rsidRPr="00E56406">
              <w:rPr>
                <w:rFonts w:asciiTheme="minorHAnsi" w:hAnsiTheme="minorHAnsi" w:cstheme="minorHAnsi"/>
                <w:sz w:val="24"/>
                <w:szCs w:val="24"/>
              </w:rPr>
              <w:t>Ludność wiejska zamieszkała na obszarze objętym LSR</w:t>
            </w:r>
          </w:p>
        </w:tc>
        <w:tc>
          <w:tcPr>
            <w:tcW w:w="2692" w:type="dxa"/>
            <w:tcBorders>
              <w:top w:val="single" w:sz="4" w:space="0" w:color="auto"/>
              <w:left w:val="nil"/>
              <w:bottom w:val="single" w:sz="4" w:space="0" w:color="auto"/>
              <w:right w:val="single" w:sz="4" w:space="0" w:color="auto"/>
            </w:tcBorders>
            <w:shd w:val="clear" w:color="auto" w:fill="auto"/>
            <w:vAlign w:val="center"/>
          </w:tcPr>
          <w:p w14:paraId="0A5F9938" w14:textId="69E55EB8" w:rsidR="00880179" w:rsidRPr="00E56406" w:rsidRDefault="00880179" w:rsidP="002E5BCA">
            <w:pPr>
              <w:pStyle w:val="AkapitStandardowyRyczat"/>
              <w:spacing w:before="0" w:after="0" w:line="276" w:lineRule="auto"/>
              <w:jc w:val="center"/>
              <w:rPr>
                <w:rFonts w:asciiTheme="minorHAnsi" w:hAnsiTheme="minorHAnsi" w:cstheme="minorHAnsi"/>
                <w:sz w:val="24"/>
                <w:szCs w:val="24"/>
              </w:rPr>
            </w:pPr>
            <w:r w:rsidRPr="00E56406">
              <w:rPr>
                <w:rFonts w:asciiTheme="minorHAnsi" w:hAnsiTheme="minorHAnsi" w:cstheme="minorHAnsi"/>
                <w:sz w:val="24"/>
                <w:szCs w:val="24"/>
              </w:rPr>
              <w:t>Kwota w LSR na komponent wdrażanie LSR</w:t>
            </w:r>
            <w:r w:rsidR="00332497" w:rsidRPr="00E56406">
              <w:rPr>
                <w:rFonts w:asciiTheme="minorHAnsi" w:hAnsiTheme="minorHAnsi" w:cstheme="minorHAnsi"/>
                <w:sz w:val="24"/>
                <w:szCs w:val="24"/>
              </w:rPr>
              <w:t xml:space="preserve"> w ramach PS WPR</w:t>
            </w:r>
          </w:p>
          <w:p w14:paraId="1085BF68" w14:textId="77777777" w:rsidR="00361888" w:rsidRPr="00E56406" w:rsidRDefault="00361888" w:rsidP="002E5BCA">
            <w:pPr>
              <w:pStyle w:val="AkapitStandardowyRyczat"/>
              <w:spacing w:before="0" w:after="0" w:line="276" w:lineRule="auto"/>
              <w:jc w:val="center"/>
              <w:rPr>
                <w:rFonts w:asciiTheme="minorHAnsi" w:hAnsiTheme="minorHAnsi" w:cstheme="minorHAnsi"/>
                <w:sz w:val="24"/>
                <w:szCs w:val="24"/>
              </w:rPr>
            </w:pPr>
            <w:r w:rsidRPr="00E56406">
              <w:rPr>
                <w:rFonts w:asciiTheme="minorHAnsi" w:hAnsiTheme="minorHAnsi" w:cstheme="minorHAnsi"/>
                <w:sz w:val="24"/>
                <w:szCs w:val="24"/>
              </w:rPr>
              <w:t>[EUR]</w:t>
            </w:r>
          </w:p>
        </w:tc>
        <w:tc>
          <w:tcPr>
            <w:tcW w:w="2691" w:type="dxa"/>
            <w:tcBorders>
              <w:top w:val="single" w:sz="4" w:space="0" w:color="auto"/>
              <w:left w:val="nil"/>
              <w:bottom w:val="single" w:sz="4" w:space="0" w:color="auto"/>
              <w:right w:val="single" w:sz="4" w:space="0" w:color="auto"/>
            </w:tcBorders>
          </w:tcPr>
          <w:p w14:paraId="760CA5E3" w14:textId="77777777" w:rsidR="00880179" w:rsidRPr="00E56406" w:rsidRDefault="00880179" w:rsidP="002E5BCA">
            <w:pPr>
              <w:pStyle w:val="AkapitStandardowyRyczat"/>
              <w:spacing w:before="0" w:after="0" w:line="276" w:lineRule="auto"/>
              <w:jc w:val="center"/>
              <w:rPr>
                <w:rFonts w:asciiTheme="minorHAnsi" w:hAnsiTheme="minorHAnsi" w:cstheme="minorHAnsi"/>
                <w:sz w:val="24"/>
                <w:szCs w:val="24"/>
              </w:rPr>
            </w:pPr>
            <w:r w:rsidRPr="00E56406">
              <w:rPr>
                <w:rFonts w:asciiTheme="minorHAnsi" w:hAnsiTheme="minorHAnsi" w:cstheme="minorHAnsi"/>
                <w:sz w:val="24"/>
                <w:szCs w:val="24"/>
              </w:rPr>
              <w:t>Kwota w LSR na zarządzanie LSR</w:t>
            </w:r>
            <w:r w:rsidR="00332497" w:rsidRPr="00E56406">
              <w:rPr>
                <w:rFonts w:asciiTheme="minorHAnsi" w:hAnsiTheme="minorHAnsi" w:cstheme="minorHAnsi"/>
                <w:sz w:val="24"/>
                <w:szCs w:val="24"/>
              </w:rPr>
              <w:t xml:space="preserve"> w ramach PS WPR</w:t>
            </w:r>
          </w:p>
          <w:p w14:paraId="5E44DCA4" w14:textId="77777777" w:rsidR="00361888" w:rsidRPr="00E56406" w:rsidDel="00880179" w:rsidRDefault="00361888" w:rsidP="002E5BCA">
            <w:pPr>
              <w:pStyle w:val="AkapitStandardowyRyczat"/>
              <w:spacing w:before="0" w:after="0" w:line="276" w:lineRule="auto"/>
              <w:jc w:val="center"/>
              <w:rPr>
                <w:rFonts w:asciiTheme="minorHAnsi" w:hAnsiTheme="minorHAnsi" w:cstheme="minorHAnsi"/>
                <w:sz w:val="24"/>
                <w:szCs w:val="24"/>
              </w:rPr>
            </w:pPr>
            <w:r w:rsidRPr="00E56406">
              <w:rPr>
                <w:rFonts w:asciiTheme="minorHAnsi" w:hAnsiTheme="minorHAnsi" w:cstheme="minorHAnsi"/>
                <w:sz w:val="24"/>
                <w:szCs w:val="24"/>
              </w:rPr>
              <w:t>[EUR]</w:t>
            </w:r>
          </w:p>
        </w:tc>
      </w:tr>
      <w:tr w:rsidR="00880179" w:rsidRPr="00E56406" w14:paraId="58D8FBAF" w14:textId="77777777" w:rsidTr="009457BA">
        <w:trPr>
          <w:trHeight w:val="70"/>
        </w:trPr>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544"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do 39 999</w:t>
            </w:r>
          </w:p>
        </w:tc>
        <w:tc>
          <w:tcPr>
            <w:tcW w:w="2692" w:type="dxa"/>
            <w:tcBorders>
              <w:top w:val="nil"/>
              <w:left w:val="nil"/>
              <w:bottom w:val="single" w:sz="4" w:space="0" w:color="auto"/>
              <w:right w:val="single" w:sz="4" w:space="0" w:color="auto"/>
            </w:tcBorders>
            <w:shd w:val="clear" w:color="auto" w:fill="auto"/>
            <w:vAlign w:val="center"/>
            <w:hideMark/>
          </w:tcPr>
          <w:p w14:paraId="22893D46"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1 250 000</w:t>
            </w:r>
          </w:p>
        </w:tc>
        <w:tc>
          <w:tcPr>
            <w:tcW w:w="2691" w:type="dxa"/>
            <w:tcBorders>
              <w:top w:val="nil"/>
              <w:left w:val="nil"/>
              <w:bottom w:val="single" w:sz="4" w:space="0" w:color="auto"/>
              <w:right w:val="single" w:sz="4" w:space="0" w:color="auto"/>
            </w:tcBorders>
          </w:tcPr>
          <w:p w14:paraId="0600696C"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312 500</w:t>
            </w:r>
          </w:p>
        </w:tc>
      </w:tr>
      <w:tr w:rsidR="00880179" w:rsidRPr="00E56406" w14:paraId="7E6398B0"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173C478C"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40 000 do 49 999</w:t>
            </w:r>
          </w:p>
        </w:tc>
        <w:tc>
          <w:tcPr>
            <w:tcW w:w="2692" w:type="dxa"/>
            <w:tcBorders>
              <w:top w:val="nil"/>
              <w:left w:val="nil"/>
              <w:bottom w:val="single" w:sz="4" w:space="0" w:color="auto"/>
              <w:right w:val="single" w:sz="4" w:space="0" w:color="auto"/>
            </w:tcBorders>
            <w:shd w:val="clear" w:color="auto" w:fill="auto"/>
            <w:vAlign w:val="center"/>
            <w:hideMark/>
          </w:tcPr>
          <w:p w14:paraId="7E919548"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1 500 000</w:t>
            </w:r>
          </w:p>
        </w:tc>
        <w:tc>
          <w:tcPr>
            <w:tcW w:w="2691" w:type="dxa"/>
            <w:tcBorders>
              <w:top w:val="nil"/>
              <w:left w:val="nil"/>
              <w:bottom w:val="single" w:sz="4" w:space="0" w:color="auto"/>
              <w:right w:val="single" w:sz="4" w:space="0" w:color="auto"/>
            </w:tcBorders>
          </w:tcPr>
          <w:p w14:paraId="3218D9AD"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362 500</w:t>
            </w:r>
          </w:p>
        </w:tc>
      </w:tr>
      <w:tr w:rsidR="00880179" w:rsidRPr="00E56406" w14:paraId="04B56690"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4DE585C8"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50 000 do 59 999</w:t>
            </w:r>
          </w:p>
        </w:tc>
        <w:tc>
          <w:tcPr>
            <w:tcW w:w="2692" w:type="dxa"/>
            <w:tcBorders>
              <w:top w:val="nil"/>
              <w:left w:val="nil"/>
              <w:bottom w:val="single" w:sz="4" w:space="0" w:color="auto"/>
              <w:right w:val="single" w:sz="4" w:space="0" w:color="auto"/>
            </w:tcBorders>
            <w:shd w:val="clear" w:color="auto" w:fill="auto"/>
            <w:vAlign w:val="center"/>
            <w:hideMark/>
          </w:tcPr>
          <w:p w14:paraId="794A2E95"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1 750 000</w:t>
            </w:r>
          </w:p>
        </w:tc>
        <w:tc>
          <w:tcPr>
            <w:tcW w:w="2691" w:type="dxa"/>
            <w:tcBorders>
              <w:top w:val="nil"/>
              <w:left w:val="nil"/>
              <w:bottom w:val="single" w:sz="4" w:space="0" w:color="auto"/>
              <w:right w:val="single" w:sz="4" w:space="0" w:color="auto"/>
            </w:tcBorders>
          </w:tcPr>
          <w:p w14:paraId="2DE9FDAB"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412 500</w:t>
            </w:r>
          </w:p>
        </w:tc>
      </w:tr>
      <w:tr w:rsidR="00880179" w:rsidRPr="00E56406" w14:paraId="1B237540"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3E2C42D5"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60 000 do 69 999</w:t>
            </w:r>
          </w:p>
        </w:tc>
        <w:tc>
          <w:tcPr>
            <w:tcW w:w="2692" w:type="dxa"/>
            <w:tcBorders>
              <w:top w:val="nil"/>
              <w:left w:val="nil"/>
              <w:bottom w:val="single" w:sz="4" w:space="0" w:color="auto"/>
              <w:right w:val="single" w:sz="4" w:space="0" w:color="auto"/>
            </w:tcBorders>
            <w:shd w:val="clear" w:color="auto" w:fill="auto"/>
            <w:vAlign w:val="center"/>
            <w:hideMark/>
          </w:tcPr>
          <w:p w14:paraId="430CB8C6"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2 000 000</w:t>
            </w:r>
          </w:p>
        </w:tc>
        <w:tc>
          <w:tcPr>
            <w:tcW w:w="2691" w:type="dxa"/>
            <w:tcBorders>
              <w:top w:val="nil"/>
              <w:left w:val="nil"/>
              <w:bottom w:val="single" w:sz="4" w:space="0" w:color="auto"/>
              <w:right w:val="single" w:sz="4" w:space="0" w:color="auto"/>
            </w:tcBorders>
          </w:tcPr>
          <w:p w14:paraId="5A196423"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462 500</w:t>
            </w:r>
          </w:p>
        </w:tc>
      </w:tr>
      <w:tr w:rsidR="00880179" w:rsidRPr="00E56406" w14:paraId="328EA76F"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3A55C642"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70 000 do 79 999</w:t>
            </w:r>
          </w:p>
        </w:tc>
        <w:tc>
          <w:tcPr>
            <w:tcW w:w="2692" w:type="dxa"/>
            <w:tcBorders>
              <w:top w:val="nil"/>
              <w:left w:val="nil"/>
              <w:bottom w:val="single" w:sz="4" w:space="0" w:color="auto"/>
              <w:right w:val="single" w:sz="4" w:space="0" w:color="auto"/>
            </w:tcBorders>
            <w:shd w:val="clear" w:color="auto" w:fill="auto"/>
            <w:vAlign w:val="center"/>
            <w:hideMark/>
          </w:tcPr>
          <w:p w14:paraId="07A399B0"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2 250 000</w:t>
            </w:r>
          </w:p>
        </w:tc>
        <w:tc>
          <w:tcPr>
            <w:tcW w:w="2691" w:type="dxa"/>
            <w:tcBorders>
              <w:top w:val="nil"/>
              <w:left w:val="nil"/>
              <w:bottom w:val="single" w:sz="4" w:space="0" w:color="auto"/>
              <w:right w:val="single" w:sz="4" w:space="0" w:color="auto"/>
            </w:tcBorders>
          </w:tcPr>
          <w:p w14:paraId="2A4BA1E5"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512 500</w:t>
            </w:r>
          </w:p>
        </w:tc>
      </w:tr>
      <w:tr w:rsidR="00880179" w:rsidRPr="00E56406" w14:paraId="5C5FFA47"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25BA0D9D"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80 000 do 89 999</w:t>
            </w:r>
          </w:p>
        </w:tc>
        <w:tc>
          <w:tcPr>
            <w:tcW w:w="2692" w:type="dxa"/>
            <w:tcBorders>
              <w:top w:val="nil"/>
              <w:left w:val="nil"/>
              <w:bottom w:val="single" w:sz="4" w:space="0" w:color="auto"/>
              <w:right w:val="single" w:sz="4" w:space="0" w:color="auto"/>
            </w:tcBorders>
            <w:shd w:val="clear" w:color="auto" w:fill="auto"/>
            <w:vAlign w:val="center"/>
            <w:hideMark/>
          </w:tcPr>
          <w:p w14:paraId="6DA91407"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2 500 000</w:t>
            </w:r>
          </w:p>
        </w:tc>
        <w:tc>
          <w:tcPr>
            <w:tcW w:w="2691" w:type="dxa"/>
            <w:tcBorders>
              <w:top w:val="nil"/>
              <w:left w:val="nil"/>
              <w:bottom w:val="single" w:sz="4" w:space="0" w:color="auto"/>
              <w:right w:val="single" w:sz="4" w:space="0" w:color="auto"/>
            </w:tcBorders>
          </w:tcPr>
          <w:p w14:paraId="0A724223"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562 500</w:t>
            </w:r>
          </w:p>
        </w:tc>
      </w:tr>
      <w:tr w:rsidR="00880179" w:rsidRPr="00E56406" w14:paraId="376A0313"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69114D28"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90 000 do 99 999</w:t>
            </w:r>
          </w:p>
        </w:tc>
        <w:tc>
          <w:tcPr>
            <w:tcW w:w="2692" w:type="dxa"/>
            <w:tcBorders>
              <w:top w:val="nil"/>
              <w:left w:val="nil"/>
              <w:bottom w:val="single" w:sz="4" w:space="0" w:color="auto"/>
              <w:right w:val="single" w:sz="4" w:space="0" w:color="auto"/>
            </w:tcBorders>
            <w:shd w:val="clear" w:color="auto" w:fill="auto"/>
            <w:vAlign w:val="center"/>
            <w:hideMark/>
          </w:tcPr>
          <w:p w14:paraId="57C9EFCA"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2 750 000</w:t>
            </w:r>
          </w:p>
        </w:tc>
        <w:tc>
          <w:tcPr>
            <w:tcW w:w="2691" w:type="dxa"/>
            <w:tcBorders>
              <w:top w:val="nil"/>
              <w:left w:val="nil"/>
              <w:bottom w:val="single" w:sz="4" w:space="0" w:color="auto"/>
              <w:right w:val="single" w:sz="4" w:space="0" w:color="auto"/>
            </w:tcBorders>
          </w:tcPr>
          <w:p w14:paraId="790106AD"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612 500</w:t>
            </w:r>
          </w:p>
        </w:tc>
      </w:tr>
      <w:tr w:rsidR="00880179" w:rsidRPr="00E56406" w14:paraId="693B792D" w14:textId="77777777" w:rsidTr="009457BA">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7904BCDA"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100 000 do 109 999</w:t>
            </w:r>
          </w:p>
        </w:tc>
        <w:tc>
          <w:tcPr>
            <w:tcW w:w="2692" w:type="dxa"/>
            <w:tcBorders>
              <w:top w:val="nil"/>
              <w:left w:val="nil"/>
              <w:bottom w:val="single" w:sz="4" w:space="0" w:color="auto"/>
              <w:right w:val="single" w:sz="4" w:space="0" w:color="auto"/>
            </w:tcBorders>
            <w:shd w:val="clear" w:color="auto" w:fill="auto"/>
            <w:vAlign w:val="center"/>
            <w:hideMark/>
          </w:tcPr>
          <w:p w14:paraId="45CDE5F0"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3 000 000</w:t>
            </w:r>
          </w:p>
        </w:tc>
        <w:tc>
          <w:tcPr>
            <w:tcW w:w="2691" w:type="dxa"/>
            <w:vMerge w:val="restart"/>
            <w:tcBorders>
              <w:top w:val="nil"/>
              <w:left w:val="nil"/>
              <w:right w:val="single" w:sz="4" w:space="0" w:color="auto"/>
            </w:tcBorders>
            <w:vAlign w:val="center"/>
          </w:tcPr>
          <w:p w14:paraId="06FB1403"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662 500</w:t>
            </w:r>
          </w:p>
        </w:tc>
      </w:tr>
      <w:tr w:rsidR="00880179" w:rsidRPr="00E56406" w14:paraId="30DAB308" w14:textId="77777777" w:rsidTr="00E21CDF">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29A49521"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110 000 do 119 999</w:t>
            </w:r>
          </w:p>
        </w:tc>
        <w:tc>
          <w:tcPr>
            <w:tcW w:w="2692" w:type="dxa"/>
            <w:tcBorders>
              <w:top w:val="nil"/>
              <w:left w:val="nil"/>
              <w:bottom w:val="single" w:sz="4" w:space="0" w:color="auto"/>
              <w:right w:val="single" w:sz="4" w:space="0" w:color="auto"/>
            </w:tcBorders>
            <w:shd w:val="clear" w:color="auto" w:fill="auto"/>
            <w:vAlign w:val="center"/>
            <w:hideMark/>
          </w:tcPr>
          <w:p w14:paraId="29F9EE67"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3 250 000</w:t>
            </w:r>
          </w:p>
        </w:tc>
        <w:tc>
          <w:tcPr>
            <w:tcW w:w="2691" w:type="dxa"/>
            <w:vMerge/>
            <w:tcBorders>
              <w:left w:val="nil"/>
              <w:right w:val="single" w:sz="4" w:space="0" w:color="auto"/>
            </w:tcBorders>
          </w:tcPr>
          <w:p w14:paraId="743BAFF8" w14:textId="77777777" w:rsidR="00880179" w:rsidRPr="00E56406" w:rsidRDefault="00880179" w:rsidP="000E6C69">
            <w:pPr>
              <w:pStyle w:val="AkapitStandardowyRyczat"/>
              <w:spacing w:before="0" w:after="0" w:line="276" w:lineRule="auto"/>
              <w:rPr>
                <w:rFonts w:asciiTheme="minorHAnsi" w:hAnsiTheme="minorHAnsi" w:cstheme="minorHAnsi"/>
              </w:rPr>
            </w:pPr>
          </w:p>
        </w:tc>
      </w:tr>
      <w:tr w:rsidR="00880179" w:rsidRPr="00E56406" w14:paraId="6F17CC98" w14:textId="77777777" w:rsidTr="00E21CDF">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51131026"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120 000 do 129 999</w:t>
            </w:r>
          </w:p>
        </w:tc>
        <w:tc>
          <w:tcPr>
            <w:tcW w:w="2692" w:type="dxa"/>
            <w:tcBorders>
              <w:top w:val="nil"/>
              <w:left w:val="nil"/>
              <w:bottom w:val="single" w:sz="4" w:space="0" w:color="auto"/>
              <w:right w:val="single" w:sz="4" w:space="0" w:color="auto"/>
            </w:tcBorders>
            <w:shd w:val="clear" w:color="auto" w:fill="auto"/>
            <w:vAlign w:val="center"/>
            <w:hideMark/>
          </w:tcPr>
          <w:p w14:paraId="635F5E44"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3 500 000</w:t>
            </w:r>
          </w:p>
        </w:tc>
        <w:tc>
          <w:tcPr>
            <w:tcW w:w="2691" w:type="dxa"/>
            <w:vMerge/>
            <w:tcBorders>
              <w:left w:val="nil"/>
              <w:right w:val="single" w:sz="4" w:space="0" w:color="auto"/>
            </w:tcBorders>
          </w:tcPr>
          <w:p w14:paraId="5CB03616" w14:textId="77777777" w:rsidR="00880179" w:rsidRPr="00E56406" w:rsidRDefault="00880179" w:rsidP="000E6C69">
            <w:pPr>
              <w:pStyle w:val="AkapitStandardowyRyczat"/>
              <w:spacing w:before="0" w:after="0" w:line="276" w:lineRule="auto"/>
              <w:rPr>
                <w:rFonts w:asciiTheme="minorHAnsi" w:hAnsiTheme="minorHAnsi" w:cstheme="minorHAnsi"/>
              </w:rPr>
            </w:pPr>
          </w:p>
        </w:tc>
      </w:tr>
      <w:tr w:rsidR="00880179" w:rsidRPr="00E56406" w14:paraId="35719A87" w14:textId="77777777" w:rsidTr="00E21CDF">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7F10E4EB"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130 000 do 139 999</w:t>
            </w:r>
          </w:p>
        </w:tc>
        <w:tc>
          <w:tcPr>
            <w:tcW w:w="2692" w:type="dxa"/>
            <w:tcBorders>
              <w:top w:val="nil"/>
              <w:left w:val="nil"/>
              <w:bottom w:val="single" w:sz="4" w:space="0" w:color="auto"/>
              <w:right w:val="single" w:sz="4" w:space="0" w:color="auto"/>
            </w:tcBorders>
            <w:shd w:val="clear" w:color="auto" w:fill="auto"/>
            <w:vAlign w:val="center"/>
            <w:hideMark/>
          </w:tcPr>
          <w:p w14:paraId="462AF565"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3 750 000</w:t>
            </w:r>
          </w:p>
        </w:tc>
        <w:tc>
          <w:tcPr>
            <w:tcW w:w="2691" w:type="dxa"/>
            <w:vMerge/>
            <w:tcBorders>
              <w:left w:val="nil"/>
              <w:right w:val="single" w:sz="4" w:space="0" w:color="auto"/>
            </w:tcBorders>
          </w:tcPr>
          <w:p w14:paraId="7914FE6D" w14:textId="77777777" w:rsidR="00880179" w:rsidRPr="00E56406" w:rsidRDefault="00880179" w:rsidP="000E6C69">
            <w:pPr>
              <w:pStyle w:val="AkapitStandardowyRyczat"/>
              <w:spacing w:before="0" w:after="0" w:line="276" w:lineRule="auto"/>
              <w:rPr>
                <w:rFonts w:asciiTheme="minorHAnsi" w:hAnsiTheme="minorHAnsi" w:cstheme="minorHAnsi"/>
              </w:rPr>
            </w:pPr>
          </w:p>
        </w:tc>
      </w:tr>
      <w:tr w:rsidR="00880179" w:rsidRPr="00E56406" w14:paraId="25CE4F32" w14:textId="77777777" w:rsidTr="00E21CDF">
        <w:trPr>
          <w:trHeight w:val="300"/>
        </w:trPr>
        <w:tc>
          <w:tcPr>
            <w:tcW w:w="3624" w:type="dxa"/>
            <w:tcBorders>
              <w:top w:val="nil"/>
              <w:left w:val="single" w:sz="4" w:space="0" w:color="auto"/>
              <w:bottom w:val="single" w:sz="4" w:space="0" w:color="auto"/>
              <w:right w:val="single" w:sz="4" w:space="0" w:color="auto"/>
            </w:tcBorders>
            <w:shd w:val="clear" w:color="auto" w:fill="auto"/>
            <w:vAlign w:val="center"/>
            <w:hideMark/>
          </w:tcPr>
          <w:p w14:paraId="6241FB7E"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od 140 000</w:t>
            </w:r>
          </w:p>
        </w:tc>
        <w:tc>
          <w:tcPr>
            <w:tcW w:w="2692" w:type="dxa"/>
            <w:tcBorders>
              <w:top w:val="nil"/>
              <w:left w:val="nil"/>
              <w:bottom w:val="single" w:sz="4" w:space="0" w:color="auto"/>
              <w:right w:val="single" w:sz="4" w:space="0" w:color="auto"/>
            </w:tcBorders>
            <w:shd w:val="clear" w:color="auto" w:fill="auto"/>
            <w:vAlign w:val="center"/>
            <w:hideMark/>
          </w:tcPr>
          <w:p w14:paraId="1859F16F" w14:textId="77777777" w:rsidR="00880179" w:rsidRPr="00E56406" w:rsidRDefault="00880179" w:rsidP="00AA4432">
            <w:pPr>
              <w:pStyle w:val="AkapitStandardowyRyczat"/>
              <w:spacing w:before="0" w:after="0" w:line="276" w:lineRule="auto"/>
              <w:jc w:val="center"/>
              <w:rPr>
                <w:rFonts w:asciiTheme="minorHAnsi" w:hAnsiTheme="minorHAnsi" w:cstheme="minorHAnsi"/>
              </w:rPr>
            </w:pPr>
            <w:r w:rsidRPr="00E56406">
              <w:rPr>
                <w:rFonts w:asciiTheme="minorHAnsi" w:hAnsiTheme="minorHAnsi" w:cstheme="minorHAnsi"/>
              </w:rPr>
              <w:t>4 000 000</w:t>
            </w:r>
          </w:p>
        </w:tc>
        <w:tc>
          <w:tcPr>
            <w:tcW w:w="2691" w:type="dxa"/>
            <w:vMerge/>
            <w:tcBorders>
              <w:left w:val="nil"/>
              <w:bottom w:val="single" w:sz="4" w:space="0" w:color="auto"/>
              <w:right w:val="single" w:sz="4" w:space="0" w:color="auto"/>
            </w:tcBorders>
          </w:tcPr>
          <w:p w14:paraId="4D8FEEF0" w14:textId="77777777" w:rsidR="00880179" w:rsidRPr="00E56406" w:rsidRDefault="00880179" w:rsidP="000E6C69">
            <w:pPr>
              <w:pStyle w:val="AkapitStandardowyRyczat"/>
              <w:spacing w:before="0" w:after="0" w:line="276" w:lineRule="auto"/>
              <w:rPr>
                <w:rFonts w:asciiTheme="minorHAnsi" w:hAnsiTheme="minorHAnsi" w:cstheme="minorHAnsi"/>
              </w:rPr>
            </w:pPr>
          </w:p>
        </w:tc>
      </w:tr>
    </w:tbl>
    <w:p w14:paraId="76C0FB1E" w14:textId="4D03003D" w:rsidR="009517CF" w:rsidRPr="00E56406" w:rsidRDefault="00492BD4" w:rsidP="00BB06C3">
      <w:pPr>
        <w:pStyle w:val="AkapitStandardowyRyczat"/>
        <w:spacing w:line="276" w:lineRule="auto"/>
        <w:rPr>
          <w:rFonts w:asciiTheme="minorHAnsi" w:hAnsiTheme="minorHAnsi" w:cstheme="minorHAnsi"/>
          <w:sz w:val="24"/>
          <w:szCs w:val="24"/>
        </w:rPr>
      </w:pPr>
      <w:r w:rsidRPr="00492BD4">
        <w:rPr>
          <w:rFonts w:asciiTheme="minorHAnsi" w:hAnsiTheme="minorHAnsi" w:cstheme="minorHAnsi"/>
          <w:sz w:val="24"/>
          <w:szCs w:val="24"/>
        </w:rPr>
        <w:t xml:space="preserve">W przypadku, gdy wartość określona zgodnie z ust. 1 pkt 6 </w:t>
      </w:r>
      <w:r>
        <w:rPr>
          <w:rFonts w:asciiTheme="minorHAnsi" w:hAnsiTheme="minorHAnsi" w:cstheme="minorHAnsi"/>
          <w:sz w:val="24"/>
          <w:szCs w:val="24"/>
        </w:rPr>
        <w:t xml:space="preserve">jest </w:t>
      </w:r>
      <w:r w:rsidRPr="00492BD4">
        <w:rPr>
          <w:rFonts w:asciiTheme="minorHAnsi" w:hAnsiTheme="minorHAnsi" w:cstheme="minorHAnsi"/>
          <w:sz w:val="24"/>
          <w:szCs w:val="24"/>
        </w:rPr>
        <w:t>niższa niż 1</w:t>
      </w:r>
      <w:r>
        <w:rPr>
          <w:rFonts w:asciiTheme="minorHAnsi" w:hAnsiTheme="minorHAnsi" w:cstheme="minorHAnsi"/>
          <w:sz w:val="24"/>
          <w:szCs w:val="24"/>
        </w:rPr>
        <w:t xml:space="preserve"> k</w:t>
      </w:r>
      <w:r w:rsidR="009517CF" w:rsidRPr="00E56406">
        <w:rPr>
          <w:rFonts w:asciiTheme="minorHAnsi" w:hAnsiTheme="minorHAnsi" w:cstheme="minorHAnsi"/>
          <w:sz w:val="24"/>
          <w:szCs w:val="24"/>
        </w:rPr>
        <w:t>wot</w:t>
      </w:r>
      <w:r w:rsidR="0020782C">
        <w:rPr>
          <w:rFonts w:asciiTheme="minorHAnsi" w:hAnsiTheme="minorHAnsi" w:cstheme="minorHAnsi"/>
          <w:sz w:val="24"/>
          <w:szCs w:val="24"/>
        </w:rPr>
        <w:t>y</w:t>
      </w:r>
      <w:r w:rsidR="009517CF" w:rsidRPr="00E56406">
        <w:rPr>
          <w:rFonts w:asciiTheme="minorHAnsi" w:hAnsiTheme="minorHAnsi" w:cstheme="minorHAnsi"/>
          <w:sz w:val="24"/>
          <w:szCs w:val="24"/>
        </w:rPr>
        <w:t xml:space="preserve"> przewidzian</w:t>
      </w:r>
      <w:r w:rsidR="0020782C">
        <w:rPr>
          <w:rFonts w:asciiTheme="minorHAnsi" w:hAnsiTheme="minorHAnsi" w:cstheme="minorHAnsi"/>
          <w:sz w:val="24"/>
          <w:szCs w:val="24"/>
        </w:rPr>
        <w:t>e</w:t>
      </w:r>
      <w:r w:rsidR="009517CF" w:rsidRPr="00E56406">
        <w:rPr>
          <w:rFonts w:asciiTheme="minorHAnsi" w:hAnsiTheme="minorHAnsi" w:cstheme="minorHAnsi"/>
          <w:sz w:val="24"/>
          <w:szCs w:val="24"/>
        </w:rPr>
        <w:t xml:space="preserve"> w </w:t>
      </w:r>
      <w:r>
        <w:rPr>
          <w:rFonts w:asciiTheme="minorHAnsi" w:hAnsiTheme="minorHAnsi" w:cstheme="minorHAnsi"/>
          <w:sz w:val="24"/>
          <w:szCs w:val="24"/>
        </w:rPr>
        <w:t>umowie ramowej</w:t>
      </w:r>
      <w:r w:rsidRPr="00E56406">
        <w:rPr>
          <w:rFonts w:asciiTheme="minorHAnsi" w:hAnsiTheme="minorHAnsi" w:cstheme="minorHAnsi"/>
          <w:sz w:val="24"/>
          <w:szCs w:val="24"/>
        </w:rPr>
        <w:t xml:space="preserve"> </w:t>
      </w:r>
      <w:r w:rsidR="00E21CDF" w:rsidRPr="00E56406">
        <w:rPr>
          <w:rFonts w:asciiTheme="minorHAnsi" w:hAnsiTheme="minorHAnsi" w:cstheme="minorHAnsi"/>
          <w:sz w:val="24"/>
          <w:szCs w:val="24"/>
        </w:rPr>
        <w:t xml:space="preserve">ustala się jako </w:t>
      </w:r>
      <w:r w:rsidR="00725DCB" w:rsidRPr="00E56406">
        <w:rPr>
          <w:rFonts w:asciiTheme="minorHAnsi" w:hAnsiTheme="minorHAnsi" w:cstheme="minorHAnsi"/>
          <w:sz w:val="24"/>
          <w:szCs w:val="24"/>
        </w:rPr>
        <w:t>iloczyn</w:t>
      </w:r>
      <w:r w:rsidR="0020782C">
        <w:rPr>
          <w:rFonts w:asciiTheme="minorHAnsi" w:hAnsiTheme="minorHAnsi" w:cstheme="minorHAnsi"/>
          <w:sz w:val="24"/>
          <w:szCs w:val="24"/>
        </w:rPr>
        <w:t>y</w:t>
      </w:r>
      <w:r w:rsidR="008D6169" w:rsidRPr="00E56406">
        <w:rPr>
          <w:rFonts w:asciiTheme="minorHAnsi" w:hAnsiTheme="minorHAnsi" w:cstheme="minorHAnsi"/>
          <w:sz w:val="24"/>
          <w:szCs w:val="24"/>
        </w:rPr>
        <w:t xml:space="preserve"> </w:t>
      </w:r>
      <w:r w:rsidR="00725DCB" w:rsidRPr="00E56406">
        <w:rPr>
          <w:rFonts w:asciiTheme="minorHAnsi" w:hAnsiTheme="minorHAnsi" w:cstheme="minorHAnsi"/>
          <w:sz w:val="24"/>
          <w:szCs w:val="24"/>
        </w:rPr>
        <w:t>kwot ustalon</w:t>
      </w:r>
      <w:r w:rsidR="0020782C">
        <w:rPr>
          <w:rFonts w:asciiTheme="minorHAnsi" w:hAnsiTheme="minorHAnsi" w:cstheme="minorHAnsi"/>
          <w:sz w:val="24"/>
          <w:szCs w:val="24"/>
        </w:rPr>
        <w:t>ych</w:t>
      </w:r>
      <w:r w:rsidR="00725DCB" w:rsidRPr="00E56406">
        <w:rPr>
          <w:rFonts w:asciiTheme="minorHAnsi" w:hAnsiTheme="minorHAnsi" w:cstheme="minorHAnsi"/>
          <w:sz w:val="24"/>
          <w:szCs w:val="24"/>
        </w:rPr>
        <w:t xml:space="preserve"> zgodnie z powyższą tabelą i wartości ustalonej na podstawie </w:t>
      </w:r>
      <w:r w:rsidR="002C3AB6" w:rsidRPr="00E56406">
        <w:rPr>
          <w:rFonts w:asciiTheme="minorHAnsi" w:hAnsiTheme="minorHAnsi" w:cstheme="minorHAnsi"/>
          <w:sz w:val="24"/>
          <w:szCs w:val="24"/>
        </w:rPr>
        <w:t xml:space="preserve">ust. 1 </w:t>
      </w:r>
      <w:r w:rsidR="00725DCB" w:rsidRPr="00E56406">
        <w:rPr>
          <w:rFonts w:asciiTheme="minorHAnsi" w:hAnsiTheme="minorHAnsi" w:cstheme="minorHAnsi"/>
          <w:sz w:val="24"/>
          <w:szCs w:val="24"/>
        </w:rPr>
        <w:t xml:space="preserve">pkt </w:t>
      </w:r>
      <w:r w:rsidR="0038744F" w:rsidRPr="00E56406">
        <w:rPr>
          <w:rFonts w:asciiTheme="minorHAnsi" w:hAnsiTheme="minorHAnsi" w:cstheme="minorHAnsi"/>
          <w:sz w:val="24"/>
          <w:szCs w:val="24"/>
        </w:rPr>
        <w:t>6</w:t>
      </w:r>
      <w:r w:rsidR="008D6169" w:rsidRPr="00E56406">
        <w:rPr>
          <w:rFonts w:asciiTheme="minorHAnsi" w:hAnsiTheme="minorHAnsi" w:cstheme="minorHAnsi"/>
          <w:sz w:val="24"/>
          <w:szCs w:val="24"/>
        </w:rPr>
        <w:t>.</w:t>
      </w:r>
    </w:p>
    <w:p w14:paraId="696222FA" w14:textId="06D535A9" w:rsidR="00853627" w:rsidRPr="00E56406" w:rsidRDefault="0068233F"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 xml:space="preserve">W </w:t>
      </w:r>
      <w:r w:rsidR="00074989" w:rsidRPr="00E56406">
        <w:rPr>
          <w:rFonts w:asciiTheme="minorHAnsi" w:hAnsiTheme="minorHAnsi" w:cstheme="minorHAnsi"/>
          <w:sz w:val="24"/>
          <w:szCs w:val="24"/>
        </w:rPr>
        <w:t>przypadku</w:t>
      </w:r>
      <w:r w:rsidRPr="00E56406">
        <w:rPr>
          <w:rFonts w:asciiTheme="minorHAnsi" w:hAnsiTheme="minorHAnsi" w:cstheme="minorHAnsi"/>
          <w:sz w:val="24"/>
          <w:szCs w:val="24"/>
        </w:rPr>
        <w:t xml:space="preserve"> </w:t>
      </w:r>
      <w:r w:rsidR="00074989" w:rsidRPr="00E56406">
        <w:rPr>
          <w:rFonts w:asciiTheme="minorHAnsi" w:hAnsiTheme="minorHAnsi" w:cstheme="minorHAnsi"/>
          <w:sz w:val="24"/>
          <w:szCs w:val="24"/>
        </w:rPr>
        <w:t>rozszerzenia obszaru LSR, o którym mowa w §</w:t>
      </w:r>
      <w:r w:rsidR="008652BB" w:rsidRPr="00E56406">
        <w:rPr>
          <w:rFonts w:asciiTheme="minorHAnsi" w:hAnsiTheme="minorHAnsi" w:cstheme="minorHAnsi"/>
          <w:sz w:val="24"/>
          <w:szCs w:val="24"/>
        </w:rPr>
        <w:t xml:space="preserve"> </w:t>
      </w:r>
      <w:r w:rsidR="00074989" w:rsidRPr="00E56406">
        <w:rPr>
          <w:rFonts w:asciiTheme="minorHAnsi" w:hAnsiTheme="minorHAnsi" w:cstheme="minorHAnsi"/>
          <w:sz w:val="24"/>
          <w:szCs w:val="24"/>
        </w:rPr>
        <w:t>16 regulaminu</w:t>
      </w:r>
      <w:r w:rsidR="00E410CB" w:rsidRPr="00E56406">
        <w:rPr>
          <w:rFonts w:asciiTheme="minorHAnsi" w:hAnsiTheme="minorHAnsi" w:cstheme="minorHAnsi"/>
          <w:sz w:val="24"/>
          <w:szCs w:val="24"/>
        </w:rPr>
        <w:t xml:space="preserve"> konkursu,</w:t>
      </w:r>
      <w:r w:rsidR="00074989" w:rsidRPr="00E56406">
        <w:rPr>
          <w:rFonts w:asciiTheme="minorHAnsi" w:hAnsiTheme="minorHAnsi" w:cstheme="minorHAnsi"/>
          <w:sz w:val="24"/>
          <w:szCs w:val="24"/>
        </w:rPr>
        <w:t xml:space="preserve"> o białe plamy</w:t>
      </w:r>
      <w:r w:rsidR="003F3ADF" w:rsidRPr="00E56406">
        <w:rPr>
          <w:rFonts w:asciiTheme="minorHAnsi" w:hAnsiTheme="minorHAnsi" w:cstheme="minorHAnsi"/>
          <w:sz w:val="24"/>
          <w:szCs w:val="24"/>
        </w:rPr>
        <w:t>,</w:t>
      </w:r>
      <w:r w:rsidR="00074989" w:rsidRPr="00E56406">
        <w:rPr>
          <w:rFonts w:asciiTheme="minorHAnsi" w:hAnsiTheme="minorHAnsi" w:cstheme="minorHAnsi"/>
          <w:sz w:val="24"/>
          <w:szCs w:val="24"/>
        </w:rPr>
        <w:t xml:space="preserve"> </w:t>
      </w:r>
      <w:r w:rsidR="0020782C">
        <w:rPr>
          <w:rFonts w:asciiTheme="minorHAnsi" w:hAnsiTheme="minorHAnsi" w:cstheme="minorHAnsi"/>
          <w:sz w:val="24"/>
          <w:szCs w:val="24"/>
        </w:rPr>
        <w:t xml:space="preserve">kwoty przewidziane w umowie ramowej zwiększa się do poziomu kwot ustalonych zgodnie z powyższą tabelą dla zwiększonej liczby ludności wiejskiej zamieszkałej na obszarze objętym LSR. W przypadku gdy rozszerzenie obszaru LSR o białe plamy nie spowoduje </w:t>
      </w:r>
      <w:r w:rsidR="005A39B9" w:rsidRPr="00E56406">
        <w:rPr>
          <w:rFonts w:asciiTheme="minorHAnsi" w:hAnsiTheme="minorHAnsi" w:cstheme="minorHAnsi"/>
          <w:sz w:val="24"/>
          <w:szCs w:val="24"/>
        </w:rPr>
        <w:t>zmian</w:t>
      </w:r>
      <w:r w:rsidR="00002D2F">
        <w:rPr>
          <w:rFonts w:asciiTheme="minorHAnsi" w:hAnsiTheme="minorHAnsi" w:cstheme="minorHAnsi"/>
          <w:sz w:val="24"/>
          <w:szCs w:val="24"/>
        </w:rPr>
        <w:t>y</w:t>
      </w:r>
      <w:r w:rsidR="005A39B9" w:rsidRPr="00E56406">
        <w:rPr>
          <w:rFonts w:asciiTheme="minorHAnsi" w:hAnsiTheme="minorHAnsi" w:cstheme="minorHAnsi"/>
          <w:sz w:val="24"/>
          <w:szCs w:val="24"/>
        </w:rPr>
        <w:t xml:space="preserve"> zaszeregowania</w:t>
      </w:r>
      <w:r w:rsidR="008603FD" w:rsidRPr="00E56406">
        <w:rPr>
          <w:rFonts w:asciiTheme="minorHAnsi" w:hAnsiTheme="minorHAnsi" w:cstheme="minorHAnsi"/>
          <w:sz w:val="24"/>
          <w:szCs w:val="24"/>
        </w:rPr>
        <w:t xml:space="preserve"> zgodnie z ww. tabela</w:t>
      </w:r>
      <w:r w:rsidR="005A39B9" w:rsidRPr="00E56406">
        <w:rPr>
          <w:rFonts w:asciiTheme="minorHAnsi" w:hAnsiTheme="minorHAnsi" w:cstheme="minorHAnsi"/>
          <w:sz w:val="24"/>
          <w:szCs w:val="24"/>
        </w:rPr>
        <w:t xml:space="preserve">, </w:t>
      </w:r>
      <w:r w:rsidR="0020782C">
        <w:rPr>
          <w:rFonts w:asciiTheme="minorHAnsi" w:hAnsiTheme="minorHAnsi" w:cstheme="minorHAnsi"/>
          <w:sz w:val="24"/>
          <w:szCs w:val="24"/>
        </w:rPr>
        <w:t xml:space="preserve">kwoty przewidziane w umowie ramowej </w:t>
      </w:r>
      <w:r w:rsidR="00002D2F">
        <w:rPr>
          <w:rFonts w:asciiTheme="minorHAnsi" w:hAnsiTheme="minorHAnsi" w:cstheme="minorHAnsi"/>
          <w:sz w:val="24"/>
          <w:szCs w:val="24"/>
        </w:rPr>
        <w:t xml:space="preserve">zwiększa się do poziomu kwot ustalonych dla kolejnego </w:t>
      </w:r>
      <w:r w:rsidR="00380E2B" w:rsidRPr="00E56406">
        <w:rPr>
          <w:rFonts w:asciiTheme="minorHAnsi" w:hAnsiTheme="minorHAnsi" w:cstheme="minorHAnsi"/>
          <w:sz w:val="24"/>
          <w:szCs w:val="24"/>
        </w:rPr>
        <w:t>poziom</w:t>
      </w:r>
      <w:r w:rsidR="00002D2F">
        <w:rPr>
          <w:rFonts w:asciiTheme="minorHAnsi" w:hAnsiTheme="minorHAnsi" w:cstheme="minorHAnsi"/>
          <w:sz w:val="24"/>
          <w:szCs w:val="24"/>
        </w:rPr>
        <w:t>u</w:t>
      </w:r>
      <w:r w:rsidR="00380E2B" w:rsidRPr="00E56406">
        <w:rPr>
          <w:rFonts w:asciiTheme="minorHAnsi" w:hAnsiTheme="minorHAnsi" w:cstheme="minorHAnsi"/>
          <w:sz w:val="24"/>
          <w:szCs w:val="24"/>
        </w:rPr>
        <w:t xml:space="preserve"> </w:t>
      </w:r>
      <w:r w:rsidR="0081609A" w:rsidRPr="00E56406">
        <w:rPr>
          <w:rFonts w:asciiTheme="minorHAnsi" w:hAnsiTheme="minorHAnsi" w:cstheme="minorHAnsi"/>
          <w:sz w:val="24"/>
          <w:szCs w:val="24"/>
        </w:rPr>
        <w:t>zaszeregowania</w:t>
      </w:r>
      <w:r w:rsidR="00380E2B" w:rsidRPr="00E56406">
        <w:rPr>
          <w:rFonts w:asciiTheme="minorHAnsi" w:hAnsiTheme="minorHAnsi" w:cstheme="minorHAnsi"/>
          <w:sz w:val="24"/>
          <w:szCs w:val="24"/>
        </w:rPr>
        <w:t>.</w:t>
      </w:r>
      <w:r w:rsidR="00FA1551" w:rsidRPr="00E56406">
        <w:rPr>
          <w:rFonts w:asciiTheme="minorHAnsi" w:hAnsiTheme="minorHAnsi" w:cstheme="minorHAnsi"/>
          <w:sz w:val="24"/>
          <w:szCs w:val="24"/>
        </w:rPr>
        <w:t xml:space="preserve"> </w:t>
      </w:r>
      <w:r w:rsidR="00002D2F">
        <w:rPr>
          <w:rFonts w:asciiTheme="minorHAnsi" w:hAnsiTheme="minorHAnsi" w:cstheme="minorHAnsi"/>
          <w:sz w:val="24"/>
          <w:szCs w:val="24"/>
        </w:rPr>
        <w:t xml:space="preserve">Przy zwiększaniu kwot przewidzianych w umowie ramowej uwzględnia się </w:t>
      </w:r>
      <w:r w:rsidR="00FA1551" w:rsidRPr="00E56406">
        <w:rPr>
          <w:rFonts w:asciiTheme="minorHAnsi" w:hAnsiTheme="minorHAnsi" w:cstheme="minorHAnsi"/>
          <w:sz w:val="24"/>
          <w:szCs w:val="24"/>
        </w:rPr>
        <w:t>wartoś</w:t>
      </w:r>
      <w:r w:rsidR="00720A75" w:rsidRPr="00E56406">
        <w:rPr>
          <w:rFonts w:asciiTheme="minorHAnsi" w:hAnsiTheme="minorHAnsi" w:cstheme="minorHAnsi"/>
          <w:sz w:val="24"/>
          <w:szCs w:val="24"/>
        </w:rPr>
        <w:t>ć</w:t>
      </w:r>
      <w:r w:rsidR="00FA1551" w:rsidRPr="00E56406">
        <w:rPr>
          <w:rFonts w:asciiTheme="minorHAnsi" w:hAnsiTheme="minorHAnsi" w:cstheme="minorHAnsi"/>
          <w:sz w:val="24"/>
          <w:szCs w:val="24"/>
        </w:rPr>
        <w:t xml:space="preserve"> procentow</w:t>
      </w:r>
      <w:r w:rsidR="00720A75" w:rsidRPr="00E56406">
        <w:rPr>
          <w:rFonts w:asciiTheme="minorHAnsi" w:hAnsiTheme="minorHAnsi" w:cstheme="minorHAnsi"/>
          <w:sz w:val="24"/>
          <w:szCs w:val="24"/>
        </w:rPr>
        <w:t>ą</w:t>
      </w:r>
      <w:r w:rsidR="00FA1551" w:rsidRPr="00E56406">
        <w:rPr>
          <w:rFonts w:asciiTheme="minorHAnsi" w:hAnsiTheme="minorHAnsi" w:cstheme="minorHAnsi"/>
          <w:sz w:val="24"/>
          <w:szCs w:val="24"/>
        </w:rPr>
        <w:t xml:space="preserve"> określon</w:t>
      </w:r>
      <w:r w:rsidR="00720A75" w:rsidRPr="00E56406">
        <w:rPr>
          <w:rFonts w:asciiTheme="minorHAnsi" w:hAnsiTheme="minorHAnsi" w:cstheme="minorHAnsi"/>
          <w:sz w:val="24"/>
          <w:szCs w:val="24"/>
        </w:rPr>
        <w:t>ą</w:t>
      </w:r>
      <w:r w:rsidR="00FA1551" w:rsidRPr="00E56406">
        <w:rPr>
          <w:rFonts w:asciiTheme="minorHAnsi" w:hAnsiTheme="minorHAnsi" w:cstheme="minorHAnsi"/>
          <w:sz w:val="24"/>
          <w:szCs w:val="24"/>
        </w:rPr>
        <w:t xml:space="preserve"> zgodnie z</w:t>
      </w:r>
      <w:r w:rsidR="00720A75" w:rsidRPr="00E56406">
        <w:rPr>
          <w:rFonts w:asciiTheme="minorHAnsi" w:hAnsiTheme="minorHAnsi" w:cstheme="minorHAnsi"/>
          <w:sz w:val="24"/>
          <w:szCs w:val="24"/>
        </w:rPr>
        <w:t xml:space="preserve"> </w:t>
      </w:r>
      <w:r w:rsidR="002C3AB6" w:rsidRPr="00E56406">
        <w:rPr>
          <w:rFonts w:asciiTheme="minorHAnsi" w:hAnsiTheme="minorHAnsi" w:cstheme="minorHAnsi"/>
          <w:sz w:val="24"/>
          <w:szCs w:val="24"/>
        </w:rPr>
        <w:t>ust.</w:t>
      </w:r>
      <w:r w:rsidR="00720A75" w:rsidRPr="00E56406">
        <w:rPr>
          <w:rFonts w:asciiTheme="minorHAnsi" w:hAnsiTheme="minorHAnsi" w:cstheme="minorHAnsi"/>
          <w:sz w:val="24"/>
          <w:szCs w:val="24"/>
        </w:rPr>
        <w:t xml:space="preserve"> 1</w:t>
      </w:r>
      <w:r w:rsidR="00FA1551" w:rsidRPr="00E56406">
        <w:rPr>
          <w:rFonts w:asciiTheme="minorHAnsi" w:hAnsiTheme="minorHAnsi" w:cstheme="minorHAnsi"/>
          <w:sz w:val="24"/>
          <w:szCs w:val="24"/>
        </w:rPr>
        <w:t xml:space="preserve"> pkt </w:t>
      </w:r>
      <w:r w:rsidR="00E60AC7" w:rsidRPr="00E56406">
        <w:rPr>
          <w:rFonts w:asciiTheme="minorHAnsi" w:hAnsiTheme="minorHAnsi" w:cstheme="minorHAnsi"/>
          <w:sz w:val="24"/>
          <w:szCs w:val="24"/>
        </w:rPr>
        <w:t>6</w:t>
      </w:r>
      <w:r w:rsidR="00EA7CBA" w:rsidRPr="00E56406">
        <w:rPr>
          <w:rFonts w:asciiTheme="minorHAnsi" w:hAnsiTheme="minorHAnsi" w:cstheme="minorHAnsi"/>
          <w:sz w:val="24"/>
          <w:szCs w:val="24"/>
        </w:rPr>
        <w:t>.</w:t>
      </w:r>
      <w:r w:rsidR="00423AF7" w:rsidRPr="00E56406">
        <w:rPr>
          <w:rFonts w:asciiTheme="minorHAnsi" w:hAnsiTheme="minorHAnsi" w:cstheme="minorHAnsi"/>
          <w:sz w:val="24"/>
          <w:szCs w:val="24"/>
        </w:rPr>
        <w:t xml:space="preserve"> </w:t>
      </w:r>
    </w:p>
    <w:p w14:paraId="09AC8CAE" w14:textId="748EDA81" w:rsidR="00002D2F" w:rsidRDefault="00002D2F">
      <w:pPr>
        <w:spacing w:after="160" w:line="259" w:lineRule="auto"/>
        <w:rPr>
          <w:rFonts w:asciiTheme="minorHAnsi" w:hAnsiTheme="minorHAnsi" w:cstheme="minorHAnsi"/>
          <w:b/>
          <w:sz w:val="32"/>
          <w:szCs w:val="32"/>
        </w:rPr>
      </w:pPr>
      <w:r>
        <w:rPr>
          <w:szCs w:val="32"/>
        </w:rPr>
        <w:br w:type="page"/>
      </w:r>
    </w:p>
    <w:p w14:paraId="17562B13" w14:textId="748EDA81" w:rsidR="00BB0912" w:rsidRPr="00E56406" w:rsidRDefault="00914A60" w:rsidP="000E6C69">
      <w:pPr>
        <w:pStyle w:val="Nagwek1"/>
        <w:spacing w:line="276" w:lineRule="auto"/>
        <w:jc w:val="both"/>
        <w:rPr>
          <w:szCs w:val="32"/>
        </w:rPr>
      </w:pPr>
      <w:bookmarkStart w:id="1" w:name="_Toc117597598"/>
      <w:r w:rsidRPr="00E56406">
        <w:rPr>
          <w:szCs w:val="32"/>
        </w:rPr>
        <w:lastRenderedPageBreak/>
        <w:t>B</w:t>
      </w:r>
      <w:r w:rsidR="00BB0912" w:rsidRPr="00E56406">
        <w:rPr>
          <w:szCs w:val="32"/>
        </w:rPr>
        <w:t xml:space="preserve">. Wysokość dostępnych środków przeznaczonych na realizację LSR w ramach </w:t>
      </w:r>
      <w:r w:rsidR="00DD74BA" w:rsidRPr="00E56406">
        <w:rPr>
          <w:szCs w:val="32"/>
        </w:rPr>
        <w:t>programu Fundusze Europejskie dla Kujaw i Pomorza na lata 2021-2027</w:t>
      </w:r>
      <w:bookmarkEnd w:id="1"/>
    </w:p>
    <w:p w14:paraId="4E84C47F" w14:textId="77777777" w:rsidR="00D56461" w:rsidRDefault="00D56461" w:rsidP="00D56461">
      <w:pPr>
        <w:pStyle w:val="AkapitStandardowyRyczat"/>
        <w:spacing w:line="276" w:lineRule="auto"/>
        <w:rPr>
          <w:rFonts w:asciiTheme="minorHAnsi" w:hAnsiTheme="minorHAnsi" w:cstheme="minorHAnsi"/>
          <w:sz w:val="24"/>
          <w:szCs w:val="24"/>
        </w:rPr>
      </w:pPr>
      <w:r>
        <w:rPr>
          <w:rFonts w:asciiTheme="minorHAnsi" w:hAnsiTheme="minorHAnsi" w:cstheme="minorHAnsi"/>
          <w:sz w:val="24"/>
          <w:szCs w:val="24"/>
        </w:rPr>
        <w:t>Wysokość dostępnych środków EFS+ przeznaczonych na realizację LSR w ramach programu Fundusze Europejskie dla Kujaw i Pomorza na lata 2021-2027 wynosi 52 602 730 EUR, z czego na wdrażanie LSR zakłada się kwotę 44 712 320 .</w:t>
      </w:r>
    </w:p>
    <w:p w14:paraId="56730F02" w14:textId="77777777" w:rsidR="00D56461" w:rsidRDefault="00D56461" w:rsidP="00D56461">
      <w:pPr>
        <w:pStyle w:val="AkapitStandardowyRyczat"/>
        <w:spacing w:after="0" w:line="276" w:lineRule="auto"/>
        <w:rPr>
          <w:rFonts w:asciiTheme="minorHAnsi" w:hAnsiTheme="minorHAnsi" w:cstheme="minorHAnsi"/>
          <w:sz w:val="24"/>
          <w:szCs w:val="24"/>
        </w:rPr>
      </w:pPr>
      <w:r>
        <w:rPr>
          <w:rFonts w:asciiTheme="minorHAnsi" w:hAnsiTheme="minorHAnsi" w:cstheme="minorHAnsi"/>
          <w:sz w:val="24"/>
          <w:szCs w:val="24"/>
        </w:rPr>
        <w:t>Ostateczną wysokość środków przeznaczonych na zarządzanie LSR ze środków EFS+ będzie miała wpływ zatwierdzona przez MFiPR metodologia szacowania kosztów, uwzględniająca (w przypadku wielofunduszowych LSR) finansowanie kosztów wspólnych ze środków PS WPR.</w:t>
      </w:r>
    </w:p>
    <w:p w14:paraId="17139586" w14:textId="77777777" w:rsidR="00D56461" w:rsidRDefault="00D56461" w:rsidP="00D56461">
      <w:pPr>
        <w:pStyle w:val="AkapitStandardowyRyczat"/>
        <w:spacing w:before="0" w:line="276" w:lineRule="auto"/>
        <w:rPr>
          <w:rFonts w:asciiTheme="minorHAnsi" w:hAnsiTheme="minorHAnsi" w:cstheme="minorHAnsi"/>
          <w:sz w:val="24"/>
          <w:szCs w:val="24"/>
        </w:rPr>
      </w:pPr>
      <w:r>
        <w:rPr>
          <w:rFonts w:asciiTheme="minorHAnsi" w:hAnsiTheme="minorHAnsi" w:cstheme="minorHAnsi"/>
          <w:sz w:val="24"/>
          <w:szCs w:val="24"/>
        </w:rPr>
        <w:t>Wstępnie zakłada się, iż maksymalna kwota na zarządzanie LSR dla poszczególnych LGD będzie wynosiła:</w:t>
      </w:r>
    </w:p>
    <w:p w14:paraId="655BE854" w14:textId="77777777" w:rsidR="00D56461" w:rsidRDefault="00D56461" w:rsidP="00D56461">
      <w:pPr>
        <w:pStyle w:val="AkapitStandardowyRyczat"/>
        <w:spacing w:before="0" w:line="276" w:lineRule="auto"/>
        <w:rPr>
          <w:rFonts w:asciiTheme="minorHAnsi" w:hAnsiTheme="minorHAnsi" w:cstheme="minorHAnsi"/>
          <w:sz w:val="24"/>
          <w:szCs w:val="24"/>
        </w:rPr>
      </w:pPr>
      <w:r>
        <w:rPr>
          <w:rFonts w:asciiTheme="minorHAnsi" w:hAnsiTheme="minorHAnsi" w:cstheme="minorHAnsi"/>
          <w:sz w:val="24"/>
          <w:szCs w:val="24"/>
        </w:rPr>
        <w:t>- 7% wartości kosztów przypadających na wdrażanie LSR ze środków EFS+ w przypadku wielofunduszowych LSR (jako koszty pośrednie wyliczane w oparciu o stawkę ryczałtową zgodnie z art. 54 a) rozporządzenia nr 2021/1060);</w:t>
      </w:r>
    </w:p>
    <w:p w14:paraId="73824E6B" w14:textId="77777777" w:rsidR="00D56461" w:rsidRDefault="00D56461" w:rsidP="00D56461">
      <w:pPr>
        <w:pStyle w:val="AkapitStandardowyRyczat"/>
        <w:spacing w:line="276" w:lineRule="auto"/>
        <w:rPr>
          <w:rFonts w:asciiTheme="minorHAnsi" w:hAnsiTheme="minorHAnsi" w:cstheme="minorHAnsi"/>
          <w:sz w:val="24"/>
          <w:szCs w:val="24"/>
        </w:rPr>
      </w:pPr>
      <w:r>
        <w:rPr>
          <w:rFonts w:asciiTheme="minorHAnsi" w:hAnsiTheme="minorHAnsi" w:cstheme="minorHAnsi"/>
          <w:sz w:val="24"/>
          <w:szCs w:val="24"/>
        </w:rPr>
        <w:t>- 22% wartości kosztów przypadających na wdrażanie LSR ze środków EFS+ w przypadku monofunduszowych LSR na terenie miast powyżej 20 tys. mieszkańców (na podstawie opracowanej przez IZ metodologii, zaopiniowanej przez Instytucję Audytową) .</w:t>
      </w:r>
    </w:p>
    <w:p w14:paraId="2391FEE0" w14:textId="59C8D212" w:rsidR="00831BAC" w:rsidRPr="00E56406" w:rsidRDefault="00831BAC" w:rsidP="00BB06C3">
      <w:pPr>
        <w:pStyle w:val="AkapitStandardowyRyczat"/>
        <w:spacing w:line="276" w:lineRule="auto"/>
        <w:rPr>
          <w:rFonts w:asciiTheme="minorHAnsi" w:hAnsiTheme="minorHAnsi" w:cstheme="minorHAnsi"/>
          <w:sz w:val="24"/>
          <w:szCs w:val="24"/>
        </w:rPr>
      </w:pPr>
    </w:p>
    <w:p w14:paraId="15EF08AF" w14:textId="43E2159D" w:rsidR="00831BAC" w:rsidRPr="00E56406" w:rsidRDefault="00550775" w:rsidP="00BB06C3">
      <w:pPr>
        <w:pStyle w:val="AkapitStandardowyRyczat"/>
        <w:spacing w:line="276" w:lineRule="auto"/>
        <w:rPr>
          <w:rFonts w:asciiTheme="minorHAnsi" w:hAnsiTheme="minorHAnsi" w:cstheme="minorHAnsi"/>
          <w:strike/>
          <w:sz w:val="24"/>
          <w:szCs w:val="24"/>
        </w:rPr>
      </w:pPr>
      <w:r w:rsidRPr="00E56406">
        <w:rPr>
          <w:rFonts w:asciiTheme="minorHAnsi" w:hAnsiTheme="minorHAnsi" w:cstheme="minorHAnsi"/>
          <w:sz w:val="24"/>
          <w:szCs w:val="24"/>
        </w:rPr>
        <w:t xml:space="preserve">Kwoty środków na Wdrażanie LSR w odniesieniu do poszczególnych LSR </w:t>
      </w:r>
      <w:r w:rsidR="009E1E06" w:rsidRPr="00E56406">
        <w:rPr>
          <w:rFonts w:asciiTheme="minorHAnsi" w:hAnsiTheme="minorHAnsi" w:cstheme="minorHAnsi"/>
          <w:sz w:val="24"/>
          <w:szCs w:val="24"/>
        </w:rPr>
        <w:t>ustala się jako sumę kwoty ustalonej zgodnie z poniższą tabelą:</w:t>
      </w:r>
    </w:p>
    <w:tbl>
      <w:tblPr>
        <w:tblW w:w="0" w:type="auto"/>
        <w:jc w:val="center"/>
        <w:tblCellMar>
          <w:left w:w="70" w:type="dxa"/>
          <w:right w:w="70" w:type="dxa"/>
        </w:tblCellMar>
        <w:tblLook w:val="04A0" w:firstRow="1" w:lastRow="0" w:firstColumn="1" w:lastColumn="0" w:noHBand="0" w:noVBand="1"/>
      </w:tblPr>
      <w:tblGrid>
        <w:gridCol w:w="4623"/>
        <w:gridCol w:w="3625"/>
      </w:tblGrid>
      <w:tr w:rsidR="00E56406" w:rsidRPr="00E56406" w14:paraId="08FEE04A" w14:textId="77777777" w:rsidTr="00AA4432">
        <w:trPr>
          <w:trHeight w:val="660"/>
          <w:jc w:val="center"/>
        </w:trPr>
        <w:tc>
          <w:tcPr>
            <w:tcW w:w="0" w:type="auto"/>
            <w:tcBorders>
              <w:top w:val="single" w:sz="4" w:space="0" w:color="auto"/>
              <w:left w:val="single" w:sz="4" w:space="0" w:color="auto"/>
              <w:bottom w:val="single" w:sz="4" w:space="0" w:color="auto"/>
              <w:right w:val="single" w:sz="4" w:space="0" w:color="auto"/>
            </w:tcBorders>
            <w:shd w:val="clear" w:color="auto" w:fill="C5D9F1"/>
            <w:vAlign w:val="center"/>
            <w:hideMark/>
          </w:tcPr>
          <w:p w14:paraId="0E2CD43B" w14:textId="77777777" w:rsidR="00831BAC" w:rsidRPr="00E56406" w:rsidRDefault="00831BAC" w:rsidP="000E6C69">
            <w:pPr>
              <w:spacing w:after="0"/>
              <w:jc w:val="both"/>
              <w:rPr>
                <w:rFonts w:asciiTheme="minorHAnsi" w:hAnsiTheme="minorHAnsi" w:cstheme="minorHAnsi"/>
                <w:sz w:val="24"/>
                <w:szCs w:val="24"/>
              </w:rPr>
            </w:pPr>
            <w:r w:rsidRPr="00E56406">
              <w:rPr>
                <w:rFonts w:asciiTheme="minorHAnsi" w:hAnsiTheme="minorHAnsi" w:cstheme="minorHAnsi"/>
                <w:sz w:val="24"/>
                <w:szCs w:val="24"/>
              </w:rPr>
              <w:t>Ludność zamieszkała na obszarze objętym LSR</w:t>
            </w:r>
          </w:p>
        </w:tc>
        <w:tc>
          <w:tcPr>
            <w:tcW w:w="0" w:type="auto"/>
            <w:tcBorders>
              <w:top w:val="single" w:sz="4" w:space="0" w:color="auto"/>
              <w:left w:val="nil"/>
              <w:bottom w:val="single" w:sz="4" w:space="0" w:color="auto"/>
              <w:right w:val="single" w:sz="4" w:space="0" w:color="auto"/>
            </w:tcBorders>
            <w:shd w:val="clear" w:color="auto" w:fill="C5D9F1"/>
            <w:vAlign w:val="center"/>
            <w:hideMark/>
          </w:tcPr>
          <w:p w14:paraId="68D686D1" w14:textId="77777777" w:rsidR="00831BAC" w:rsidRPr="00E56406" w:rsidRDefault="00831BAC" w:rsidP="000E6C69">
            <w:pPr>
              <w:spacing w:after="0"/>
              <w:jc w:val="both"/>
              <w:rPr>
                <w:rFonts w:asciiTheme="minorHAnsi" w:hAnsiTheme="minorHAnsi" w:cstheme="minorHAnsi"/>
                <w:sz w:val="24"/>
                <w:szCs w:val="24"/>
              </w:rPr>
            </w:pPr>
            <w:r w:rsidRPr="00E56406">
              <w:rPr>
                <w:rFonts w:asciiTheme="minorHAnsi" w:hAnsiTheme="minorHAnsi" w:cstheme="minorHAnsi"/>
                <w:sz w:val="24"/>
                <w:szCs w:val="24"/>
              </w:rPr>
              <w:t>Kwota EFS+ na wdrażanie LSR [EUR]</w:t>
            </w:r>
          </w:p>
        </w:tc>
      </w:tr>
      <w:tr w:rsidR="00E56406" w:rsidRPr="00E56406" w14:paraId="68C3DE11" w14:textId="77777777" w:rsidTr="00AA4432">
        <w:trPr>
          <w:trHeight w:val="405"/>
          <w:jc w:val="center"/>
        </w:trPr>
        <w:tc>
          <w:tcPr>
            <w:tcW w:w="0" w:type="auto"/>
            <w:tcBorders>
              <w:top w:val="nil"/>
              <w:left w:val="single" w:sz="4" w:space="0" w:color="auto"/>
              <w:bottom w:val="single" w:sz="4" w:space="0" w:color="auto"/>
              <w:right w:val="single" w:sz="4" w:space="0" w:color="auto"/>
            </w:tcBorders>
            <w:vAlign w:val="center"/>
            <w:hideMark/>
          </w:tcPr>
          <w:p w14:paraId="34EF1AA0"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do 29 999</w:t>
            </w:r>
          </w:p>
        </w:tc>
        <w:tc>
          <w:tcPr>
            <w:tcW w:w="0" w:type="auto"/>
            <w:tcBorders>
              <w:top w:val="nil"/>
              <w:left w:val="nil"/>
              <w:bottom w:val="single" w:sz="4" w:space="0" w:color="auto"/>
              <w:right w:val="single" w:sz="4" w:space="0" w:color="auto"/>
            </w:tcBorders>
            <w:vAlign w:val="center"/>
            <w:hideMark/>
          </w:tcPr>
          <w:p w14:paraId="53DD3840"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900 000</w:t>
            </w:r>
          </w:p>
        </w:tc>
      </w:tr>
      <w:tr w:rsidR="00E56406" w:rsidRPr="00E56406" w14:paraId="4486D9D3" w14:textId="77777777" w:rsidTr="00AA4432">
        <w:trPr>
          <w:trHeight w:val="405"/>
          <w:jc w:val="center"/>
        </w:trPr>
        <w:tc>
          <w:tcPr>
            <w:tcW w:w="0" w:type="auto"/>
            <w:tcBorders>
              <w:top w:val="nil"/>
              <w:left w:val="single" w:sz="4" w:space="0" w:color="auto"/>
              <w:bottom w:val="single" w:sz="4" w:space="0" w:color="auto"/>
              <w:right w:val="single" w:sz="4" w:space="0" w:color="auto"/>
            </w:tcBorders>
            <w:vAlign w:val="center"/>
            <w:hideMark/>
          </w:tcPr>
          <w:p w14:paraId="3D2B24D1"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od 30 000 do 49 999</w:t>
            </w:r>
          </w:p>
        </w:tc>
        <w:tc>
          <w:tcPr>
            <w:tcW w:w="0" w:type="auto"/>
            <w:tcBorders>
              <w:top w:val="nil"/>
              <w:left w:val="nil"/>
              <w:bottom w:val="single" w:sz="4" w:space="0" w:color="auto"/>
              <w:right w:val="single" w:sz="4" w:space="0" w:color="auto"/>
            </w:tcBorders>
            <w:vAlign w:val="center"/>
            <w:hideMark/>
          </w:tcPr>
          <w:p w14:paraId="3B303C52"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1 000 000</w:t>
            </w:r>
          </w:p>
        </w:tc>
      </w:tr>
      <w:tr w:rsidR="00E56406" w:rsidRPr="00E56406" w14:paraId="65F986BD" w14:textId="77777777" w:rsidTr="00AA4432">
        <w:trPr>
          <w:trHeight w:val="405"/>
          <w:jc w:val="center"/>
        </w:trPr>
        <w:tc>
          <w:tcPr>
            <w:tcW w:w="0" w:type="auto"/>
            <w:tcBorders>
              <w:top w:val="nil"/>
              <w:left w:val="single" w:sz="4" w:space="0" w:color="auto"/>
              <w:bottom w:val="single" w:sz="4" w:space="0" w:color="auto"/>
              <w:right w:val="single" w:sz="4" w:space="0" w:color="auto"/>
            </w:tcBorders>
            <w:vAlign w:val="center"/>
            <w:hideMark/>
          </w:tcPr>
          <w:p w14:paraId="045F4ACC"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od 50 000 do 99 999</w:t>
            </w:r>
          </w:p>
        </w:tc>
        <w:tc>
          <w:tcPr>
            <w:tcW w:w="0" w:type="auto"/>
            <w:tcBorders>
              <w:top w:val="nil"/>
              <w:left w:val="nil"/>
              <w:bottom w:val="single" w:sz="4" w:space="0" w:color="auto"/>
              <w:right w:val="single" w:sz="4" w:space="0" w:color="auto"/>
            </w:tcBorders>
            <w:vAlign w:val="center"/>
            <w:hideMark/>
          </w:tcPr>
          <w:p w14:paraId="56C5311A"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1 100 000</w:t>
            </w:r>
          </w:p>
        </w:tc>
      </w:tr>
      <w:tr w:rsidR="00E56406" w:rsidRPr="00E56406" w14:paraId="61C1D205" w14:textId="77777777" w:rsidTr="00AA4432">
        <w:trPr>
          <w:trHeight w:val="405"/>
          <w:jc w:val="center"/>
        </w:trPr>
        <w:tc>
          <w:tcPr>
            <w:tcW w:w="0" w:type="auto"/>
            <w:tcBorders>
              <w:top w:val="nil"/>
              <w:left w:val="single" w:sz="4" w:space="0" w:color="auto"/>
              <w:bottom w:val="single" w:sz="4" w:space="0" w:color="auto"/>
              <w:right w:val="single" w:sz="4" w:space="0" w:color="auto"/>
            </w:tcBorders>
            <w:vAlign w:val="center"/>
            <w:hideMark/>
          </w:tcPr>
          <w:p w14:paraId="30B2E7C3"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od 100 000 do 149 999</w:t>
            </w:r>
          </w:p>
        </w:tc>
        <w:tc>
          <w:tcPr>
            <w:tcW w:w="0" w:type="auto"/>
            <w:tcBorders>
              <w:top w:val="nil"/>
              <w:left w:val="nil"/>
              <w:bottom w:val="single" w:sz="4" w:space="0" w:color="auto"/>
              <w:right w:val="single" w:sz="4" w:space="0" w:color="auto"/>
            </w:tcBorders>
            <w:vAlign w:val="center"/>
            <w:hideMark/>
          </w:tcPr>
          <w:p w14:paraId="5A71FB48"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1 200 000</w:t>
            </w:r>
          </w:p>
        </w:tc>
      </w:tr>
      <w:tr w:rsidR="00E56406" w:rsidRPr="00E56406" w14:paraId="5D1A7FF1" w14:textId="77777777" w:rsidTr="00AA4432">
        <w:trPr>
          <w:trHeight w:val="405"/>
          <w:jc w:val="center"/>
        </w:trPr>
        <w:tc>
          <w:tcPr>
            <w:tcW w:w="0" w:type="auto"/>
            <w:tcBorders>
              <w:top w:val="nil"/>
              <w:left w:val="single" w:sz="4" w:space="0" w:color="auto"/>
              <w:bottom w:val="single" w:sz="4" w:space="0" w:color="auto"/>
              <w:right w:val="single" w:sz="4" w:space="0" w:color="auto"/>
            </w:tcBorders>
            <w:vAlign w:val="center"/>
            <w:hideMark/>
          </w:tcPr>
          <w:p w14:paraId="63A2F3FD"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od 150 000</w:t>
            </w:r>
          </w:p>
        </w:tc>
        <w:tc>
          <w:tcPr>
            <w:tcW w:w="0" w:type="auto"/>
            <w:tcBorders>
              <w:top w:val="nil"/>
              <w:left w:val="nil"/>
              <w:bottom w:val="single" w:sz="4" w:space="0" w:color="auto"/>
              <w:right w:val="single" w:sz="4" w:space="0" w:color="auto"/>
            </w:tcBorders>
            <w:vAlign w:val="center"/>
            <w:hideMark/>
          </w:tcPr>
          <w:p w14:paraId="7D771982" w14:textId="77777777" w:rsidR="00831BAC" w:rsidRPr="00E56406" w:rsidRDefault="00831BAC" w:rsidP="00AA4432">
            <w:pPr>
              <w:spacing w:after="0"/>
              <w:jc w:val="center"/>
              <w:rPr>
                <w:rFonts w:asciiTheme="minorHAnsi" w:hAnsiTheme="minorHAnsi" w:cstheme="minorHAnsi"/>
                <w:sz w:val="24"/>
                <w:szCs w:val="24"/>
              </w:rPr>
            </w:pPr>
            <w:r w:rsidRPr="00E56406">
              <w:rPr>
                <w:rFonts w:asciiTheme="minorHAnsi" w:hAnsiTheme="minorHAnsi" w:cstheme="minorHAnsi"/>
                <w:sz w:val="24"/>
                <w:szCs w:val="24"/>
              </w:rPr>
              <w:t>1 300 000</w:t>
            </w:r>
          </w:p>
        </w:tc>
      </w:tr>
    </w:tbl>
    <w:p w14:paraId="02AD533C" w14:textId="77777777" w:rsidR="00D56461" w:rsidRDefault="00D56461" w:rsidP="00D56461">
      <w:pPr>
        <w:pStyle w:val="AkapitStandardowyRyczat"/>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oraz iloczynu liczby ludności zamieszkującej obszary objęte LSR uznane za problemowe (gminy zagrożone trwałą marginalizacją – metodologia MFiPR, gminy na obszarze których występują problemy – metodologia SRW 2030+ lub miasta średnie tracące funkcje społeczno- gospodarce – metodologia MFiPR) i stawki na jednego mieszkańca równej:</w:t>
      </w:r>
    </w:p>
    <w:p w14:paraId="4E5EDE7E" w14:textId="77777777" w:rsidR="00D56461" w:rsidRDefault="00D56461" w:rsidP="00D56461">
      <w:pPr>
        <w:pStyle w:val="AkapitStandardowyRyczat"/>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noBreakHyphen/>
      </w:r>
      <w:r>
        <w:rPr>
          <w:rFonts w:asciiTheme="minorHAnsi" w:hAnsiTheme="minorHAnsi" w:cstheme="minorHAnsi"/>
          <w:color w:val="000000"/>
          <w:sz w:val="24"/>
          <w:szCs w:val="24"/>
        </w:rPr>
        <w:tab/>
        <w:t xml:space="preserve">4,40 EUR na obszarach monofunduszowych LSR w </w:t>
      </w:r>
      <w:r>
        <w:rPr>
          <w:rFonts w:asciiTheme="minorHAnsi" w:hAnsiTheme="minorHAnsi" w:cstheme="minorHAnsi"/>
          <w:sz w:val="24"/>
          <w:szCs w:val="24"/>
        </w:rPr>
        <w:t>miastach</w:t>
      </w:r>
      <w:r>
        <w:rPr>
          <w:rFonts w:asciiTheme="minorHAnsi" w:hAnsiTheme="minorHAnsi" w:cstheme="minorHAnsi"/>
          <w:color w:val="000000"/>
          <w:sz w:val="24"/>
          <w:szCs w:val="24"/>
        </w:rPr>
        <w:t xml:space="preserve"> powyżej 20 tys. mieszkańców (za miasto powyżej 20 tys. mieszkańców uznaje się również takie, którego liczba </w:t>
      </w:r>
      <w:r>
        <w:rPr>
          <w:rFonts w:asciiTheme="minorHAnsi" w:hAnsiTheme="minorHAnsi" w:cstheme="minorHAnsi"/>
          <w:color w:val="000000"/>
          <w:sz w:val="24"/>
          <w:szCs w:val="24"/>
        </w:rPr>
        <w:lastRenderedPageBreak/>
        <w:t>mieszkańców na dzień 31 grudnia 2020 r. jest niższa, ale istnieje możliwość utworzenia na jego terenie monofunduszowej LSR w oparciu o art. 5 ust. 5 ustawy z dnia 20 lutego 2015 r. o rozwoju lokalnym z udziałem lokalnej społeczności;</w:t>
      </w:r>
    </w:p>
    <w:p w14:paraId="288A5C5F" w14:textId="77777777" w:rsidR="00D56461" w:rsidRDefault="00D56461" w:rsidP="00D56461">
      <w:pPr>
        <w:pStyle w:val="AkapitStandardowyRyczat"/>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noBreakHyphen/>
      </w:r>
      <w:r>
        <w:rPr>
          <w:rFonts w:asciiTheme="minorHAnsi" w:hAnsiTheme="minorHAnsi" w:cstheme="minorHAnsi"/>
          <w:color w:val="000000"/>
          <w:sz w:val="24"/>
          <w:szCs w:val="24"/>
        </w:rPr>
        <w:tab/>
        <w:t>22,49 EUR na obszarach wielofunduszowych LSR (w tym miast powyżej 20 tys. mieszkańców, które będą objęte LSR tworzoną w oparciu o art. 5 ust. 2 lit. a) ustawy z dnia 20 lutego 2015 r. o rozwoju lokalnym z udziałem lokalnej społeczności. Wyliczona w oparciu o powyższą metodologię kwota stanowi wartość maksymalną, o jaką może ubiegać się dana LGD. Oznacza to, że LGD nie może ubiegać się o środki przekraczające tą kwotę, ale może ubiegać się o środki w niższej wysokości.</w:t>
      </w:r>
    </w:p>
    <w:p w14:paraId="7119CB17" w14:textId="77777777" w:rsidR="00D56461" w:rsidRDefault="00D56461" w:rsidP="00D56461">
      <w:pPr>
        <w:pStyle w:val="AkapitStandardowyRyczat"/>
        <w:spacing w:line="276" w:lineRule="auto"/>
        <w:rPr>
          <w:rFonts w:asciiTheme="minorHAnsi" w:hAnsiTheme="minorHAnsi" w:cstheme="minorHAnsi"/>
          <w:sz w:val="24"/>
          <w:szCs w:val="24"/>
        </w:rPr>
      </w:pPr>
      <w:r>
        <w:rPr>
          <w:rFonts w:asciiTheme="minorHAnsi" w:hAnsiTheme="minorHAnsi" w:cstheme="minorHAnsi"/>
          <w:sz w:val="24"/>
          <w:szCs w:val="24"/>
        </w:rPr>
        <w:t>W przypadku, gdy po ustaleniu ostatecznej listy LSR wybranych do realizacji pozostaną wolne środki w ramach alokacji określonej dla priorytetu, w którym będzie realizowany RLKS, Zarząd Województwa Kujawsko-Pomorskiego zastrzega sobie prawo podziału tych środków</w:t>
      </w:r>
    </w:p>
    <w:p w14:paraId="38F3B587" w14:textId="5A06700C" w:rsidR="00831BAC" w:rsidRPr="00E56406" w:rsidRDefault="00831BAC"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t>
      </w:r>
    </w:p>
    <w:p w14:paraId="15F5C885" w14:textId="77777777" w:rsidR="00734A74" w:rsidRPr="00E56406" w:rsidRDefault="00734A74" w:rsidP="000E6C69">
      <w:pPr>
        <w:spacing w:after="160"/>
        <w:jc w:val="both"/>
        <w:rPr>
          <w:rFonts w:asciiTheme="minorHAnsi" w:hAnsiTheme="minorHAnsi" w:cstheme="minorHAnsi"/>
          <w:b/>
          <w:sz w:val="32"/>
          <w:szCs w:val="24"/>
        </w:rPr>
      </w:pPr>
      <w:r w:rsidRPr="00E56406">
        <w:rPr>
          <w:rFonts w:asciiTheme="minorHAnsi" w:hAnsiTheme="minorHAnsi" w:cstheme="minorHAnsi"/>
        </w:rPr>
        <w:br w:type="page"/>
      </w:r>
    </w:p>
    <w:p w14:paraId="2F59B495" w14:textId="77777777" w:rsidR="00695C33" w:rsidRPr="00E56406" w:rsidRDefault="00695C33" w:rsidP="00695C33">
      <w:pPr>
        <w:pStyle w:val="Nagwek1"/>
        <w:spacing w:line="276" w:lineRule="auto"/>
        <w:jc w:val="both"/>
        <w:rPr>
          <w:szCs w:val="32"/>
        </w:rPr>
      </w:pPr>
      <w:bookmarkStart w:id="2" w:name="_Toc117597599"/>
      <w:r w:rsidRPr="00E56406">
        <w:rPr>
          <w:szCs w:val="32"/>
        </w:rPr>
        <w:lastRenderedPageBreak/>
        <w:t>C. Wysokość dostępnych środków przeznaczonych na realizację LSR w ramach programu Fundusze Europejskie dla Lubuskiego 2021-2027</w:t>
      </w:r>
      <w:bookmarkEnd w:id="2"/>
    </w:p>
    <w:p w14:paraId="1F7182FC" w14:textId="77777777" w:rsidR="00695C33" w:rsidRPr="00E56406" w:rsidRDefault="00695C33" w:rsidP="00695C3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EFS+ przeznaczonych na realizację LSR w ramach programu Fundusze Europejskie dla Lubuskiego 2021-2027 wynosi   13 259 821,00 EUR.</w:t>
      </w:r>
    </w:p>
    <w:p w14:paraId="60BAC2A1" w14:textId="417C704B" w:rsidR="00695C33" w:rsidRPr="00E56406" w:rsidRDefault="00695C33" w:rsidP="00695C3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Kwotę przewidzianą w LSR na komponent wdrażanie LSR ustala się dla każdej LSR zgodnie z poniższą tabelą:</w:t>
      </w:r>
    </w:p>
    <w:p w14:paraId="77C98675" w14:textId="77777777" w:rsidR="00695C33" w:rsidRPr="00E56406" w:rsidRDefault="00695C33" w:rsidP="00695C3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Finansowanie realizacji LSR ze środków EFS+ przewidziano wyłącznie na terenie województwa lubuskiego.</w:t>
      </w:r>
    </w:p>
    <w:tbl>
      <w:tblPr>
        <w:tblW w:w="0" w:type="auto"/>
        <w:jc w:val="center"/>
        <w:tblCellMar>
          <w:left w:w="70" w:type="dxa"/>
          <w:right w:w="70" w:type="dxa"/>
        </w:tblCellMar>
        <w:tblLook w:val="04A0" w:firstRow="1" w:lastRow="0" w:firstColumn="1" w:lastColumn="0" w:noHBand="0" w:noVBand="1"/>
      </w:tblPr>
      <w:tblGrid>
        <w:gridCol w:w="3402"/>
        <w:gridCol w:w="4815"/>
      </w:tblGrid>
      <w:tr w:rsidR="00695C33" w:rsidRPr="00E56406" w14:paraId="5225AA92" w14:textId="77777777" w:rsidTr="001C5F58">
        <w:trPr>
          <w:trHeight w:val="5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82CE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Liczba ludności objętej LSR</w:t>
            </w:r>
          </w:p>
        </w:tc>
        <w:tc>
          <w:tcPr>
            <w:tcW w:w="4815" w:type="dxa"/>
            <w:tcBorders>
              <w:top w:val="single" w:sz="4" w:space="0" w:color="auto"/>
              <w:left w:val="nil"/>
              <w:bottom w:val="single" w:sz="4" w:space="0" w:color="auto"/>
              <w:right w:val="single" w:sz="4" w:space="0" w:color="auto"/>
            </w:tcBorders>
            <w:shd w:val="clear" w:color="auto" w:fill="auto"/>
            <w:vAlign w:val="center"/>
            <w:hideMark/>
          </w:tcPr>
          <w:p w14:paraId="4B1F005E" w14:textId="1FE07FD8"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EFS+ (wdrażanie i z</w:t>
            </w:r>
            <w:r w:rsidR="001C5F58" w:rsidRPr="00E56406">
              <w:rPr>
                <w:rFonts w:asciiTheme="minorHAnsi" w:hAnsiTheme="minorHAnsi" w:cstheme="minorHAnsi"/>
                <w:sz w:val="24"/>
                <w:szCs w:val="24"/>
              </w:rPr>
              <w:t>a</w:t>
            </w:r>
            <w:r w:rsidRPr="00E56406">
              <w:rPr>
                <w:rFonts w:asciiTheme="minorHAnsi" w:hAnsiTheme="minorHAnsi" w:cstheme="minorHAnsi"/>
                <w:sz w:val="24"/>
                <w:szCs w:val="24"/>
              </w:rPr>
              <w:t>rządzanie) na  1 LSR</w:t>
            </w:r>
          </w:p>
          <w:p w14:paraId="7F5DF24F" w14:textId="5BC5E97F"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 xml:space="preserve"> </w:t>
            </w:r>
            <w:r w:rsidR="000803B3" w:rsidRPr="00E56406">
              <w:rPr>
                <w:rFonts w:asciiTheme="minorHAnsi" w:hAnsiTheme="minorHAnsi" w:cstheme="minorHAnsi"/>
              </w:rPr>
              <w:t>[</w:t>
            </w:r>
            <w:r w:rsidRPr="00E56406">
              <w:rPr>
                <w:rFonts w:asciiTheme="minorHAnsi" w:hAnsiTheme="minorHAnsi" w:cstheme="minorHAnsi"/>
              </w:rPr>
              <w:t>EUR</w:t>
            </w:r>
            <w:r w:rsidR="000803B3" w:rsidRPr="00E56406">
              <w:rPr>
                <w:rFonts w:asciiTheme="minorHAnsi" w:hAnsiTheme="minorHAnsi" w:cstheme="minorHAnsi"/>
              </w:rPr>
              <w:t>]</w:t>
            </w:r>
          </w:p>
        </w:tc>
      </w:tr>
      <w:tr w:rsidR="00695C33" w:rsidRPr="00E56406" w14:paraId="59748594" w14:textId="77777777" w:rsidTr="001C5F58">
        <w:trPr>
          <w:trHeight w:val="255"/>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A0D963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do 39 999</w:t>
            </w:r>
          </w:p>
        </w:tc>
        <w:tc>
          <w:tcPr>
            <w:tcW w:w="4815" w:type="dxa"/>
            <w:tcBorders>
              <w:top w:val="nil"/>
              <w:left w:val="nil"/>
              <w:bottom w:val="single" w:sz="4" w:space="0" w:color="auto"/>
              <w:right w:val="single" w:sz="4" w:space="0" w:color="auto"/>
            </w:tcBorders>
            <w:shd w:val="clear" w:color="auto" w:fill="auto"/>
            <w:noWrap/>
            <w:vAlign w:val="center"/>
            <w:hideMark/>
          </w:tcPr>
          <w:p w14:paraId="464829B3"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 619 986,23</w:t>
            </w:r>
          </w:p>
        </w:tc>
      </w:tr>
      <w:tr w:rsidR="00695C33" w:rsidRPr="00E56406" w14:paraId="2C8023AF" w14:textId="77777777" w:rsidTr="001C5F58">
        <w:trPr>
          <w:trHeight w:val="255"/>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6355887" w14:textId="35F2002C" w:rsidR="00695C33" w:rsidRPr="00E56406" w:rsidRDefault="00002D2F" w:rsidP="0008155C">
            <w:pPr>
              <w:spacing w:after="0"/>
              <w:jc w:val="center"/>
              <w:rPr>
                <w:rFonts w:asciiTheme="minorHAnsi" w:hAnsiTheme="minorHAnsi" w:cstheme="minorHAnsi"/>
                <w:sz w:val="24"/>
                <w:szCs w:val="24"/>
              </w:rPr>
            </w:pPr>
            <w:r>
              <w:rPr>
                <w:rFonts w:asciiTheme="minorHAnsi" w:hAnsiTheme="minorHAnsi" w:cstheme="minorHAnsi"/>
                <w:sz w:val="24"/>
                <w:szCs w:val="24"/>
              </w:rPr>
              <w:t xml:space="preserve">od 40 000 </w:t>
            </w:r>
            <w:r w:rsidR="00695C33" w:rsidRPr="00E56406">
              <w:rPr>
                <w:rFonts w:asciiTheme="minorHAnsi" w:hAnsiTheme="minorHAnsi" w:cstheme="minorHAnsi"/>
                <w:sz w:val="24"/>
                <w:szCs w:val="24"/>
              </w:rPr>
              <w:t>do 49 999</w:t>
            </w:r>
          </w:p>
        </w:tc>
        <w:tc>
          <w:tcPr>
            <w:tcW w:w="4815" w:type="dxa"/>
            <w:tcBorders>
              <w:top w:val="nil"/>
              <w:left w:val="nil"/>
              <w:bottom w:val="single" w:sz="4" w:space="0" w:color="auto"/>
              <w:right w:val="single" w:sz="4" w:space="0" w:color="auto"/>
            </w:tcBorders>
            <w:shd w:val="clear" w:color="auto" w:fill="auto"/>
            <w:noWrap/>
            <w:vAlign w:val="center"/>
            <w:hideMark/>
          </w:tcPr>
          <w:p w14:paraId="2792241D"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 769 986,23</w:t>
            </w:r>
          </w:p>
        </w:tc>
      </w:tr>
      <w:tr w:rsidR="00695C33" w:rsidRPr="00E56406" w14:paraId="75C48D97" w14:textId="77777777" w:rsidTr="001C5F58">
        <w:trPr>
          <w:trHeight w:val="255"/>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AE5BE6D" w14:textId="41EF5ECC" w:rsidR="00695C33" w:rsidRPr="00E56406" w:rsidRDefault="00002D2F" w:rsidP="0008155C">
            <w:pPr>
              <w:spacing w:after="0"/>
              <w:jc w:val="center"/>
              <w:rPr>
                <w:rFonts w:asciiTheme="minorHAnsi" w:hAnsiTheme="minorHAnsi" w:cstheme="minorHAnsi"/>
                <w:sz w:val="24"/>
                <w:szCs w:val="24"/>
              </w:rPr>
            </w:pPr>
            <w:r>
              <w:rPr>
                <w:rFonts w:asciiTheme="minorHAnsi" w:hAnsiTheme="minorHAnsi" w:cstheme="minorHAnsi"/>
                <w:sz w:val="24"/>
                <w:szCs w:val="24"/>
              </w:rPr>
              <w:t xml:space="preserve">od 50 000 </w:t>
            </w:r>
            <w:r w:rsidR="00695C33" w:rsidRPr="00E56406">
              <w:rPr>
                <w:rFonts w:asciiTheme="minorHAnsi" w:hAnsiTheme="minorHAnsi" w:cstheme="minorHAnsi"/>
                <w:sz w:val="24"/>
                <w:szCs w:val="24"/>
              </w:rPr>
              <w:t>do 59 999</w:t>
            </w:r>
          </w:p>
        </w:tc>
        <w:tc>
          <w:tcPr>
            <w:tcW w:w="4815" w:type="dxa"/>
            <w:tcBorders>
              <w:top w:val="nil"/>
              <w:left w:val="nil"/>
              <w:bottom w:val="single" w:sz="4" w:space="0" w:color="auto"/>
              <w:right w:val="single" w:sz="4" w:space="0" w:color="auto"/>
            </w:tcBorders>
            <w:shd w:val="clear" w:color="auto" w:fill="auto"/>
            <w:noWrap/>
            <w:vAlign w:val="center"/>
            <w:hideMark/>
          </w:tcPr>
          <w:p w14:paraId="6AC72ADF"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 919 986,23</w:t>
            </w:r>
          </w:p>
        </w:tc>
      </w:tr>
      <w:tr w:rsidR="00695C33" w:rsidRPr="00E56406" w14:paraId="2129A9DF" w14:textId="77777777" w:rsidTr="001C5F58">
        <w:trPr>
          <w:trHeight w:val="255"/>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078DF4E" w14:textId="2A922F9B" w:rsidR="00695C33" w:rsidRPr="00E56406" w:rsidRDefault="00002D2F" w:rsidP="0008155C">
            <w:pPr>
              <w:spacing w:after="0"/>
              <w:jc w:val="center"/>
              <w:rPr>
                <w:rFonts w:asciiTheme="minorHAnsi" w:hAnsiTheme="minorHAnsi" w:cstheme="minorHAnsi"/>
                <w:sz w:val="24"/>
                <w:szCs w:val="24"/>
              </w:rPr>
            </w:pPr>
            <w:r>
              <w:rPr>
                <w:rFonts w:asciiTheme="minorHAnsi" w:hAnsiTheme="minorHAnsi" w:cstheme="minorHAnsi"/>
                <w:sz w:val="24"/>
                <w:szCs w:val="24"/>
              </w:rPr>
              <w:t xml:space="preserve">od 60 000 </w:t>
            </w:r>
            <w:r w:rsidR="00695C33" w:rsidRPr="00E56406">
              <w:rPr>
                <w:rFonts w:asciiTheme="minorHAnsi" w:hAnsiTheme="minorHAnsi" w:cstheme="minorHAnsi"/>
                <w:sz w:val="24"/>
                <w:szCs w:val="24"/>
              </w:rPr>
              <w:t>do 69 999</w:t>
            </w:r>
          </w:p>
        </w:tc>
        <w:tc>
          <w:tcPr>
            <w:tcW w:w="4815" w:type="dxa"/>
            <w:tcBorders>
              <w:top w:val="nil"/>
              <w:left w:val="nil"/>
              <w:bottom w:val="single" w:sz="4" w:space="0" w:color="auto"/>
              <w:right w:val="single" w:sz="4" w:space="0" w:color="auto"/>
            </w:tcBorders>
            <w:shd w:val="clear" w:color="auto" w:fill="auto"/>
            <w:noWrap/>
            <w:vAlign w:val="center"/>
            <w:hideMark/>
          </w:tcPr>
          <w:p w14:paraId="081B7A2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 1 049 986,23</w:t>
            </w:r>
          </w:p>
        </w:tc>
      </w:tr>
      <w:tr w:rsidR="00695C33" w:rsidRPr="00E56406" w14:paraId="3529FBB6" w14:textId="77777777" w:rsidTr="001C5F58">
        <w:trPr>
          <w:trHeight w:val="255"/>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6668DFA" w14:textId="5FB26036" w:rsidR="00695C33" w:rsidRPr="00E56406" w:rsidRDefault="00002D2F" w:rsidP="00002D2F">
            <w:pPr>
              <w:spacing w:after="0"/>
              <w:jc w:val="center"/>
              <w:rPr>
                <w:rFonts w:asciiTheme="minorHAnsi" w:hAnsiTheme="minorHAnsi" w:cstheme="minorHAnsi"/>
                <w:sz w:val="24"/>
                <w:szCs w:val="24"/>
              </w:rPr>
            </w:pPr>
            <w:r>
              <w:rPr>
                <w:rFonts w:asciiTheme="minorHAnsi" w:hAnsiTheme="minorHAnsi" w:cstheme="minorHAnsi"/>
                <w:sz w:val="24"/>
                <w:szCs w:val="24"/>
              </w:rPr>
              <w:t xml:space="preserve">od 70 000 </w:t>
            </w:r>
          </w:p>
        </w:tc>
        <w:tc>
          <w:tcPr>
            <w:tcW w:w="4815" w:type="dxa"/>
            <w:tcBorders>
              <w:top w:val="nil"/>
              <w:left w:val="nil"/>
              <w:bottom w:val="single" w:sz="4" w:space="0" w:color="auto"/>
              <w:right w:val="single" w:sz="4" w:space="0" w:color="auto"/>
            </w:tcBorders>
            <w:shd w:val="clear" w:color="auto" w:fill="auto"/>
            <w:noWrap/>
            <w:vAlign w:val="center"/>
            <w:hideMark/>
          </w:tcPr>
          <w:p w14:paraId="376191F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 1 199 986,23</w:t>
            </w:r>
          </w:p>
        </w:tc>
      </w:tr>
    </w:tbl>
    <w:p w14:paraId="21F5853B" w14:textId="77777777" w:rsidR="00695C33" w:rsidRPr="008D1812" w:rsidRDefault="00695C33" w:rsidP="00695C33">
      <w:pPr>
        <w:pStyle w:val="AkapitStandardowyRyczat"/>
        <w:spacing w:line="276" w:lineRule="auto"/>
        <w:rPr>
          <w:rFonts w:asciiTheme="minorHAnsi" w:eastAsia="Calibri" w:hAnsiTheme="minorHAnsi" w:cstheme="minorHAnsi"/>
        </w:rPr>
      </w:pPr>
      <w:r w:rsidRPr="008D1812">
        <w:rPr>
          <w:rFonts w:asciiTheme="minorHAnsi" w:eastAsia="Calibri" w:hAnsiTheme="minorHAnsi" w:cstheme="minorHAnsi"/>
        </w:rPr>
        <w:t xml:space="preserve">Zarząd Województwa Lubuskiego zastrzega sobie możliwość relokowania środków pomiędzy LGD z EFS+ w ramach LSR wybranych do realizacji. </w:t>
      </w:r>
    </w:p>
    <w:p w14:paraId="6304DAA2" w14:textId="77777777" w:rsidR="00695C33" w:rsidRPr="00E56406" w:rsidRDefault="00695C33" w:rsidP="00695C33">
      <w:pPr>
        <w:spacing w:after="160" w:line="259" w:lineRule="auto"/>
        <w:rPr>
          <w:rFonts w:asciiTheme="minorHAnsi" w:hAnsiTheme="minorHAnsi" w:cstheme="minorHAnsi"/>
          <w:b/>
          <w:sz w:val="32"/>
          <w:szCs w:val="24"/>
        </w:rPr>
      </w:pPr>
      <w:r w:rsidRPr="00E56406">
        <w:rPr>
          <w:rFonts w:asciiTheme="minorHAnsi" w:hAnsiTheme="minorHAnsi" w:cstheme="minorHAnsi"/>
        </w:rPr>
        <w:br w:type="page"/>
      </w:r>
    </w:p>
    <w:p w14:paraId="2680B075" w14:textId="77777777" w:rsidR="009348AC" w:rsidRPr="00E56406" w:rsidRDefault="009348AC" w:rsidP="009348AC">
      <w:pPr>
        <w:pStyle w:val="Nagwek1"/>
        <w:spacing w:line="276" w:lineRule="auto"/>
        <w:jc w:val="both"/>
        <w:rPr>
          <w:szCs w:val="32"/>
        </w:rPr>
      </w:pPr>
      <w:bookmarkStart w:id="3" w:name="_Toc117597600"/>
      <w:r w:rsidRPr="00E56406">
        <w:rPr>
          <w:szCs w:val="32"/>
        </w:rPr>
        <w:lastRenderedPageBreak/>
        <w:t>D. Wysokość dostępnych środków przeznaczonych na realizację LSR w ramach programu Fundusze Europejskie dla Małopolski 2021-2027</w:t>
      </w:r>
      <w:bookmarkEnd w:id="3"/>
      <w:r w:rsidRPr="00E56406">
        <w:rPr>
          <w:szCs w:val="32"/>
        </w:rPr>
        <w:t xml:space="preserve"> </w:t>
      </w:r>
    </w:p>
    <w:p w14:paraId="31FE4BD3" w14:textId="77777777" w:rsidR="009348AC" w:rsidRPr="00E56406" w:rsidRDefault="009348AC" w:rsidP="009348AC">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przeznaczonych na realizację LSR w ramach Programu Regionalnego Fundusze Europejskie dla Małopolski 2021-2027 wynosi 60 000 000 EUR, z czego 20 000 000 EUR to środki EFS+, a 40 000 000 EUR to środki EFRR.</w:t>
      </w:r>
    </w:p>
    <w:p w14:paraId="03AFB6E5" w14:textId="77777777" w:rsidR="009348AC" w:rsidRPr="00E56406" w:rsidRDefault="009348AC" w:rsidP="009348AC">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rPr>
        <w:t>Środki z RPO mogą otrzymać LGD których siedziba znajduje się na obszarze województwa małopolskiego. Środki z RPO nie mogą być wykorzystane w ramach obszarów gmin wchodzących w skład LGD, które są spoza obszaru województwa małopolskiego.</w:t>
      </w:r>
    </w:p>
    <w:p w14:paraId="07082F7C" w14:textId="77777777" w:rsidR="009348AC" w:rsidRPr="00E56406" w:rsidRDefault="009348AC" w:rsidP="009348AC">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Kwotę przewidzianą w LSR ustala się dla każdej LSR zgodnie z poniższymi zasadami:</w:t>
      </w:r>
    </w:p>
    <w:p w14:paraId="601255AD" w14:textId="77777777" w:rsidR="009348AC" w:rsidRPr="00E56406" w:rsidRDefault="009348AC" w:rsidP="009348AC">
      <w:pPr>
        <w:pStyle w:val="AkapitStandardowyRyczat"/>
        <w:numPr>
          <w:ilvl w:val="0"/>
          <w:numId w:val="52"/>
        </w:numPr>
        <w:spacing w:before="120" w:line="276" w:lineRule="auto"/>
        <w:ind w:left="284" w:hanging="284"/>
        <w:rPr>
          <w:rFonts w:asciiTheme="minorHAnsi" w:hAnsiTheme="minorHAnsi" w:cstheme="minorHAnsi"/>
          <w:b/>
          <w:sz w:val="24"/>
          <w:szCs w:val="24"/>
        </w:rPr>
      </w:pPr>
      <w:r w:rsidRPr="00E56406">
        <w:rPr>
          <w:rFonts w:asciiTheme="minorHAnsi" w:hAnsiTheme="minorHAnsi" w:cstheme="minorHAnsi"/>
          <w:sz w:val="24"/>
          <w:szCs w:val="24"/>
        </w:rPr>
        <w:t>W przypadku LGD, których liczba ludności wiejskiej wynosi mniej niż 80 000 według tabeli: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848"/>
        <w:gridCol w:w="2197"/>
        <w:gridCol w:w="2512"/>
      </w:tblGrid>
      <w:tr w:rsidR="009348AC" w:rsidRPr="00E56406" w14:paraId="761A3F56" w14:textId="77777777" w:rsidTr="000803B3">
        <w:trPr>
          <w:trHeight w:val="1250"/>
          <w:jc w:val="center"/>
        </w:trPr>
        <w:tc>
          <w:tcPr>
            <w:tcW w:w="2369" w:type="dxa"/>
            <w:shd w:val="clear" w:color="auto" w:fill="auto"/>
            <w:vAlign w:val="center"/>
            <w:hideMark/>
          </w:tcPr>
          <w:p w14:paraId="3A6DBF71"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sz w:val="24"/>
                <w:szCs w:val="24"/>
              </w:rPr>
              <w:t>Liczba ludności wiejskiej zamieszkała na obszarze objętym LSR</w:t>
            </w:r>
          </w:p>
        </w:tc>
        <w:tc>
          <w:tcPr>
            <w:tcW w:w="1848" w:type="dxa"/>
            <w:shd w:val="clear" w:color="auto" w:fill="auto"/>
            <w:vAlign w:val="center"/>
            <w:hideMark/>
          </w:tcPr>
          <w:p w14:paraId="1F56139E" w14:textId="77777777" w:rsidR="009348AC" w:rsidRPr="00E56406" w:rsidRDefault="009348AC" w:rsidP="008357C2">
            <w:pPr>
              <w:spacing w:after="0"/>
              <w:jc w:val="center"/>
              <w:rPr>
                <w:rFonts w:asciiTheme="minorHAnsi" w:hAnsiTheme="minorHAnsi" w:cstheme="minorHAnsi"/>
                <w:bCs/>
                <w:strike/>
              </w:rPr>
            </w:pPr>
            <w:r w:rsidRPr="00E56406">
              <w:rPr>
                <w:rFonts w:asciiTheme="minorHAnsi" w:hAnsiTheme="minorHAnsi" w:cstheme="minorHAnsi"/>
              </w:rPr>
              <w:t>Wdrażanie LSR EFRR (66,66 %)</w:t>
            </w:r>
          </w:p>
          <w:p w14:paraId="443B4567" w14:textId="42B6F497" w:rsidR="009348AC" w:rsidRPr="00E56406" w:rsidRDefault="000803B3" w:rsidP="008357C2">
            <w:pPr>
              <w:spacing w:after="0"/>
              <w:jc w:val="center"/>
              <w:rPr>
                <w:rFonts w:asciiTheme="minorHAnsi" w:hAnsiTheme="minorHAnsi" w:cstheme="minorHAnsi"/>
              </w:rPr>
            </w:pPr>
            <w:r w:rsidRPr="00E56406">
              <w:rPr>
                <w:rFonts w:asciiTheme="minorHAnsi" w:hAnsiTheme="minorHAnsi" w:cstheme="minorHAnsi"/>
              </w:rPr>
              <w:t>[</w:t>
            </w:r>
            <w:r w:rsidR="009348AC" w:rsidRPr="00E56406">
              <w:rPr>
                <w:rFonts w:asciiTheme="minorHAnsi" w:hAnsiTheme="minorHAnsi" w:cstheme="minorHAnsi"/>
              </w:rPr>
              <w:t>EUR</w:t>
            </w:r>
            <w:r w:rsidRPr="00E56406">
              <w:rPr>
                <w:rFonts w:asciiTheme="minorHAnsi" w:hAnsiTheme="minorHAnsi" w:cstheme="minorHAnsi"/>
              </w:rPr>
              <w:t>]</w:t>
            </w:r>
          </w:p>
        </w:tc>
        <w:tc>
          <w:tcPr>
            <w:tcW w:w="2197" w:type="dxa"/>
            <w:shd w:val="clear" w:color="auto" w:fill="auto"/>
            <w:vAlign w:val="center"/>
            <w:hideMark/>
          </w:tcPr>
          <w:p w14:paraId="30E25251" w14:textId="77777777" w:rsidR="009348AC" w:rsidRPr="00E56406" w:rsidRDefault="009348AC" w:rsidP="008357C2">
            <w:pPr>
              <w:spacing w:after="0"/>
              <w:jc w:val="center"/>
              <w:rPr>
                <w:rFonts w:asciiTheme="minorHAnsi" w:hAnsiTheme="minorHAnsi" w:cstheme="minorHAnsi"/>
                <w:bCs/>
              </w:rPr>
            </w:pPr>
            <w:r w:rsidRPr="00E56406">
              <w:rPr>
                <w:rFonts w:asciiTheme="minorHAnsi" w:hAnsiTheme="minorHAnsi" w:cstheme="minorHAnsi"/>
              </w:rPr>
              <w:t xml:space="preserve"> Wdrażanie LSR EFS+ (33,34 %)</w:t>
            </w:r>
          </w:p>
          <w:p w14:paraId="757CB55B" w14:textId="3ADB2467" w:rsidR="009348AC" w:rsidRPr="00E56406" w:rsidRDefault="000803B3" w:rsidP="008357C2">
            <w:pPr>
              <w:spacing w:after="0"/>
              <w:jc w:val="center"/>
              <w:rPr>
                <w:rFonts w:asciiTheme="minorHAnsi" w:hAnsiTheme="minorHAnsi" w:cstheme="minorHAnsi"/>
              </w:rPr>
            </w:pPr>
            <w:r w:rsidRPr="00E56406">
              <w:rPr>
                <w:rFonts w:asciiTheme="minorHAnsi" w:hAnsiTheme="minorHAnsi" w:cstheme="minorHAnsi"/>
              </w:rPr>
              <w:t>[</w:t>
            </w:r>
            <w:r w:rsidR="009348AC" w:rsidRPr="00E56406">
              <w:rPr>
                <w:rFonts w:asciiTheme="minorHAnsi" w:hAnsiTheme="minorHAnsi" w:cstheme="minorHAnsi"/>
              </w:rPr>
              <w:t>EUR</w:t>
            </w:r>
            <w:r w:rsidRPr="00E56406">
              <w:rPr>
                <w:rFonts w:asciiTheme="minorHAnsi" w:hAnsiTheme="minorHAnsi" w:cstheme="minorHAnsi"/>
              </w:rPr>
              <w:t>]</w:t>
            </w:r>
          </w:p>
        </w:tc>
        <w:tc>
          <w:tcPr>
            <w:tcW w:w="2512" w:type="dxa"/>
            <w:shd w:val="clear" w:color="auto" w:fill="auto"/>
            <w:vAlign w:val="center"/>
            <w:hideMark/>
          </w:tcPr>
          <w:p w14:paraId="4C464C49" w14:textId="77777777" w:rsidR="009348AC" w:rsidRPr="00E56406" w:rsidRDefault="009348AC" w:rsidP="008357C2">
            <w:pPr>
              <w:spacing w:after="0"/>
              <w:jc w:val="center"/>
              <w:rPr>
                <w:rFonts w:asciiTheme="minorHAnsi" w:hAnsiTheme="minorHAnsi" w:cstheme="minorHAnsi"/>
                <w:bCs/>
              </w:rPr>
            </w:pPr>
            <w:r w:rsidRPr="00E56406">
              <w:rPr>
                <w:rFonts w:asciiTheme="minorHAnsi" w:hAnsiTheme="minorHAnsi" w:cstheme="minorHAnsi"/>
                <w:bCs/>
              </w:rPr>
              <w:t>Zarządzanie LSR (finansowanie w ramach EFS+)</w:t>
            </w:r>
          </w:p>
          <w:p w14:paraId="3FE95979" w14:textId="460116C5" w:rsidR="009348AC" w:rsidRPr="00E56406" w:rsidRDefault="000803B3" w:rsidP="008357C2">
            <w:pPr>
              <w:spacing w:after="0"/>
              <w:jc w:val="center"/>
              <w:rPr>
                <w:rFonts w:asciiTheme="minorHAnsi" w:hAnsiTheme="minorHAnsi" w:cstheme="minorHAnsi"/>
                <w:b/>
                <w:bCs/>
              </w:rPr>
            </w:pPr>
            <w:r w:rsidRPr="00E56406">
              <w:rPr>
                <w:rFonts w:asciiTheme="minorHAnsi" w:hAnsiTheme="minorHAnsi" w:cstheme="minorHAnsi"/>
              </w:rPr>
              <w:t>[</w:t>
            </w:r>
            <w:r w:rsidR="009348AC" w:rsidRPr="00E56406">
              <w:rPr>
                <w:rFonts w:asciiTheme="minorHAnsi" w:hAnsiTheme="minorHAnsi" w:cstheme="minorHAnsi"/>
              </w:rPr>
              <w:t>EUR</w:t>
            </w:r>
            <w:r w:rsidRPr="00E56406">
              <w:rPr>
                <w:rFonts w:asciiTheme="minorHAnsi" w:hAnsiTheme="minorHAnsi" w:cstheme="minorHAnsi"/>
              </w:rPr>
              <w:t>]</w:t>
            </w:r>
          </w:p>
        </w:tc>
      </w:tr>
      <w:tr w:rsidR="009348AC" w:rsidRPr="00E56406" w14:paraId="5BEFFCDD" w14:textId="77777777" w:rsidTr="000803B3">
        <w:trPr>
          <w:trHeight w:val="312"/>
          <w:jc w:val="center"/>
        </w:trPr>
        <w:tc>
          <w:tcPr>
            <w:tcW w:w="2369" w:type="dxa"/>
            <w:shd w:val="clear" w:color="auto" w:fill="auto"/>
            <w:vAlign w:val="center"/>
            <w:hideMark/>
          </w:tcPr>
          <w:p w14:paraId="67FCB1E9" w14:textId="6D207957" w:rsidR="009348AC" w:rsidRPr="00E56406" w:rsidRDefault="0079706E" w:rsidP="0079706E">
            <w:pPr>
              <w:spacing w:after="0"/>
              <w:jc w:val="center"/>
              <w:rPr>
                <w:rFonts w:asciiTheme="minorHAnsi" w:hAnsiTheme="minorHAnsi" w:cstheme="minorHAnsi"/>
              </w:rPr>
            </w:pPr>
            <w:r>
              <w:rPr>
                <w:rFonts w:asciiTheme="minorHAnsi" w:hAnsiTheme="minorHAnsi" w:cstheme="minorHAnsi"/>
              </w:rPr>
              <w:t xml:space="preserve">od </w:t>
            </w:r>
            <w:r w:rsidR="009348AC" w:rsidRPr="00E56406">
              <w:rPr>
                <w:rFonts w:asciiTheme="minorHAnsi" w:hAnsiTheme="minorHAnsi" w:cstheme="minorHAnsi"/>
              </w:rPr>
              <w:t xml:space="preserve">30 000 </w:t>
            </w:r>
            <w:r>
              <w:rPr>
                <w:rFonts w:asciiTheme="minorHAnsi" w:hAnsiTheme="minorHAnsi" w:cstheme="minorHAnsi"/>
              </w:rPr>
              <w:t xml:space="preserve">do </w:t>
            </w:r>
            <w:r w:rsidR="009348AC" w:rsidRPr="00E56406">
              <w:rPr>
                <w:rFonts w:asciiTheme="minorHAnsi" w:hAnsiTheme="minorHAnsi" w:cstheme="minorHAnsi"/>
              </w:rPr>
              <w:t>39 999</w:t>
            </w:r>
          </w:p>
        </w:tc>
        <w:tc>
          <w:tcPr>
            <w:tcW w:w="1848" w:type="dxa"/>
            <w:shd w:val="clear" w:color="auto" w:fill="auto"/>
            <w:noWrap/>
            <w:vAlign w:val="center"/>
            <w:hideMark/>
          </w:tcPr>
          <w:p w14:paraId="64423898"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83 325</w:t>
            </w:r>
          </w:p>
        </w:tc>
        <w:tc>
          <w:tcPr>
            <w:tcW w:w="2197" w:type="dxa"/>
            <w:shd w:val="clear" w:color="auto" w:fill="auto"/>
            <w:noWrap/>
            <w:vAlign w:val="center"/>
            <w:hideMark/>
          </w:tcPr>
          <w:p w14:paraId="5B821036"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41 675</w:t>
            </w:r>
          </w:p>
        </w:tc>
        <w:tc>
          <w:tcPr>
            <w:tcW w:w="2512" w:type="dxa"/>
            <w:shd w:val="clear" w:color="auto" w:fill="auto"/>
            <w:noWrap/>
            <w:vAlign w:val="center"/>
          </w:tcPr>
          <w:p w14:paraId="27B4BE29"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12 500</w:t>
            </w:r>
          </w:p>
        </w:tc>
      </w:tr>
      <w:tr w:rsidR="009348AC" w:rsidRPr="00E56406" w14:paraId="7FE0F5E0" w14:textId="77777777" w:rsidTr="000803B3">
        <w:trPr>
          <w:trHeight w:val="312"/>
          <w:jc w:val="center"/>
        </w:trPr>
        <w:tc>
          <w:tcPr>
            <w:tcW w:w="2369" w:type="dxa"/>
            <w:shd w:val="clear" w:color="auto" w:fill="auto"/>
            <w:vAlign w:val="center"/>
            <w:hideMark/>
          </w:tcPr>
          <w:p w14:paraId="20C49F8D"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40 000 - 49 999</w:t>
            </w:r>
          </w:p>
        </w:tc>
        <w:tc>
          <w:tcPr>
            <w:tcW w:w="1848" w:type="dxa"/>
            <w:shd w:val="clear" w:color="auto" w:fill="auto"/>
            <w:noWrap/>
            <w:vAlign w:val="center"/>
            <w:hideMark/>
          </w:tcPr>
          <w:p w14:paraId="3229A1F7"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99 990</w:t>
            </w:r>
          </w:p>
        </w:tc>
        <w:tc>
          <w:tcPr>
            <w:tcW w:w="2197" w:type="dxa"/>
            <w:shd w:val="clear" w:color="auto" w:fill="auto"/>
            <w:noWrap/>
            <w:vAlign w:val="center"/>
            <w:hideMark/>
          </w:tcPr>
          <w:p w14:paraId="02374DFC"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50 010</w:t>
            </w:r>
          </w:p>
        </w:tc>
        <w:tc>
          <w:tcPr>
            <w:tcW w:w="2512" w:type="dxa"/>
            <w:shd w:val="clear" w:color="auto" w:fill="auto"/>
            <w:noWrap/>
            <w:vAlign w:val="center"/>
          </w:tcPr>
          <w:p w14:paraId="1EB77A71"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15 000</w:t>
            </w:r>
          </w:p>
        </w:tc>
      </w:tr>
      <w:tr w:rsidR="009348AC" w:rsidRPr="00E56406" w14:paraId="6A992ED3" w14:textId="77777777" w:rsidTr="000803B3">
        <w:trPr>
          <w:trHeight w:val="312"/>
          <w:jc w:val="center"/>
        </w:trPr>
        <w:tc>
          <w:tcPr>
            <w:tcW w:w="2369" w:type="dxa"/>
            <w:shd w:val="clear" w:color="auto" w:fill="auto"/>
            <w:vAlign w:val="center"/>
            <w:hideMark/>
          </w:tcPr>
          <w:p w14:paraId="74458563"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50 000 - 59 999</w:t>
            </w:r>
          </w:p>
        </w:tc>
        <w:tc>
          <w:tcPr>
            <w:tcW w:w="1848" w:type="dxa"/>
            <w:shd w:val="clear" w:color="auto" w:fill="auto"/>
            <w:noWrap/>
            <w:vAlign w:val="center"/>
            <w:hideMark/>
          </w:tcPr>
          <w:p w14:paraId="2A1B2047"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116 655</w:t>
            </w:r>
          </w:p>
        </w:tc>
        <w:tc>
          <w:tcPr>
            <w:tcW w:w="2197" w:type="dxa"/>
            <w:shd w:val="clear" w:color="auto" w:fill="auto"/>
            <w:noWrap/>
            <w:vAlign w:val="center"/>
            <w:hideMark/>
          </w:tcPr>
          <w:p w14:paraId="6DB1FA43"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58 345</w:t>
            </w:r>
          </w:p>
        </w:tc>
        <w:tc>
          <w:tcPr>
            <w:tcW w:w="2512" w:type="dxa"/>
            <w:shd w:val="clear" w:color="auto" w:fill="auto"/>
            <w:noWrap/>
            <w:vAlign w:val="center"/>
          </w:tcPr>
          <w:p w14:paraId="5FDADE90"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17 500</w:t>
            </w:r>
          </w:p>
        </w:tc>
      </w:tr>
      <w:tr w:rsidR="009348AC" w:rsidRPr="00E56406" w14:paraId="3F974BCE" w14:textId="77777777" w:rsidTr="000803B3">
        <w:trPr>
          <w:trHeight w:val="312"/>
          <w:jc w:val="center"/>
        </w:trPr>
        <w:tc>
          <w:tcPr>
            <w:tcW w:w="2369" w:type="dxa"/>
            <w:shd w:val="clear" w:color="auto" w:fill="auto"/>
            <w:vAlign w:val="center"/>
            <w:hideMark/>
          </w:tcPr>
          <w:p w14:paraId="11A63FCE"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60 000 - 69 999</w:t>
            </w:r>
          </w:p>
        </w:tc>
        <w:tc>
          <w:tcPr>
            <w:tcW w:w="1848" w:type="dxa"/>
            <w:shd w:val="clear" w:color="auto" w:fill="auto"/>
            <w:noWrap/>
            <w:vAlign w:val="center"/>
            <w:hideMark/>
          </w:tcPr>
          <w:p w14:paraId="31EA6B92"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133 320</w:t>
            </w:r>
          </w:p>
        </w:tc>
        <w:tc>
          <w:tcPr>
            <w:tcW w:w="2197" w:type="dxa"/>
            <w:shd w:val="clear" w:color="auto" w:fill="auto"/>
            <w:noWrap/>
            <w:vAlign w:val="center"/>
            <w:hideMark/>
          </w:tcPr>
          <w:p w14:paraId="092DA08D"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66 680</w:t>
            </w:r>
          </w:p>
        </w:tc>
        <w:tc>
          <w:tcPr>
            <w:tcW w:w="2512" w:type="dxa"/>
            <w:shd w:val="clear" w:color="auto" w:fill="auto"/>
            <w:noWrap/>
            <w:vAlign w:val="center"/>
          </w:tcPr>
          <w:p w14:paraId="3674F2E7"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20 000</w:t>
            </w:r>
          </w:p>
        </w:tc>
      </w:tr>
      <w:tr w:rsidR="009348AC" w:rsidRPr="00E56406" w14:paraId="3F1D5A05" w14:textId="77777777" w:rsidTr="000803B3">
        <w:trPr>
          <w:trHeight w:val="312"/>
          <w:jc w:val="center"/>
        </w:trPr>
        <w:tc>
          <w:tcPr>
            <w:tcW w:w="2369" w:type="dxa"/>
            <w:shd w:val="clear" w:color="auto" w:fill="auto"/>
            <w:vAlign w:val="center"/>
            <w:hideMark/>
          </w:tcPr>
          <w:p w14:paraId="2A43E70B"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70 000 - 79 999</w:t>
            </w:r>
          </w:p>
        </w:tc>
        <w:tc>
          <w:tcPr>
            <w:tcW w:w="1848" w:type="dxa"/>
            <w:shd w:val="clear" w:color="auto" w:fill="auto"/>
            <w:noWrap/>
            <w:vAlign w:val="center"/>
            <w:hideMark/>
          </w:tcPr>
          <w:p w14:paraId="0A03563C"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149 985</w:t>
            </w:r>
          </w:p>
        </w:tc>
        <w:tc>
          <w:tcPr>
            <w:tcW w:w="2197" w:type="dxa"/>
            <w:shd w:val="clear" w:color="auto" w:fill="auto"/>
            <w:noWrap/>
            <w:vAlign w:val="center"/>
            <w:hideMark/>
          </w:tcPr>
          <w:p w14:paraId="3D0FE8FB"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75 015</w:t>
            </w:r>
          </w:p>
        </w:tc>
        <w:tc>
          <w:tcPr>
            <w:tcW w:w="2512" w:type="dxa"/>
            <w:shd w:val="clear" w:color="auto" w:fill="auto"/>
            <w:noWrap/>
            <w:vAlign w:val="center"/>
          </w:tcPr>
          <w:p w14:paraId="2669ACF7" w14:textId="77777777" w:rsidR="009348AC" w:rsidRPr="00E56406" w:rsidRDefault="009348AC" w:rsidP="008357C2">
            <w:pPr>
              <w:spacing w:after="0"/>
              <w:jc w:val="center"/>
              <w:rPr>
                <w:rFonts w:asciiTheme="minorHAnsi" w:hAnsiTheme="minorHAnsi" w:cstheme="minorHAnsi"/>
              </w:rPr>
            </w:pPr>
            <w:r w:rsidRPr="00E56406">
              <w:rPr>
                <w:rFonts w:asciiTheme="minorHAnsi" w:hAnsiTheme="minorHAnsi" w:cstheme="minorHAnsi"/>
              </w:rPr>
              <w:t>22 500</w:t>
            </w:r>
          </w:p>
        </w:tc>
      </w:tr>
    </w:tbl>
    <w:p w14:paraId="641346EF" w14:textId="77777777" w:rsidR="009348AC" w:rsidRPr="00E56406" w:rsidRDefault="009348AC" w:rsidP="002E5BCA">
      <w:pPr>
        <w:pStyle w:val="AkapitStandardowyRyczat"/>
        <w:spacing w:before="0" w:after="0" w:line="276" w:lineRule="auto"/>
        <w:ind w:left="284"/>
        <w:rPr>
          <w:rFonts w:asciiTheme="minorHAnsi" w:hAnsiTheme="minorHAnsi" w:cstheme="minorHAnsi"/>
          <w:sz w:val="24"/>
          <w:szCs w:val="24"/>
        </w:rPr>
      </w:pPr>
      <w:r w:rsidRPr="00E56406">
        <w:rPr>
          <w:rFonts w:asciiTheme="minorHAnsi" w:hAnsiTheme="minorHAnsi" w:cstheme="minorHAnsi"/>
          <w:sz w:val="24"/>
          <w:szCs w:val="24"/>
        </w:rPr>
        <w:t>Przy wyliczaniu liczby ludności wiejskiej zamieszkującej obszar objęty LSR bierze się pod uwagę obszary wszystkich gmin wchodzących w skład LGD.</w:t>
      </w:r>
    </w:p>
    <w:p w14:paraId="529525DA" w14:textId="6B17BB52" w:rsidR="009348AC" w:rsidRDefault="009348AC" w:rsidP="009348AC">
      <w:pPr>
        <w:pStyle w:val="AkapitStandardowyRyczat"/>
        <w:numPr>
          <w:ilvl w:val="0"/>
          <w:numId w:val="52"/>
        </w:numPr>
        <w:spacing w:before="120" w:line="276" w:lineRule="auto"/>
        <w:ind w:left="284" w:hanging="284"/>
        <w:rPr>
          <w:rFonts w:asciiTheme="minorHAnsi" w:hAnsiTheme="minorHAnsi" w:cstheme="minorHAnsi"/>
          <w:sz w:val="24"/>
          <w:szCs w:val="24"/>
        </w:rPr>
      </w:pPr>
      <w:r w:rsidRPr="00E56406">
        <w:rPr>
          <w:rFonts w:asciiTheme="minorHAnsi" w:hAnsiTheme="minorHAnsi" w:cstheme="minorHAnsi"/>
          <w:sz w:val="24"/>
          <w:szCs w:val="24"/>
        </w:rPr>
        <w:t xml:space="preserve">W przypadku LGD, </w:t>
      </w:r>
      <w:r w:rsidRPr="0079706E">
        <w:rPr>
          <w:rFonts w:asciiTheme="minorHAnsi" w:hAnsiTheme="minorHAnsi" w:cstheme="minorHAnsi"/>
          <w:sz w:val="24"/>
          <w:szCs w:val="24"/>
        </w:rPr>
        <w:t xml:space="preserve">których ludność wiejska wynosi co najmniej 80 000 jako suma kwot określonych </w:t>
      </w:r>
      <w:r w:rsidR="0079706E" w:rsidRPr="0079706E">
        <w:rPr>
          <w:rFonts w:asciiTheme="minorHAnsi" w:hAnsiTheme="minorHAnsi" w:cstheme="minorHAnsi"/>
          <w:sz w:val="24"/>
          <w:szCs w:val="24"/>
        </w:rPr>
        <w:t>dla obszaru gmin objętych LSR, zgodnie z</w:t>
      </w:r>
      <w:r w:rsidRPr="0079706E">
        <w:rPr>
          <w:rFonts w:asciiTheme="minorHAnsi" w:hAnsiTheme="minorHAnsi" w:cstheme="minorHAnsi"/>
          <w:sz w:val="24"/>
          <w:szCs w:val="24"/>
        </w:rPr>
        <w:t xml:space="preserve"> poniższ</w:t>
      </w:r>
      <w:r w:rsidR="0079706E" w:rsidRPr="0079706E">
        <w:rPr>
          <w:rFonts w:asciiTheme="minorHAnsi" w:hAnsiTheme="minorHAnsi" w:cstheme="minorHAnsi"/>
          <w:sz w:val="24"/>
          <w:szCs w:val="24"/>
        </w:rPr>
        <w:t>ą tabelą</w:t>
      </w:r>
      <w:r w:rsidRPr="0079706E">
        <w:rPr>
          <w:rFonts w:asciiTheme="minorHAnsi" w:hAnsiTheme="minorHAnsi" w:cstheme="minorHAnsi"/>
          <w:sz w:val="24"/>
          <w:szCs w:val="24"/>
        </w:rPr>
        <w:t>:</w:t>
      </w:r>
    </w:p>
    <w:p w14:paraId="2C544CD3" w14:textId="50F6FA16" w:rsidR="009348AC" w:rsidRPr="00E56406" w:rsidRDefault="009348AC" w:rsidP="009348AC">
      <w:pPr>
        <w:pStyle w:val="AkapitStandardowyRyczat"/>
        <w:spacing w:before="0" w:after="0" w:line="276" w:lineRule="auto"/>
        <w:rPr>
          <w:rFonts w:asciiTheme="minorHAnsi" w:hAnsiTheme="minorHAnsi" w:cstheme="minorHAnsi"/>
          <w:sz w:val="24"/>
          <w:szCs w:val="24"/>
        </w:rPr>
      </w:pPr>
    </w:p>
    <w:tbl>
      <w:tblPr>
        <w:tblW w:w="8647" w:type="dxa"/>
        <w:tblInd w:w="137" w:type="dxa"/>
        <w:tblCellMar>
          <w:left w:w="70" w:type="dxa"/>
          <w:right w:w="70" w:type="dxa"/>
        </w:tblCellMar>
        <w:tblLook w:val="04A0" w:firstRow="1" w:lastRow="0" w:firstColumn="1" w:lastColumn="0" w:noHBand="0" w:noVBand="1"/>
      </w:tblPr>
      <w:tblGrid>
        <w:gridCol w:w="2693"/>
        <w:gridCol w:w="1701"/>
        <w:gridCol w:w="1418"/>
        <w:gridCol w:w="1417"/>
        <w:gridCol w:w="1418"/>
      </w:tblGrid>
      <w:tr w:rsidR="009348AC" w:rsidRPr="00E56406" w14:paraId="0D7559A4" w14:textId="77777777" w:rsidTr="008D1812">
        <w:trPr>
          <w:trHeight w:val="9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3F612" w14:textId="77777777" w:rsidR="009348AC" w:rsidRPr="00E56406" w:rsidRDefault="009348AC" w:rsidP="008357C2">
            <w:pPr>
              <w:spacing w:after="0" w:line="240" w:lineRule="auto"/>
              <w:jc w:val="center"/>
              <w:rPr>
                <w:rFonts w:asciiTheme="minorHAnsi" w:hAnsiTheme="minorHAnsi" w:cstheme="minorHAnsi"/>
              </w:rPr>
            </w:pPr>
            <w:r w:rsidRPr="00E56406">
              <w:rPr>
                <w:rFonts w:asciiTheme="minorHAnsi" w:hAnsiTheme="minorHAnsi" w:cstheme="minorHAnsi"/>
              </w:rPr>
              <w:t>Gmina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D3EBF3" w14:textId="77777777" w:rsidR="009348AC" w:rsidRPr="00E56406" w:rsidRDefault="009348AC" w:rsidP="008357C2">
            <w:pPr>
              <w:spacing w:after="0" w:line="240" w:lineRule="auto"/>
              <w:jc w:val="center"/>
              <w:rPr>
                <w:rFonts w:asciiTheme="minorHAnsi" w:hAnsiTheme="minorHAnsi" w:cstheme="minorHAnsi"/>
              </w:rPr>
            </w:pPr>
            <w:r w:rsidRPr="00E56406">
              <w:rPr>
                <w:rFonts w:asciiTheme="minorHAnsi" w:hAnsiTheme="minorHAnsi" w:cstheme="minorHAnsi"/>
              </w:rPr>
              <w:t>Powiat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6B4167" w14:textId="77777777" w:rsidR="000803B3" w:rsidRPr="00E56406" w:rsidRDefault="000803B3" w:rsidP="008357C2">
            <w:pPr>
              <w:spacing w:after="0" w:line="240" w:lineRule="auto"/>
              <w:jc w:val="center"/>
              <w:rPr>
                <w:rFonts w:asciiTheme="minorHAnsi" w:hAnsiTheme="minorHAnsi" w:cstheme="minorHAnsi"/>
              </w:rPr>
            </w:pPr>
            <w:r w:rsidRPr="00E56406">
              <w:rPr>
                <w:rFonts w:asciiTheme="minorHAnsi" w:hAnsiTheme="minorHAnsi" w:cstheme="minorHAnsi"/>
              </w:rPr>
              <w:t xml:space="preserve">Wdrażanie LSR EFRR </w:t>
            </w:r>
          </w:p>
          <w:p w14:paraId="560FBA31" w14:textId="21C37EC7" w:rsidR="009348AC" w:rsidRPr="00E56406" w:rsidRDefault="000803B3" w:rsidP="008357C2">
            <w:pPr>
              <w:spacing w:after="0" w:line="240" w:lineRule="auto"/>
              <w:jc w:val="center"/>
              <w:rPr>
                <w:rFonts w:asciiTheme="minorHAnsi" w:hAnsiTheme="minorHAnsi" w:cstheme="minorHAnsi"/>
              </w:rPr>
            </w:pPr>
            <w:r w:rsidRPr="00E56406">
              <w:rPr>
                <w:rFonts w:asciiTheme="minorHAnsi" w:hAnsiTheme="minorHAnsi" w:cstheme="minorHAnsi"/>
              </w:rPr>
              <w:t>[</w:t>
            </w:r>
            <w:r w:rsidR="009348AC" w:rsidRPr="00E56406">
              <w:rPr>
                <w:rFonts w:asciiTheme="minorHAnsi" w:hAnsiTheme="minorHAnsi" w:cstheme="minorHAnsi"/>
              </w:rPr>
              <w:t>EUR</w:t>
            </w:r>
            <w:r w:rsidRPr="00E56406">
              <w:rPr>
                <w:rFonts w:asciiTheme="minorHAnsi" w:hAnsiTheme="minorHAnsi" w:cstheme="minorHAnsi"/>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66DFBD" w14:textId="18E18170" w:rsidR="009348AC" w:rsidRPr="00E56406" w:rsidRDefault="000803B3" w:rsidP="008357C2">
            <w:pPr>
              <w:spacing w:after="0" w:line="240" w:lineRule="auto"/>
              <w:jc w:val="center"/>
              <w:rPr>
                <w:rFonts w:asciiTheme="minorHAnsi" w:hAnsiTheme="minorHAnsi" w:cstheme="minorHAnsi"/>
              </w:rPr>
            </w:pPr>
            <w:r w:rsidRPr="00E56406">
              <w:rPr>
                <w:rFonts w:asciiTheme="minorHAnsi" w:hAnsiTheme="minorHAnsi" w:cstheme="minorHAnsi"/>
              </w:rPr>
              <w:t>Wdrażanie LSR EFS+ [</w:t>
            </w:r>
            <w:r w:rsidR="009348AC" w:rsidRPr="00E56406">
              <w:rPr>
                <w:rFonts w:asciiTheme="minorHAnsi" w:hAnsiTheme="minorHAnsi" w:cstheme="minorHAnsi"/>
              </w:rPr>
              <w:t>EUR</w:t>
            </w:r>
            <w:r w:rsidRPr="00E56406">
              <w:rPr>
                <w:rFonts w:asciiTheme="minorHAnsi" w:hAnsiTheme="minorHAnsi" w:cstheme="minorHAnsi"/>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25DD12" w14:textId="39191A42" w:rsidR="009348AC" w:rsidRPr="00E56406" w:rsidRDefault="009348AC" w:rsidP="000803B3">
            <w:pPr>
              <w:spacing w:after="0" w:line="240" w:lineRule="auto"/>
              <w:jc w:val="center"/>
              <w:rPr>
                <w:rFonts w:asciiTheme="minorHAnsi" w:hAnsiTheme="minorHAnsi" w:cstheme="minorHAnsi"/>
              </w:rPr>
            </w:pPr>
            <w:r w:rsidRPr="00E56406">
              <w:rPr>
                <w:rFonts w:asciiTheme="minorHAnsi" w:hAnsiTheme="minorHAnsi" w:cstheme="minorHAnsi"/>
              </w:rPr>
              <w:t xml:space="preserve">Zarządzanie </w:t>
            </w:r>
            <w:r w:rsidR="0079706E">
              <w:rPr>
                <w:rFonts w:asciiTheme="minorHAnsi" w:hAnsiTheme="minorHAnsi" w:cstheme="minorHAnsi"/>
              </w:rPr>
              <w:t>LSR</w:t>
            </w:r>
            <w:r w:rsidR="0079706E" w:rsidRPr="00E56406">
              <w:rPr>
                <w:rFonts w:asciiTheme="minorHAnsi" w:hAnsiTheme="minorHAnsi" w:cstheme="minorHAnsi"/>
              </w:rPr>
              <w:t xml:space="preserve"> </w:t>
            </w:r>
            <w:r w:rsidRPr="00E56406">
              <w:rPr>
                <w:rFonts w:asciiTheme="minorHAnsi" w:hAnsiTheme="minorHAnsi" w:cstheme="minorHAnsi"/>
              </w:rPr>
              <w:t>EFS+</w:t>
            </w:r>
          </w:p>
          <w:p w14:paraId="69A22BC0" w14:textId="3F6C1951" w:rsidR="000803B3" w:rsidRPr="00E56406" w:rsidRDefault="000803B3" w:rsidP="000803B3">
            <w:pPr>
              <w:spacing w:after="0" w:line="240" w:lineRule="auto"/>
              <w:jc w:val="center"/>
              <w:rPr>
                <w:rFonts w:asciiTheme="minorHAnsi" w:hAnsiTheme="minorHAnsi" w:cstheme="minorHAnsi"/>
              </w:rPr>
            </w:pPr>
            <w:r w:rsidRPr="00E56406">
              <w:rPr>
                <w:rFonts w:asciiTheme="minorHAnsi" w:hAnsiTheme="minorHAnsi" w:cstheme="minorHAnsi"/>
              </w:rPr>
              <w:t>[EUR]</w:t>
            </w:r>
          </w:p>
        </w:tc>
      </w:tr>
      <w:tr w:rsidR="009348AC" w:rsidRPr="00E56406" w14:paraId="27D6CCC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9FCA9D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Bochnia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1D0C7EF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036F85C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308 522</w:t>
            </w:r>
          </w:p>
        </w:tc>
        <w:tc>
          <w:tcPr>
            <w:tcW w:w="1417" w:type="dxa"/>
            <w:tcBorders>
              <w:top w:val="nil"/>
              <w:left w:val="nil"/>
              <w:bottom w:val="single" w:sz="4" w:space="0" w:color="auto"/>
              <w:right w:val="single" w:sz="4" w:space="0" w:color="auto"/>
            </w:tcBorders>
            <w:shd w:val="clear" w:color="auto" w:fill="auto"/>
            <w:vAlign w:val="center"/>
            <w:hideMark/>
          </w:tcPr>
          <w:p w14:paraId="686ADD2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108 024</w:t>
            </w:r>
          </w:p>
        </w:tc>
        <w:tc>
          <w:tcPr>
            <w:tcW w:w="1418" w:type="dxa"/>
            <w:tcBorders>
              <w:top w:val="nil"/>
              <w:left w:val="nil"/>
              <w:bottom w:val="single" w:sz="4" w:space="0" w:color="auto"/>
              <w:right w:val="single" w:sz="4" w:space="0" w:color="auto"/>
            </w:tcBorders>
            <w:shd w:val="clear" w:color="auto" w:fill="auto"/>
            <w:vAlign w:val="center"/>
            <w:hideMark/>
          </w:tcPr>
          <w:p w14:paraId="66B4240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46 282</w:t>
            </w:r>
          </w:p>
        </w:tc>
      </w:tr>
      <w:tr w:rsidR="009348AC" w:rsidRPr="00E56406" w14:paraId="1BCDFDC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679C20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Drwinia</w:t>
            </w:r>
          </w:p>
        </w:tc>
        <w:tc>
          <w:tcPr>
            <w:tcW w:w="1701" w:type="dxa"/>
            <w:tcBorders>
              <w:top w:val="nil"/>
              <w:left w:val="nil"/>
              <w:bottom w:val="single" w:sz="4" w:space="0" w:color="auto"/>
              <w:right w:val="single" w:sz="4" w:space="0" w:color="auto"/>
            </w:tcBorders>
            <w:shd w:val="clear" w:color="auto" w:fill="auto"/>
            <w:noWrap/>
            <w:vAlign w:val="center"/>
            <w:hideMark/>
          </w:tcPr>
          <w:p w14:paraId="3815966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2F37E40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0E33CEF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74988FB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57B2867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88C974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Lipnica Murowana</w:t>
            </w:r>
          </w:p>
        </w:tc>
        <w:tc>
          <w:tcPr>
            <w:tcW w:w="1701" w:type="dxa"/>
            <w:tcBorders>
              <w:top w:val="nil"/>
              <w:left w:val="nil"/>
              <w:bottom w:val="single" w:sz="4" w:space="0" w:color="auto"/>
              <w:right w:val="single" w:sz="4" w:space="0" w:color="auto"/>
            </w:tcBorders>
            <w:shd w:val="clear" w:color="auto" w:fill="auto"/>
            <w:noWrap/>
            <w:vAlign w:val="center"/>
            <w:hideMark/>
          </w:tcPr>
          <w:p w14:paraId="5494412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5695590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A84464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F89774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75707E6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6DD2D6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Łapanów</w:t>
            </w:r>
          </w:p>
        </w:tc>
        <w:tc>
          <w:tcPr>
            <w:tcW w:w="1701" w:type="dxa"/>
            <w:tcBorders>
              <w:top w:val="nil"/>
              <w:left w:val="nil"/>
              <w:bottom w:val="single" w:sz="4" w:space="0" w:color="auto"/>
              <w:right w:val="single" w:sz="4" w:space="0" w:color="auto"/>
            </w:tcBorders>
            <w:shd w:val="clear" w:color="auto" w:fill="auto"/>
            <w:noWrap/>
            <w:vAlign w:val="center"/>
            <w:hideMark/>
          </w:tcPr>
          <w:p w14:paraId="1E241F7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6AD7D7B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757A9BB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7BB54DA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1CE4546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7ADBF3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Nowy Wiśnicz</w:t>
            </w:r>
          </w:p>
        </w:tc>
        <w:tc>
          <w:tcPr>
            <w:tcW w:w="1701" w:type="dxa"/>
            <w:tcBorders>
              <w:top w:val="nil"/>
              <w:left w:val="nil"/>
              <w:bottom w:val="single" w:sz="4" w:space="0" w:color="auto"/>
              <w:right w:val="single" w:sz="4" w:space="0" w:color="auto"/>
            </w:tcBorders>
            <w:shd w:val="clear" w:color="auto" w:fill="auto"/>
            <w:noWrap/>
            <w:vAlign w:val="center"/>
            <w:hideMark/>
          </w:tcPr>
          <w:p w14:paraId="5F8E32D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6D415E6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7FCFC91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61628DB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30EA1EB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E874EA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Rzezawa</w:t>
            </w:r>
          </w:p>
        </w:tc>
        <w:tc>
          <w:tcPr>
            <w:tcW w:w="1701" w:type="dxa"/>
            <w:tcBorders>
              <w:top w:val="nil"/>
              <w:left w:val="nil"/>
              <w:bottom w:val="single" w:sz="4" w:space="0" w:color="auto"/>
              <w:right w:val="single" w:sz="4" w:space="0" w:color="auto"/>
            </w:tcBorders>
            <w:shd w:val="clear" w:color="auto" w:fill="auto"/>
            <w:noWrap/>
            <w:vAlign w:val="center"/>
            <w:hideMark/>
          </w:tcPr>
          <w:p w14:paraId="27E16F4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0E77C8F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2464BBF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78ABFB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7FDB230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0A9D5C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Trzciana</w:t>
            </w:r>
          </w:p>
        </w:tc>
        <w:tc>
          <w:tcPr>
            <w:tcW w:w="1701" w:type="dxa"/>
            <w:tcBorders>
              <w:top w:val="nil"/>
              <w:left w:val="nil"/>
              <w:bottom w:val="single" w:sz="4" w:space="0" w:color="auto"/>
              <w:right w:val="single" w:sz="4" w:space="0" w:color="auto"/>
            </w:tcBorders>
            <w:shd w:val="clear" w:color="auto" w:fill="auto"/>
            <w:noWrap/>
            <w:vAlign w:val="center"/>
            <w:hideMark/>
          </w:tcPr>
          <w:p w14:paraId="2E7C32E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6DBA87E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27FDD3D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4FB5787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5AF9661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4DBAD6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Żegocina</w:t>
            </w:r>
          </w:p>
        </w:tc>
        <w:tc>
          <w:tcPr>
            <w:tcW w:w="1701" w:type="dxa"/>
            <w:tcBorders>
              <w:top w:val="nil"/>
              <w:left w:val="nil"/>
              <w:bottom w:val="single" w:sz="4" w:space="0" w:color="auto"/>
              <w:right w:val="single" w:sz="4" w:space="0" w:color="auto"/>
            </w:tcBorders>
            <w:shd w:val="clear" w:color="auto" w:fill="auto"/>
            <w:noWrap/>
            <w:vAlign w:val="center"/>
            <w:hideMark/>
          </w:tcPr>
          <w:p w14:paraId="4A98AEA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bocheński</w:t>
            </w:r>
          </w:p>
        </w:tc>
        <w:tc>
          <w:tcPr>
            <w:tcW w:w="1418" w:type="dxa"/>
            <w:tcBorders>
              <w:top w:val="nil"/>
              <w:left w:val="nil"/>
              <w:bottom w:val="single" w:sz="4" w:space="0" w:color="auto"/>
              <w:right w:val="single" w:sz="4" w:space="0" w:color="auto"/>
            </w:tcBorders>
            <w:shd w:val="clear" w:color="auto" w:fill="auto"/>
            <w:noWrap/>
            <w:vAlign w:val="center"/>
            <w:hideMark/>
          </w:tcPr>
          <w:p w14:paraId="5E71DD4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514353C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1EF292E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352C5F5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CCDEAC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Borzęcin</w:t>
            </w:r>
          </w:p>
        </w:tc>
        <w:tc>
          <w:tcPr>
            <w:tcW w:w="1701" w:type="dxa"/>
            <w:tcBorders>
              <w:top w:val="nil"/>
              <w:left w:val="nil"/>
              <w:bottom w:val="single" w:sz="4" w:space="0" w:color="auto"/>
              <w:right w:val="single" w:sz="4" w:space="0" w:color="auto"/>
            </w:tcBorders>
            <w:shd w:val="clear" w:color="auto" w:fill="auto"/>
            <w:noWrap/>
            <w:vAlign w:val="center"/>
            <w:hideMark/>
          </w:tcPr>
          <w:p w14:paraId="72B4A22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16BD34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739C313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A18D19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175A43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252B19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Brzesko</w:t>
            </w:r>
          </w:p>
        </w:tc>
        <w:tc>
          <w:tcPr>
            <w:tcW w:w="1701" w:type="dxa"/>
            <w:tcBorders>
              <w:top w:val="nil"/>
              <w:left w:val="nil"/>
              <w:bottom w:val="single" w:sz="4" w:space="0" w:color="auto"/>
              <w:right w:val="single" w:sz="4" w:space="0" w:color="auto"/>
            </w:tcBorders>
            <w:shd w:val="clear" w:color="auto" w:fill="auto"/>
            <w:noWrap/>
            <w:vAlign w:val="center"/>
            <w:hideMark/>
          </w:tcPr>
          <w:p w14:paraId="3974135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351806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514 204</w:t>
            </w:r>
          </w:p>
        </w:tc>
        <w:tc>
          <w:tcPr>
            <w:tcW w:w="1417" w:type="dxa"/>
            <w:tcBorders>
              <w:top w:val="nil"/>
              <w:left w:val="nil"/>
              <w:bottom w:val="single" w:sz="4" w:space="0" w:color="auto"/>
              <w:right w:val="single" w:sz="4" w:space="0" w:color="auto"/>
            </w:tcBorders>
            <w:shd w:val="clear" w:color="auto" w:fill="auto"/>
            <w:vAlign w:val="center"/>
            <w:hideMark/>
          </w:tcPr>
          <w:p w14:paraId="75C69E3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180 040</w:t>
            </w:r>
          </w:p>
        </w:tc>
        <w:tc>
          <w:tcPr>
            <w:tcW w:w="1418" w:type="dxa"/>
            <w:tcBorders>
              <w:top w:val="nil"/>
              <w:left w:val="nil"/>
              <w:bottom w:val="single" w:sz="4" w:space="0" w:color="auto"/>
              <w:right w:val="single" w:sz="4" w:space="0" w:color="auto"/>
            </w:tcBorders>
            <w:shd w:val="clear" w:color="auto" w:fill="auto"/>
            <w:vAlign w:val="center"/>
            <w:hideMark/>
          </w:tcPr>
          <w:p w14:paraId="5FB0172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77 138</w:t>
            </w:r>
          </w:p>
        </w:tc>
      </w:tr>
      <w:tr w:rsidR="009348AC" w:rsidRPr="00E56406" w14:paraId="6FD4F13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929926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Czchów</w:t>
            </w:r>
          </w:p>
        </w:tc>
        <w:tc>
          <w:tcPr>
            <w:tcW w:w="1701" w:type="dxa"/>
            <w:tcBorders>
              <w:top w:val="nil"/>
              <w:left w:val="nil"/>
              <w:bottom w:val="single" w:sz="4" w:space="0" w:color="auto"/>
              <w:right w:val="single" w:sz="4" w:space="0" w:color="auto"/>
            </w:tcBorders>
            <w:shd w:val="clear" w:color="auto" w:fill="auto"/>
            <w:noWrap/>
            <w:vAlign w:val="center"/>
            <w:hideMark/>
          </w:tcPr>
          <w:p w14:paraId="6AE2F4C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1FD6515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7BFAAE2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5AF7CF3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23DBECC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73646A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Dębno</w:t>
            </w:r>
          </w:p>
        </w:tc>
        <w:tc>
          <w:tcPr>
            <w:tcW w:w="1701" w:type="dxa"/>
            <w:tcBorders>
              <w:top w:val="nil"/>
              <w:left w:val="nil"/>
              <w:bottom w:val="single" w:sz="4" w:space="0" w:color="auto"/>
              <w:right w:val="single" w:sz="4" w:space="0" w:color="auto"/>
            </w:tcBorders>
            <w:shd w:val="clear" w:color="auto" w:fill="auto"/>
            <w:noWrap/>
            <w:vAlign w:val="center"/>
            <w:hideMark/>
          </w:tcPr>
          <w:p w14:paraId="5840A0A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4260CEE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6EF889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E587D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1F319FD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716C47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Gnojnik</w:t>
            </w:r>
          </w:p>
        </w:tc>
        <w:tc>
          <w:tcPr>
            <w:tcW w:w="1701" w:type="dxa"/>
            <w:tcBorders>
              <w:top w:val="nil"/>
              <w:left w:val="nil"/>
              <w:bottom w:val="single" w:sz="4" w:space="0" w:color="auto"/>
              <w:right w:val="single" w:sz="4" w:space="0" w:color="auto"/>
            </w:tcBorders>
            <w:shd w:val="clear" w:color="auto" w:fill="auto"/>
            <w:noWrap/>
            <w:vAlign w:val="center"/>
            <w:hideMark/>
          </w:tcPr>
          <w:p w14:paraId="4F7CCC7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01BD085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4BF6996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4E68A29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575BF8C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DCCFA8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Iwkowa</w:t>
            </w:r>
          </w:p>
        </w:tc>
        <w:tc>
          <w:tcPr>
            <w:tcW w:w="1701" w:type="dxa"/>
            <w:tcBorders>
              <w:top w:val="nil"/>
              <w:left w:val="nil"/>
              <w:bottom w:val="single" w:sz="4" w:space="0" w:color="auto"/>
              <w:right w:val="single" w:sz="4" w:space="0" w:color="auto"/>
            </w:tcBorders>
            <w:shd w:val="clear" w:color="auto" w:fill="auto"/>
            <w:noWrap/>
            <w:vAlign w:val="center"/>
            <w:hideMark/>
          </w:tcPr>
          <w:p w14:paraId="4BB3F29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516DA99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7710354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3D82DA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85C10B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E6371A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Szczurowa</w:t>
            </w:r>
          </w:p>
        </w:tc>
        <w:tc>
          <w:tcPr>
            <w:tcW w:w="1701" w:type="dxa"/>
            <w:tcBorders>
              <w:top w:val="nil"/>
              <w:left w:val="nil"/>
              <w:bottom w:val="single" w:sz="4" w:space="0" w:color="auto"/>
              <w:right w:val="single" w:sz="4" w:space="0" w:color="auto"/>
            </w:tcBorders>
            <w:shd w:val="clear" w:color="auto" w:fill="auto"/>
            <w:noWrap/>
            <w:vAlign w:val="center"/>
            <w:hideMark/>
          </w:tcPr>
          <w:p w14:paraId="480B4C6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brzeski</w:t>
            </w:r>
          </w:p>
        </w:tc>
        <w:tc>
          <w:tcPr>
            <w:tcW w:w="1418" w:type="dxa"/>
            <w:tcBorders>
              <w:top w:val="nil"/>
              <w:left w:val="nil"/>
              <w:bottom w:val="single" w:sz="4" w:space="0" w:color="auto"/>
              <w:right w:val="single" w:sz="4" w:space="0" w:color="auto"/>
            </w:tcBorders>
            <w:shd w:val="clear" w:color="auto" w:fill="auto"/>
            <w:noWrap/>
            <w:vAlign w:val="center"/>
            <w:hideMark/>
          </w:tcPr>
          <w:p w14:paraId="747F3C0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02E90E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579451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80ECE5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EF93CE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Alwernia</w:t>
            </w:r>
          </w:p>
        </w:tc>
        <w:tc>
          <w:tcPr>
            <w:tcW w:w="1701" w:type="dxa"/>
            <w:tcBorders>
              <w:top w:val="nil"/>
              <w:left w:val="nil"/>
              <w:bottom w:val="single" w:sz="4" w:space="0" w:color="auto"/>
              <w:right w:val="single" w:sz="4" w:space="0" w:color="auto"/>
            </w:tcBorders>
            <w:shd w:val="clear" w:color="auto" w:fill="auto"/>
            <w:noWrap/>
            <w:vAlign w:val="center"/>
            <w:hideMark/>
          </w:tcPr>
          <w:p w14:paraId="7AA150C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w:t>
            </w:r>
          </w:p>
        </w:tc>
        <w:tc>
          <w:tcPr>
            <w:tcW w:w="1418" w:type="dxa"/>
            <w:tcBorders>
              <w:top w:val="nil"/>
              <w:left w:val="nil"/>
              <w:bottom w:val="single" w:sz="4" w:space="0" w:color="auto"/>
              <w:right w:val="single" w:sz="4" w:space="0" w:color="auto"/>
            </w:tcBorders>
            <w:shd w:val="clear" w:color="auto" w:fill="auto"/>
            <w:noWrap/>
            <w:vAlign w:val="center"/>
            <w:hideMark/>
          </w:tcPr>
          <w:p w14:paraId="19A43E8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4D008ED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974FCB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19969A4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B0DE63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Babice</w:t>
            </w:r>
          </w:p>
        </w:tc>
        <w:tc>
          <w:tcPr>
            <w:tcW w:w="1701" w:type="dxa"/>
            <w:tcBorders>
              <w:top w:val="nil"/>
              <w:left w:val="nil"/>
              <w:bottom w:val="single" w:sz="4" w:space="0" w:color="auto"/>
              <w:right w:val="single" w:sz="4" w:space="0" w:color="auto"/>
            </w:tcBorders>
            <w:shd w:val="clear" w:color="auto" w:fill="auto"/>
            <w:noWrap/>
            <w:vAlign w:val="center"/>
            <w:hideMark/>
          </w:tcPr>
          <w:p w14:paraId="1F45E8A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w:t>
            </w:r>
          </w:p>
        </w:tc>
        <w:tc>
          <w:tcPr>
            <w:tcW w:w="1418" w:type="dxa"/>
            <w:tcBorders>
              <w:top w:val="nil"/>
              <w:left w:val="nil"/>
              <w:bottom w:val="single" w:sz="4" w:space="0" w:color="auto"/>
              <w:right w:val="single" w:sz="4" w:space="0" w:color="auto"/>
            </w:tcBorders>
            <w:shd w:val="clear" w:color="auto" w:fill="auto"/>
            <w:noWrap/>
            <w:vAlign w:val="center"/>
            <w:hideMark/>
          </w:tcPr>
          <w:p w14:paraId="57FB479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5DF6BF3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5E12FD9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7637A55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1A9D0F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2AC2638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w:t>
            </w:r>
          </w:p>
        </w:tc>
        <w:tc>
          <w:tcPr>
            <w:tcW w:w="1418" w:type="dxa"/>
            <w:tcBorders>
              <w:top w:val="nil"/>
              <w:left w:val="nil"/>
              <w:bottom w:val="single" w:sz="4" w:space="0" w:color="auto"/>
              <w:right w:val="single" w:sz="4" w:space="0" w:color="auto"/>
            </w:tcBorders>
            <w:shd w:val="clear" w:color="auto" w:fill="auto"/>
            <w:noWrap/>
            <w:vAlign w:val="center"/>
            <w:hideMark/>
          </w:tcPr>
          <w:p w14:paraId="7E711D0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473F12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EF7745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EB0450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FCE01B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Libiąż</w:t>
            </w:r>
          </w:p>
        </w:tc>
        <w:tc>
          <w:tcPr>
            <w:tcW w:w="1701" w:type="dxa"/>
            <w:tcBorders>
              <w:top w:val="nil"/>
              <w:left w:val="nil"/>
              <w:bottom w:val="single" w:sz="4" w:space="0" w:color="auto"/>
              <w:right w:val="single" w:sz="4" w:space="0" w:color="auto"/>
            </w:tcBorders>
            <w:shd w:val="clear" w:color="auto" w:fill="auto"/>
            <w:noWrap/>
            <w:vAlign w:val="center"/>
            <w:hideMark/>
          </w:tcPr>
          <w:p w14:paraId="2D25D6D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w:t>
            </w:r>
          </w:p>
        </w:tc>
        <w:tc>
          <w:tcPr>
            <w:tcW w:w="1418" w:type="dxa"/>
            <w:tcBorders>
              <w:top w:val="nil"/>
              <w:left w:val="nil"/>
              <w:bottom w:val="single" w:sz="4" w:space="0" w:color="auto"/>
              <w:right w:val="single" w:sz="4" w:space="0" w:color="auto"/>
            </w:tcBorders>
            <w:shd w:val="clear" w:color="auto" w:fill="auto"/>
            <w:noWrap/>
            <w:vAlign w:val="center"/>
            <w:hideMark/>
          </w:tcPr>
          <w:p w14:paraId="1FAF3FB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308 522</w:t>
            </w:r>
          </w:p>
        </w:tc>
        <w:tc>
          <w:tcPr>
            <w:tcW w:w="1417" w:type="dxa"/>
            <w:tcBorders>
              <w:top w:val="nil"/>
              <w:left w:val="nil"/>
              <w:bottom w:val="single" w:sz="4" w:space="0" w:color="auto"/>
              <w:right w:val="single" w:sz="4" w:space="0" w:color="auto"/>
            </w:tcBorders>
            <w:shd w:val="clear" w:color="auto" w:fill="auto"/>
            <w:vAlign w:val="center"/>
            <w:hideMark/>
          </w:tcPr>
          <w:p w14:paraId="212BE18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108 024</w:t>
            </w:r>
          </w:p>
        </w:tc>
        <w:tc>
          <w:tcPr>
            <w:tcW w:w="1418" w:type="dxa"/>
            <w:tcBorders>
              <w:top w:val="nil"/>
              <w:left w:val="nil"/>
              <w:bottom w:val="single" w:sz="4" w:space="0" w:color="auto"/>
              <w:right w:val="single" w:sz="4" w:space="0" w:color="auto"/>
            </w:tcBorders>
            <w:shd w:val="clear" w:color="auto" w:fill="auto"/>
            <w:vAlign w:val="center"/>
            <w:hideMark/>
          </w:tcPr>
          <w:p w14:paraId="2B783C5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46 282</w:t>
            </w:r>
          </w:p>
        </w:tc>
      </w:tr>
      <w:tr w:rsidR="009348AC" w:rsidRPr="00E56406" w14:paraId="2D8EDE8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B53F7F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Trzebinia</w:t>
            </w:r>
          </w:p>
        </w:tc>
        <w:tc>
          <w:tcPr>
            <w:tcW w:w="1701" w:type="dxa"/>
            <w:tcBorders>
              <w:top w:val="nil"/>
              <w:left w:val="nil"/>
              <w:bottom w:val="single" w:sz="4" w:space="0" w:color="auto"/>
              <w:right w:val="single" w:sz="4" w:space="0" w:color="auto"/>
            </w:tcBorders>
            <w:shd w:val="clear" w:color="auto" w:fill="auto"/>
            <w:noWrap/>
            <w:vAlign w:val="center"/>
            <w:hideMark/>
          </w:tcPr>
          <w:p w14:paraId="2F5C152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chrzanów</w:t>
            </w:r>
          </w:p>
        </w:tc>
        <w:tc>
          <w:tcPr>
            <w:tcW w:w="1418" w:type="dxa"/>
            <w:tcBorders>
              <w:top w:val="nil"/>
              <w:left w:val="nil"/>
              <w:bottom w:val="single" w:sz="4" w:space="0" w:color="auto"/>
              <w:right w:val="single" w:sz="4" w:space="0" w:color="auto"/>
            </w:tcBorders>
            <w:shd w:val="clear" w:color="auto" w:fill="auto"/>
            <w:noWrap/>
            <w:vAlign w:val="center"/>
            <w:hideMark/>
          </w:tcPr>
          <w:p w14:paraId="7AA40D8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362 967</w:t>
            </w:r>
          </w:p>
        </w:tc>
        <w:tc>
          <w:tcPr>
            <w:tcW w:w="1417" w:type="dxa"/>
            <w:tcBorders>
              <w:top w:val="nil"/>
              <w:left w:val="nil"/>
              <w:bottom w:val="single" w:sz="4" w:space="0" w:color="auto"/>
              <w:right w:val="single" w:sz="4" w:space="0" w:color="auto"/>
            </w:tcBorders>
            <w:shd w:val="clear" w:color="auto" w:fill="auto"/>
            <w:vAlign w:val="center"/>
            <w:hideMark/>
          </w:tcPr>
          <w:p w14:paraId="02A89D4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127 087</w:t>
            </w:r>
          </w:p>
        </w:tc>
        <w:tc>
          <w:tcPr>
            <w:tcW w:w="1418" w:type="dxa"/>
            <w:tcBorders>
              <w:top w:val="nil"/>
              <w:left w:val="nil"/>
              <w:bottom w:val="single" w:sz="4" w:space="0" w:color="auto"/>
              <w:right w:val="single" w:sz="4" w:space="0" w:color="auto"/>
            </w:tcBorders>
            <w:shd w:val="clear" w:color="auto" w:fill="auto"/>
            <w:vAlign w:val="center"/>
            <w:hideMark/>
          </w:tcPr>
          <w:p w14:paraId="19A6C2E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54 450</w:t>
            </w:r>
          </w:p>
        </w:tc>
      </w:tr>
      <w:tr w:rsidR="009348AC" w:rsidRPr="00E56406" w14:paraId="2B05690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CFC832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Bolesław</w:t>
            </w:r>
          </w:p>
        </w:tc>
        <w:tc>
          <w:tcPr>
            <w:tcW w:w="1701" w:type="dxa"/>
            <w:tcBorders>
              <w:top w:val="nil"/>
              <w:left w:val="nil"/>
              <w:bottom w:val="single" w:sz="4" w:space="0" w:color="auto"/>
              <w:right w:val="single" w:sz="4" w:space="0" w:color="auto"/>
            </w:tcBorders>
            <w:shd w:val="clear" w:color="auto" w:fill="auto"/>
            <w:noWrap/>
            <w:vAlign w:val="center"/>
            <w:hideMark/>
          </w:tcPr>
          <w:p w14:paraId="5E40C81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7648C80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612FE00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04B1909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50BB79F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99AAF1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Dąbrowa Tarnowska</w:t>
            </w:r>
          </w:p>
        </w:tc>
        <w:tc>
          <w:tcPr>
            <w:tcW w:w="1701" w:type="dxa"/>
            <w:tcBorders>
              <w:top w:val="nil"/>
              <w:left w:val="nil"/>
              <w:bottom w:val="single" w:sz="4" w:space="0" w:color="auto"/>
              <w:right w:val="single" w:sz="4" w:space="0" w:color="auto"/>
            </w:tcBorders>
            <w:shd w:val="clear" w:color="auto" w:fill="auto"/>
            <w:noWrap/>
            <w:vAlign w:val="center"/>
            <w:hideMark/>
          </w:tcPr>
          <w:p w14:paraId="0E3B1F9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0D383D8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419D0AB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40B0911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3FDE47A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344068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Gręboszów</w:t>
            </w:r>
          </w:p>
        </w:tc>
        <w:tc>
          <w:tcPr>
            <w:tcW w:w="1701" w:type="dxa"/>
            <w:tcBorders>
              <w:top w:val="nil"/>
              <w:left w:val="nil"/>
              <w:bottom w:val="single" w:sz="4" w:space="0" w:color="auto"/>
              <w:right w:val="single" w:sz="4" w:space="0" w:color="auto"/>
            </w:tcBorders>
            <w:shd w:val="clear" w:color="auto" w:fill="auto"/>
            <w:noWrap/>
            <w:vAlign w:val="center"/>
            <w:hideMark/>
          </w:tcPr>
          <w:p w14:paraId="23BB292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5E27B6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348309D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221CA47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0351FE6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D6F335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Mędrzechów</w:t>
            </w:r>
          </w:p>
        </w:tc>
        <w:tc>
          <w:tcPr>
            <w:tcW w:w="1701" w:type="dxa"/>
            <w:tcBorders>
              <w:top w:val="nil"/>
              <w:left w:val="nil"/>
              <w:bottom w:val="single" w:sz="4" w:space="0" w:color="auto"/>
              <w:right w:val="single" w:sz="4" w:space="0" w:color="auto"/>
            </w:tcBorders>
            <w:shd w:val="clear" w:color="auto" w:fill="auto"/>
            <w:noWrap/>
            <w:vAlign w:val="center"/>
            <w:hideMark/>
          </w:tcPr>
          <w:p w14:paraId="3E10BB5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22EFB75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61589FE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1FFB35F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15D98A9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B9A703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Olesno</w:t>
            </w:r>
          </w:p>
        </w:tc>
        <w:tc>
          <w:tcPr>
            <w:tcW w:w="1701" w:type="dxa"/>
            <w:tcBorders>
              <w:top w:val="nil"/>
              <w:left w:val="nil"/>
              <w:bottom w:val="single" w:sz="4" w:space="0" w:color="auto"/>
              <w:right w:val="single" w:sz="4" w:space="0" w:color="auto"/>
            </w:tcBorders>
            <w:shd w:val="clear" w:color="auto" w:fill="auto"/>
            <w:noWrap/>
            <w:vAlign w:val="center"/>
            <w:hideMark/>
          </w:tcPr>
          <w:p w14:paraId="6ECEE46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121D948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3D870D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16DA17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2F3F55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5A6634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Radgoszcz</w:t>
            </w:r>
          </w:p>
        </w:tc>
        <w:tc>
          <w:tcPr>
            <w:tcW w:w="1701" w:type="dxa"/>
            <w:tcBorders>
              <w:top w:val="nil"/>
              <w:left w:val="nil"/>
              <w:bottom w:val="single" w:sz="4" w:space="0" w:color="auto"/>
              <w:right w:val="single" w:sz="4" w:space="0" w:color="auto"/>
            </w:tcBorders>
            <w:shd w:val="clear" w:color="auto" w:fill="auto"/>
            <w:noWrap/>
            <w:vAlign w:val="center"/>
            <w:hideMark/>
          </w:tcPr>
          <w:p w14:paraId="6B3C4D6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0372266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4D375FD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0644D3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211D21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4184F8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Szczucin</w:t>
            </w:r>
          </w:p>
        </w:tc>
        <w:tc>
          <w:tcPr>
            <w:tcW w:w="1701" w:type="dxa"/>
            <w:tcBorders>
              <w:top w:val="nil"/>
              <w:left w:val="nil"/>
              <w:bottom w:val="single" w:sz="4" w:space="0" w:color="auto"/>
              <w:right w:val="single" w:sz="4" w:space="0" w:color="auto"/>
            </w:tcBorders>
            <w:shd w:val="clear" w:color="auto" w:fill="auto"/>
            <w:noWrap/>
            <w:vAlign w:val="center"/>
            <w:hideMark/>
          </w:tcPr>
          <w:p w14:paraId="13AF624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dąbrowski</w:t>
            </w:r>
          </w:p>
        </w:tc>
        <w:tc>
          <w:tcPr>
            <w:tcW w:w="1418" w:type="dxa"/>
            <w:tcBorders>
              <w:top w:val="nil"/>
              <w:left w:val="nil"/>
              <w:bottom w:val="single" w:sz="4" w:space="0" w:color="auto"/>
              <w:right w:val="single" w:sz="4" w:space="0" w:color="auto"/>
            </w:tcBorders>
            <w:shd w:val="clear" w:color="auto" w:fill="auto"/>
            <w:noWrap/>
            <w:vAlign w:val="center"/>
            <w:hideMark/>
          </w:tcPr>
          <w:p w14:paraId="4A5A412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0381EBE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2A42DC8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63428E3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0B5DA6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Biecz</w:t>
            </w:r>
          </w:p>
        </w:tc>
        <w:tc>
          <w:tcPr>
            <w:tcW w:w="1701" w:type="dxa"/>
            <w:tcBorders>
              <w:top w:val="nil"/>
              <w:left w:val="nil"/>
              <w:bottom w:val="single" w:sz="4" w:space="0" w:color="auto"/>
              <w:right w:val="single" w:sz="4" w:space="0" w:color="auto"/>
            </w:tcBorders>
            <w:shd w:val="clear" w:color="auto" w:fill="auto"/>
            <w:noWrap/>
            <w:vAlign w:val="center"/>
            <w:hideMark/>
          </w:tcPr>
          <w:p w14:paraId="3B87982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5BE4CCA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423 462</w:t>
            </w:r>
          </w:p>
        </w:tc>
        <w:tc>
          <w:tcPr>
            <w:tcW w:w="1417" w:type="dxa"/>
            <w:tcBorders>
              <w:top w:val="nil"/>
              <w:left w:val="nil"/>
              <w:bottom w:val="single" w:sz="4" w:space="0" w:color="auto"/>
              <w:right w:val="single" w:sz="4" w:space="0" w:color="auto"/>
            </w:tcBorders>
            <w:shd w:val="clear" w:color="auto" w:fill="auto"/>
            <w:vAlign w:val="center"/>
            <w:hideMark/>
          </w:tcPr>
          <w:p w14:paraId="738B531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148 268</w:t>
            </w:r>
          </w:p>
        </w:tc>
        <w:tc>
          <w:tcPr>
            <w:tcW w:w="1418" w:type="dxa"/>
            <w:tcBorders>
              <w:top w:val="nil"/>
              <w:left w:val="nil"/>
              <w:bottom w:val="single" w:sz="4" w:space="0" w:color="auto"/>
              <w:right w:val="single" w:sz="4" w:space="0" w:color="auto"/>
            </w:tcBorders>
            <w:shd w:val="clear" w:color="auto" w:fill="auto"/>
            <w:vAlign w:val="center"/>
            <w:hideMark/>
          </w:tcPr>
          <w:p w14:paraId="42FF9D4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63 525</w:t>
            </w:r>
          </w:p>
        </w:tc>
      </w:tr>
      <w:tr w:rsidR="009348AC" w:rsidRPr="00E56406" w14:paraId="0BEF6D7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B573F8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Bobowa</w:t>
            </w:r>
          </w:p>
        </w:tc>
        <w:tc>
          <w:tcPr>
            <w:tcW w:w="1701" w:type="dxa"/>
            <w:tcBorders>
              <w:top w:val="nil"/>
              <w:left w:val="nil"/>
              <w:bottom w:val="single" w:sz="4" w:space="0" w:color="auto"/>
              <w:right w:val="single" w:sz="4" w:space="0" w:color="auto"/>
            </w:tcBorders>
            <w:shd w:val="clear" w:color="auto" w:fill="auto"/>
            <w:noWrap/>
            <w:vAlign w:val="center"/>
            <w:hideMark/>
          </w:tcPr>
          <w:p w14:paraId="2D2E076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59DF961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718E0B1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14C01D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D735E1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B468E3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Gorlice (wiejska)</w:t>
            </w:r>
          </w:p>
        </w:tc>
        <w:tc>
          <w:tcPr>
            <w:tcW w:w="1701" w:type="dxa"/>
            <w:tcBorders>
              <w:top w:val="nil"/>
              <w:left w:val="nil"/>
              <w:bottom w:val="single" w:sz="4" w:space="0" w:color="auto"/>
              <w:right w:val="single" w:sz="4" w:space="0" w:color="auto"/>
            </w:tcBorders>
            <w:shd w:val="clear" w:color="auto" w:fill="auto"/>
            <w:noWrap/>
            <w:vAlign w:val="center"/>
            <w:hideMark/>
          </w:tcPr>
          <w:p w14:paraId="5CCBECF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164D9C5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3A727CD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552BD41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146C4A1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DEDE1B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Lipinki</w:t>
            </w:r>
          </w:p>
        </w:tc>
        <w:tc>
          <w:tcPr>
            <w:tcW w:w="1701" w:type="dxa"/>
            <w:tcBorders>
              <w:top w:val="nil"/>
              <w:left w:val="nil"/>
              <w:bottom w:val="single" w:sz="4" w:space="0" w:color="auto"/>
              <w:right w:val="single" w:sz="4" w:space="0" w:color="auto"/>
            </w:tcBorders>
            <w:shd w:val="clear" w:color="auto" w:fill="auto"/>
            <w:noWrap/>
            <w:vAlign w:val="center"/>
            <w:hideMark/>
          </w:tcPr>
          <w:p w14:paraId="49F7F96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49279D7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FCFB44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E447C9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240CDC7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962B4F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Łużna</w:t>
            </w:r>
          </w:p>
        </w:tc>
        <w:tc>
          <w:tcPr>
            <w:tcW w:w="1701" w:type="dxa"/>
            <w:tcBorders>
              <w:top w:val="nil"/>
              <w:left w:val="nil"/>
              <w:bottom w:val="single" w:sz="4" w:space="0" w:color="auto"/>
              <w:right w:val="single" w:sz="4" w:space="0" w:color="auto"/>
            </w:tcBorders>
            <w:shd w:val="clear" w:color="auto" w:fill="auto"/>
            <w:noWrap/>
            <w:vAlign w:val="center"/>
            <w:hideMark/>
          </w:tcPr>
          <w:p w14:paraId="7AC5171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7613790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4174A9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C94D06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2F7BBC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C716B7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Moszczenica</w:t>
            </w:r>
          </w:p>
        </w:tc>
        <w:tc>
          <w:tcPr>
            <w:tcW w:w="1701" w:type="dxa"/>
            <w:tcBorders>
              <w:top w:val="nil"/>
              <w:left w:val="nil"/>
              <w:bottom w:val="single" w:sz="4" w:space="0" w:color="auto"/>
              <w:right w:val="single" w:sz="4" w:space="0" w:color="auto"/>
            </w:tcBorders>
            <w:shd w:val="clear" w:color="auto" w:fill="auto"/>
            <w:noWrap/>
            <w:vAlign w:val="center"/>
            <w:hideMark/>
          </w:tcPr>
          <w:p w14:paraId="46345F3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62368B0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180DD5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7B8433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F66192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4EB5B2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Ropa</w:t>
            </w:r>
          </w:p>
        </w:tc>
        <w:tc>
          <w:tcPr>
            <w:tcW w:w="1701" w:type="dxa"/>
            <w:tcBorders>
              <w:top w:val="nil"/>
              <w:left w:val="nil"/>
              <w:bottom w:val="single" w:sz="4" w:space="0" w:color="auto"/>
              <w:right w:val="single" w:sz="4" w:space="0" w:color="auto"/>
            </w:tcBorders>
            <w:shd w:val="clear" w:color="auto" w:fill="auto"/>
            <w:noWrap/>
            <w:vAlign w:val="center"/>
            <w:hideMark/>
          </w:tcPr>
          <w:p w14:paraId="6414677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7DD235F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46C461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8CA2E7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CFFF9E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ADE9E7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Sękowa</w:t>
            </w:r>
          </w:p>
        </w:tc>
        <w:tc>
          <w:tcPr>
            <w:tcW w:w="1701" w:type="dxa"/>
            <w:tcBorders>
              <w:top w:val="nil"/>
              <w:left w:val="nil"/>
              <w:bottom w:val="single" w:sz="4" w:space="0" w:color="auto"/>
              <w:right w:val="single" w:sz="4" w:space="0" w:color="auto"/>
            </w:tcBorders>
            <w:shd w:val="clear" w:color="auto" w:fill="auto"/>
            <w:noWrap/>
            <w:vAlign w:val="center"/>
            <w:hideMark/>
          </w:tcPr>
          <w:p w14:paraId="2971294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75491C3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10CBAC1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7095C6F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49D2BE8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3230808" w14:textId="4B5FDDE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Uście Gorlicki</w:t>
            </w:r>
          </w:p>
        </w:tc>
        <w:tc>
          <w:tcPr>
            <w:tcW w:w="1701" w:type="dxa"/>
            <w:tcBorders>
              <w:top w:val="nil"/>
              <w:left w:val="nil"/>
              <w:bottom w:val="single" w:sz="4" w:space="0" w:color="auto"/>
              <w:right w:val="single" w:sz="4" w:space="0" w:color="auto"/>
            </w:tcBorders>
            <w:shd w:val="clear" w:color="auto" w:fill="auto"/>
            <w:noWrap/>
            <w:vAlign w:val="center"/>
            <w:hideMark/>
          </w:tcPr>
          <w:p w14:paraId="31F7F11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gorlicki</w:t>
            </w:r>
          </w:p>
        </w:tc>
        <w:tc>
          <w:tcPr>
            <w:tcW w:w="1418" w:type="dxa"/>
            <w:tcBorders>
              <w:top w:val="nil"/>
              <w:left w:val="nil"/>
              <w:bottom w:val="single" w:sz="4" w:space="0" w:color="auto"/>
              <w:right w:val="single" w:sz="4" w:space="0" w:color="auto"/>
            </w:tcBorders>
            <w:shd w:val="clear" w:color="auto" w:fill="auto"/>
            <w:noWrap/>
            <w:vAlign w:val="center"/>
            <w:hideMark/>
          </w:tcPr>
          <w:p w14:paraId="0FE83B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B3B753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130BE1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123BF0E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4E4FF6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Czernichów</w:t>
            </w:r>
          </w:p>
        </w:tc>
        <w:tc>
          <w:tcPr>
            <w:tcW w:w="1701" w:type="dxa"/>
            <w:tcBorders>
              <w:top w:val="nil"/>
              <w:left w:val="nil"/>
              <w:bottom w:val="single" w:sz="4" w:space="0" w:color="auto"/>
              <w:right w:val="single" w:sz="4" w:space="0" w:color="auto"/>
            </w:tcBorders>
            <w:shd w:val="clear" w:color="auto" w:fill="auto"/>
            <w:noWrap/>
            <w:vAlign w:val="center"/>
            <w:hideMark/>
          </w:tcPr>
          <w:p w14:paraId="5027575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104E18D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1F1BDC7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0AE51AA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7765E9D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0949F6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Igołomia-Wawrzeńczyce</w:t>
            </w:r>
          </w:p>
        </w:tc>
        <w:tc>
          <w:tcPr>
            <w:tcW w:w="1701" w:type="dxa"/>
            <w:tcBorders>
              <w:top w:val="nil"/>
              <w:left w:val="nil"/>
              <w:bottom w:val="single" w:sz="4" w:space="0" w:color="auto"/>
              <w:right w:val="single" w:sz="4" w:space="0" w:color="auto"/>
            </w:tcBorders>
            <w:shd w:val="clear" w:color="auto" w:fill="auto"/>
            <w:noWrap/>
            <w:vAlign w:val="center"/>
            <w:hideMark/>
          </w:tcPr>
          <w:p w14:paraId="00B4576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218A2FF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4D5DC70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21A94FC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1F90F81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BC9D76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Iwanowice</w:t>
            </w:r>
          </w:p>
        </w:tc>
        <w:tc>
          <w:tcPr>
            <w:tcW w:w="1701" w:type="dxa"/>
            <w:tcBorders>
              <w:top w:val="nil"/>
              <w:left w:val="nil"/>
              <w:bottom w:val="single" w:sz="4" w:space="0" w:color="auto"/>
              <w:right w:val="single" w:sz="4" w:space="0" w:color="auto"/>
            </w:tcBorders>
            <w:shd w:val="clear" w:color="auto" w:fill="auto"/>
            <w:noWrap/>
            <w:vAlign w:val="center"/>
            <w:hideMark/>
          </w:tcPr>
          <w:p w14:paraId="295A01C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7D0239C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597074D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4A404B2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0C548FB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78A055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Jerzmanowice-Przeginia</w:t>
            </w:r>
          </w:p>
        </w:tc>
        <w:tc>
          <w:tcPr>
            <w:tcW w:w="1701" w:type="dxa"/>
            <w:tcBorders>
              <w:top w:val="nil"/>
              <w:left w:val="nil"/>
              <w:bottom w:val="single" w:sz="4" w:space="0" w:color="auto"/>
              <w:right w:val="single" w:sz="4" w:space="0" w:color="auto"/>
            </w:tcBorders>
            <w:shd w:val="clear" w:color="auto" w:fill="auto"/>
            <w:noWrap/>
            <w:vAlign w:val="center"/>
            <w:hideMark/>
          </w:tcPr>
          <w:p w14:paraId="24FB879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608C788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7F99FE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0E77285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CB340E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31B2D9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Kocmyrzów-Luborzyca</w:t>
            </w:r>
          </w:p>
        </w:tc>
        <w:tc>
          <w:tcPr>
            <w:tcW w:w="1701" w:type="dxa"/>
            <w:tcBorders>
              <w:top w:val="nil"/>
              <w:left w:val="nil"/>
              <w:bottom w:val="single" w:sz="4" w:space="0" w:color="auto"/>
              <w:right w:val="single" w:sz="4" w:space="0" w:color="auto"/>
            </w:tcBorders>
            <w:shd w:val="clear" w:color="auto" w:fill="auto"/>
            <w:noWrap/>
            <w:vAlign w:val="center"/>
            <w:hideMark/>
          </w:tcPr>
          <w:p w14:paraId="64B0AAD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68978BD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8DBBF3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143AF9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BC2026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3CE38C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Krzeszowice</w:t>
            </w:r>
          </w:p>
        </w:tc>
        <w:tc>
          <w:tcPr>
            <w:tcW w:w="1701" w:type="dxa"/>
            <w:tcBorders>
              <w:top w:val="nil"/>
              <w:left w:val="nil"/>
              <w:bottom w:val="single" w:sz="4" w:space="0" w:color="auto"/>
              <w:right w:val="single" w:sz="4" w:space="0" w:color="auto"/>
            </w:tcBorders>
            <w:shd w:val="clear" w:color="auto" w:fill="auto"/>
            <w:noWrap/>
            <w:vAlign w:val="center"/>
            <w:hideMark/>
          </w:tcPr>
          <w:p w14:paraId="7965407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3C6655E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362 967</w:t>
            </w:r>
          </w:p>
        </w:tc>
        <w:tc>
          <w:tcPr>
            <w:tcW w:w="1417" w:type="dxa"/>
            <w:tcBorders>
              <w:top w:val="nil"/>
              <w:left w:val="nil"/>
              <w:bottom w:val="single" w:sz="4" w:space="0" w:color="auto"/>
              <w:right w:val="single" w:sz="4" w:space="0" w:color="auto"/>
            </w:tcBorders>
            <w:shd w:val="clear" w:color="auto" w:fill="auto"/>
            <w:vAlign w:val="center"/>
            <w:hideMark/>
          </w:tcPr>
          <w:p w14:paraId="3CFADFA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127 087</w:t>
            </w:r>
          </w:p>
        </w:tc>
        <w:tc>
          <w:tcPr>
            <w:tcW w:w="1418" w:type="dxa"/>
            <w:tcBorders>
              <w:top w:val="nil"/>
              <w:left w:val="nil"/>
              <w:bottom w:val="single" w:sz="4" w:space="0" w:color="auto"/>
              <w:right w:val="single" w:sz="4" w:space="0" w:color="auto"/>
            </w:tcBorders>
            <w:shd w:val="clear" w:color="auto" w:fill="auto"/>
            <w:vAlign w:val="center"/>
            <w:hideMark/>
          </w:tcPr>
          <w:p w14:paraId="7F61F3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54 450</w:t>
            </w:r>
          </w:p>
        </w:tc>
      </w:tr>
      <w:tr w:rsidR="009348AC" w:rsidRPr="00E56406" w14:paraId="780924C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CE2747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Liszki</w:t>
            </w:r>
          </w:p>
        </w:tc>
        <w:tc>
          <w:tcPr>
            <w:tcW w:w="1701" w:type="dxa"/>
            <w:tcBorders>
              <w:top w:val="nil"/>
              <w:left w:val="nil"/>
              <w:bottom w:val="single" w:sz="4" w:space="0" w:color="auto"/>
              <w:right w:val="single" w:sz="4" w:space="0" w:color="auto"/>
            </w:tcBorders>
            <w:shd w:val="clear" w:color="auto" w:fill="auto"/>
            <w:noWrap/>
            <w:vAlign w:val="center"/>
            <w:hideMark/>
          </w:tcPr>
          <w:p w14:paraId="669A033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3D7A51F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8A7234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5F02587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2C77C2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1D5963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Michałowice</w:t>
            </w:r>
          </w:p>
        </w:tc>
        <w:tc>
          <w:tcPr>
            <w:tcW w:w="1701" w:type="dxa"/>
            <w:tcBorders>
              <w:top w:val="nil"/>
              <w:left w:val="nil"/>
              <w:bottom w:val="single" w:sz="4" w:space="0" w:color="auto"/>
              <w:right w:val="single" w:sz="4" w:space="0" w:color="auto"/>
            </w:tcBorders>
            <w:shd w:val="clear" w:color="auto" w:fill="auto"/>
            <w:noWrap/>
            <w:vAlign w:val="center"/>
            <w:hideMark/>
          </w:tcPr>
          <w:p w14:paraId="49F0188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1AEA433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28209F9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069665A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19DCA19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9F3E4D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Mogilany</w:t>
            </w:r>
          </w:p>
        </w:tc>
        <w:tc>
          <w:tcPr>
            <w:tcW w:w="1701" w:type="dxa"/>
            <w:tcBorders>
              <w:top w:val="nil"/>
              <w:left w:val="nil"/>
              <w:bottom w:val="single" w:sz="4" w:space="0" w:color="auto"/>
              <w:right w:val="single" w:sz="4" w:space="0" w:color="auto"/>
            </w:tcBorders>
            <w:shd w:val="clear" w:color="auto" w:fill="auto"/>
            <w:noWrap/>
            <w:vAlign w:val="center"/>
            <w:hideMark/>
          </w:tcPr>
          <w:p w14:paraId="2C9F478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7586DE3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52074F8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7D82B1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2D107B9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02F404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Skała</w:t>
            </w:r>
          </w:p>
        </w:tc>
        <w:tc>
          <w:tcPr>
            <w:tcW w:w="1701" w:type="dxa"/>
            <w:tcBorders>
              <w:top w:val="nil"/>
              <w:left w:val="nil"/>
              <w:bottom w:val="single" w:sz="4" w:space="0" w:color="auto"/>
              <w:right w:val="single" w:sz="4" w:space="0" w:color="auto"/>
            </w:tcBorders>
            <w:shd w:val="clear" w:color="auto" w:fill="auto"/>
            <w:noWrap/>
            <w:vAlign w:val="center"/>
            <w:hideMark/>
          </w:tcPr>
          <w:p w14:paraId="6FC175E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6BD5DD4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069731C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715D8DA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5F5C508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C62189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Skawina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0A5700D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46C764B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A6F6D9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FCBFAA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2E6BD1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38A462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Słomniki</w:t>
            </w:r>
          </w:p>
        </w:tc>
        <w:tc>
          <w:tcPr>
            <w:tcW w:w="1701" w:type="dxa"/>
            <w:tcBorders>
              <w:top w:val="nil"/>
              <w:left w:val="nil"/>
              <w:bottom w:val="single" w:sz="4" w:space="0" w:color="auto"/>
              <w:right w:val="single" w:sz="4" w:space="0" w:color="auto"/>
            </w:tcBorders>
            <w:shd w:val="clear" w:color="auto" w:fill="auto"/>
            <w:noWrap/>
            <w:vAlign w:val="center"/>
            <w:hideMark/>
          </w:tcPr>
          <w:p w14:paraId="1AB20A5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3B4403E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B575DC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1B5B4D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09D105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8F135A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Sułoszowa</w:t>
            </w:r>
          </w:p>
        </w:tc>
        <w:tc>
          <w:tcPr>
            <w:tcW w:w="1701" w:type="dxa"/>
            <w:tcBorders>
              <w:top w:val="nil"/>
              <w:left w:val="nil"/>
              <w:bottom w:val="single" w:sz="4" w:space="0" w:color="auto"/>
              <w:right w:val="single" w:sz="4" w:space="0" w:color="auto"/>
            </w:tcBorders>
            <w:shd w:val="clear" w:color="auto" w:fill="auto"/>
            <w:noWrap/>
            <w:vAlign w:val="center"/>
            <w:hideMark/>
          </w:tcPr>
          <w:p w14:paraId="58A3619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0EE4B54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770A43B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5FD3EFA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71125F8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487AD9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Świątniki Górne</w:t>
            </w:r>
          </w:p>
        </w:tc>
        <w:tc>
          <w:tcPr>
            <w:tcW w:w="1701" w:type="dxa"/>
            <w:tcBorders>
              <w:top w:val="nil"/>
              <w:left w:val="nil"/>
              <w:bottom w:val="single" w:sz="4" w:space="0" w:color="auto"/>
              <w:right w:val="single" w:sz="4" w:space="0" w:color="auto"/>
            </w:tcBorders>
            <w:shd w:val="clear" w:color="auto" w:fill="auto"/>
            <w:noWrap/>
            <w:vAlign w:val="center"/>
            <w:hideMark/>
          </w:tcPr>
          <w:p w14:paraId="641A921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6A62F38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7124D82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2D8562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2AF1DBB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8E7D28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Wielka Wieś</w:t>
            </w:r>
          </w:p>
        </w:tc>
        <w:tc>
          <w:tcPr>
            <w:tcW w:w="1701" w:type="dxa"/>
            <w:tcBorders>
              <w:top w:val="nil"/>
              <w:left w:val="nil"/>
              <w:bottom w:val="single" w:sz="4" w:space="0" w:color="auto"/>
              <w:right w:val="single" w:sz="4" w:space="0" w:color="auto"/>
            </w:tcBorders>
            <w:shd w:val="clear" w:color="auto" w:fill="auto"/>
            <w:noWrap/>
            <w:vAlign w:val="center"/>
            <w:hideMark/>
          </w:tcPr>
          <w:p w14:paraId="208545A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33CE477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0B97E59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5D4E968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5EF5967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B86BC1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Zabierzów</w:t>
            </w:r>
          </w:p>
        </w:tc>
        <w:tc>
          <w:tcPr>
            <w:tcW w:w="1701" w:type="dxa"/>
            <w:tcBorders>
              <w:top w:val="nil"/>
              <w:left w:val="nil"/>
              <w:bottom w:val="single" w:sz="4" w:space="0" w:color="auto"/>
              <w:right w:val="single" w:sz="4" w:space="0" w:color="auto"/>
            </w:tcBorders>
            <w:shd w:val="clear" w:color="auto" w:fill="auto"/>
            <w:noWrap/>
            <w:vAlign w:val="center"/>
            <w:hideMark/>
          </w:tcPr>
          <w:p w14:paraId="1AE9C80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15AC2F1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0997E1E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22C0F14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4DCF524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E99893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Zielonki</w:t>
            </w:r>
          </w:p>
        </w:tc>
        <w:tc>
          <w:tcPr>
            <w:tcW w:w="1701" w:type="dxa"/>
            <w:tcBorders>
              <w:top w:val="nil"/>
              <w:left w:val="nil"/>
              <w:bottom w:val="single" w:sz="4" w:space="0" w:color="auto"/>
              <w:right w:val="single" w:sz="4" w:space="0" w:color="auto"/>
            </w:tcBorders>
            <w:shd w:val="clear" w:color="auto" w:fill="auto"/>
            <w:noWrap/>
            <w:vAlign w:val="center"/>
            <w:hideMark/>
          </w:tcPr>
          <w:p w14:paraId="3331580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krakowski</w:t>
            </w:r>
          </w:p>
        </w:tc>
        <w:tc>
          <w:tcPr>
            <w:tcW w:w="1418" w:type="dxa"/>
            <w:tcBorders>
              <w:top w:val="nil"/>
              <w:left w:val="nil"/>
              <w:bottom w:val="single" w:sz="4" w:space="0" w:color="auto"/>
              <w:right w:val="single" w:sz="4" w:space="0" w:color="auto"/>
            </w:tcBorders>
            <w:shd w:val="clear" w:color="auto" w:fill="auto"/>
            <w:noWrap/>
            <w:vAlign w:val="center"/>
            <w:hideMark/>
          </w:tcPr>
          <w:p w14:paraId="070B9B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634B018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4F8574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13F61C1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5947D3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Dobra</w:t>
            </w:r>
          </w:p>
        </w:tc>
        <w:tc>
          <w:tcPr>
            <w:tcW w:w="1701" w:type="dxa"/>
            <w:tcBorders>
              <w:top w:val="nil"/>
              <w:left w:val="nil"/>
              <w:bottom w:val="single" w:sz="4" w:space="0" w:color="auto"/>
              <w:right w:val="single" w:sz="4" w:space="0" w:color="auto"/>
            </w:tcBorders>
            <w:shd w:val="clear" w:color="auto" w:fill="auto"/>
            <w:noWrap/>
            <w:vAlign w:val="center"/>
            <w:hideMark/>
          </w:tcPr>
          <w:p w14:paraId="4C94270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6AAB24E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42B332B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6FAE7CC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2C9F348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3A0559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Jodłownik</w:t>
            </w:r>
          </w:p>
        </w:tc>
        <w:tc>
          <w:tcPr>
            <w:tcW w:w="1701" w:type="dxa"/>
            <w:tcBorders>
              <w:top w:val="nil"/>
              <w:left w:val="nil"/>
              <w:bottom w:val="single" w:sz="4" w:space="0" w:color="auto"/>
              <w:right w:val="single" w:sz="4" w:space="0" w:color="auto"/>
            </w:tcBorders>
            <w:shd w:val="clear" w:color="auto" w:fill="auto"/>
            <w:noWrap/>
            <w:vAlign w:val="center"/>
            <w:hideMark/>
          </w:tcPr>
          <w:p w14:paraId="18FFE39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2BCABCA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BB3E6E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5FADE10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495286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2AE9DC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Kamienica</w:t>
            </w:r>
          </w:p>
        </w:tc>
        <w:tc>
          <w:tcPr>
            <w:tcW w:w="1701" w:type="dxa"/>
            <w:tcBorders>
              <w:top w:val="nil"/>
              <w:left w:val="nil"/>
              <w:bottom w:val="single" w:sz="4" w:space="0" w:color="auto"/>
              <w:right w:val="single" w:sz="4" w:space="0" w:color="auto"/>
            </w:tcBorders>
            <w:shd w:val="clear" w:color="auto" w:fill="auto"/>
            <w:noWrap/>
            <w:vAlign w:val="center"/>
            <w:hideMark/>
          </w:tcPr>
          <w:p w14:paraId="2FE7650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5B1BD56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5D7713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51E404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418C92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93BE93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Laskowa</w:t>
            </w:r>
          </w:p>
        </w:tc>
        <w:tc>
          <w:tcPr>
            <w:tcW w:w="1701" w:type="dxa"/>
            <w:tcBorders>
              <w:top w:val="nil"/>
              <w:left w:val="nil"/>
              <w:bottom w:val="single" w:sz="4" w:space="0" w:color="auto"/>
              <w:right w:val="single" w:sz="4" w:space="0" w:color="auto"/>
            </w:tcBorders>
            <w:shd w:val="clear" w:color="auto" w:fill="auto"/>
            <w:noWrap/>
            <w:vAlign w:val="center"/>
            <w:hideMark/>
          </w:tcPr>
          <w:p w14:paraId="6A6F794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518BF0B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09E22C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DA8E9A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E8B7A1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5EA549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Limanowa</w:t>
            </w:r>
          </w:p>
        </w:tc>
        <w:tc>
          <w:tcPr>
            <w:tcW w:w="1701" w:type="dxa"/>
            <w:tcBorders>
              <w:top w:val="nil"/>
              <w:left w:val="nil"/>
              <w:bottom w:val="single" w:sz="4" w:space="0" w:color="auto"/>
              <w:right w:val="single" w:sz="4" w:space="0" w:color="auto"/>
            </w:tcBorders>
            <w:shd w:val="clear" w:color="auto" w:fill="auto"/>
            <w:noWrap/>
            <w:vAlign w:val="center"/>
            <w:hideMark/>
          </w:tcPr>
          <w:p w14:paraId="29BBA96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1F5F978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437 073</w:t>
            </w:r>
          </w:p>
        </w:tc>
        <w:tc>
          <w:tcPr>
            <w:tcW w:w="1417" w:type="dxa"/>
            <w:tcBorders>
              <w:top w:val="nil"/>
              <w:left w:val="nil"/>
              <w:bottom w:val="single" w:sz="4" w:space="0" w:color="auto"/>
              <w:right w:val="single" w:sz="4" w:space="0" w:color="auto"/>
            </w:tcBorders>
            <w:shd w:val="clear" w:color="auto" w:fill="auto"/>
            <w:vAlign w:val="center"/>
            <w:hideMark/>
          </w:tcPr>
          <w:p w14:paraId="3144390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153 034</w:t>
            </w:r>
          </w:p>
        </w:tc>
        <w:tc>
          <w:tcPr>
            <w:tcW w:w="1418" w:type="dxa"/>
            <w:tcBorders>
              <w:top w:val="nil"/>
              <w:left w:val="nil"/>
              <w:bottom w:val="single" w:sz="4" w:space="0" w:color="auto"/>
              <w:right w:val="single" w:sz="4" w:space="0" w:color="auto"/>
            </w:tcBorders>
            <w:shd w:val="clear" w:color="auto" w:fill="auto"/>
            <w:vAlign w:val="center"/>
            <w:hideMark/>
          </w:tcPr>
          <w:p w14:paraId="214DBE5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65 567</w:t>
            </w:r>
          </w:p>
        </w:tc>
      </w:tr>
      <w:tr w:rsidR="009348AC" w:rsidRPr="00E56406" w14:paraId="22F2EEB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D80C4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Limanowa miasto</w:t>
            </w:r>
          </w:p>
        </w:tc>
        <w:tc>
          <w:tcPr>
            <w:tcW w:w="1701" w:type="dxa"/>
            <w:tcBorders>
              <w:top w:val="nil"/>
              <w:left w:val="nil"/>
              <w:bottom w:val="single" w:sz="4" w:space="0" w:color="auto"/>
              <w:right w:val="single" w:sz="4" w:space="0" w:color="auto"/>
            </w:tcBorders>
            <w:shd w:val="clear" w:color="auto" w:fill="auto"/>
            <w:noWrap/>
            <w:vAlign w:val="center"/>
            <w:hideMark/>
          </w:tcPr>
          <w:p w14:paraId="065B57D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79464D8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254 077</w:t>
            </w:r>
          </w:p>
        </w:tc>
        <w:tc>
          <w:tcPr>
            <w:tcW w:w="1417" w:type="dxa"/>
            <w:tcBorders>
              <w:top w:val="nil"/>
              <w:left w:val="nil"/>
              <w:bottom w:val="single" w:sz="4" w:space="0" w:color="auto"/>
              <w:right w:val="single" w:sz="4" w:space="0" w:color="auto"/>
            </w:tcBorders>
            <w:shd w:val="clear" w:color="auto" w:fill="auto"/>
            <w:vAlign w:val="center"/>
            <w:hideMark/>
          </w:tcPr>
          <w:p w14:paraId="19189C7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88 961</w:t>
            </w:r>
          </w:p>
        </w:tc>
        <w:tc>
          <w:tcPr>
            <w:tcW w:w="1418" w:type="dxa"/>
            <w:tcBorders>
              <w:top w:val="nil"/>
              <w:left w:val="nil"/>
              <w:bottom w:val="single" w:sz="4" w:space="0" w:color="auto"/>
              <w:right w:val="single" w:sz="4" w:space="0" w:color="auto"/>
            </w:tcBorders>
            <w:shd w:val="clear" w:color="auto" w:fill="auto"/>
            <w:vAlign w:val="center"/>
            <w:hideMark/>
          </w:tcPr>
          <w:p w14:paraId="60366CA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38 115</w:t>
            </w:r>
          </w:p>
        </w:tc>
      </w:tr>
      <w:tr w:rsidR="009348AC" w:rsidRPr="00E56406" w14:paraId="41BDD29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CBD27E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Łukowica</w:t>
            </w:r>
          </w:p>
        </w:tc>
        <w:tc>
          <w:tcPr>
            <w:tcW w:w="1701" w:type="dxa"/>
            <w:tcBorders>
              <w:top w:val="nil"/>
              <w:left w:val="nil"/>
              <w:bottom w:val="single" w:sz="4" w:space="0" w:color="auto"/>
              <w:right w:val="single" w:sz="4" w:space="0" w:color="auto"/>
            </w:tcBorders>
            <w:shd w:val="clear" w:color="auto" w:fill="auto"/>
            <w:noWrap/>
            <w:vAlign w:val="center"/>
            <w:hideMark/>
          </w:tcPr>
          <w:p w14:paraId="5FB12DB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2B34EE4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28A4DC6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57A7218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24D624C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A43EA0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Mszana Dolna</w:t>
            </w:r>
          </w:p>
        </w:tc>
        <w:tc>
          <w:tcPr>
            <w:tcW w:w="1701" w:type="dxa"/>
            <w:tcBorders>
              <w:top w:val="nil"/>
              <w:left w:val="nil"/>
              <w:bottom w:val="single" w:sz="4" w:space="0" w:color="auto"/>
              <w:right w:val="single" w:sz="4" w:space="0" w:color="auto"/>
            </w:tcBorders>
            <w:shd w:val="clear" w:color="auto" w:fill="auto"/>
            <w:noWrap/>
            <w:vAlign w:val="center"/>
            <w:hideMark/>
          </w:tcPr>
          <w:p w14:paraId="0A76EBB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0F3D69A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423 462</w:t>
            </w:r>
          </w:p>
        </w:tc>
        <w:tc>
          <w:tcPr>
            <w:tcW w:w="1417" w:type="dxa"/>
            <w:tcBorders>
              <w:top w:val="nil"/>
              <w:left w:val="nil"/>
              <w:bottom w:val="single" w:sz="4" w:space="0" w:color="auto"/>
              <w:right w:val="single" w:sz="4" w:space="0" w:color="auto"/>
            </w:tcBorders>
            <w:shd w:val="clear" w:color="auto" w:fill="auto"/>
            <w:vAlign w:val="center"/>
            <w:hideMark/>
          </w:tcPr>
          <w:p w14:paraId="420BF36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148 268</w:t>
            </w:r>
          </w:p>
        </w:tc>
        <w:tc>
          <w:tcPr>
            <w:tcW w:w="1418" w:type="dxa"/>
            <w:tcBorders>
              <w:top w:val="nil"/>
              <w:left w:val="nil"/>
              <w:bottom w:val="single" w:sz="4" w:space="0" w:color="auto"/>
              <w:right w:val="single" w:sz="4" w:space="0" w:color="auto"/>
            </w:tcBorders>
            <w:shd w:val="clear" w:color="auto" w:fill="auto"/>
            <w:vAlign w:val="center"/>
            <w:hideMark/>
          </w:tcPr>
          <w:p w14:paraId="5F85A34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63 525</w:t>
            </w:r>
          </w:p>
        </w:tc>
      </w:tr>
      <w:tr w:rsidR="009348AC" w:rsidRPr="00E56406" w14:paraId="13F6F34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64E9AE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Mszana Dolna miasto</w:t>
            </w:r>
          </w:p>
        </w:tc>
        <w:tc>
          <w:tcPr>
            <w:tcW w:w="1701" w:type="dxa"/>
            <w:tcBorders>
              <w:top w:val="nil"/>
              <w:left w:val="nil"/>
              <w:bottom w:val="single" w:sz="4" w:space="0" w:color="auto"/>
              <w:right w:val="single" w:sz="4" w:space="0" w:color="auto"/>
            </w:tcBorders>
            <w:shd w:val="clear" w:color="auto" w:fill="auto"/>
            <w:noWrap/>
            <w:vAlign w:val="center"/>
            <w:hideMark/>
          </w:tcPr>
          <w:p w14:paraId="509A306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463F524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06455C5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2DF465E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74DD84A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3E02E9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Niedźwiedź</w:t>
            </w:r>
          </w:p>
        </w:tc>
        <w:tc>
          <w:tcPr>
            <w:tcW w:w="1701" w:type="dxa"/>
            <w:tcBorders>
              <w:top w:val="nil"/>
              <w:left w:val="nil"/>
              <w:bottom w:val="single" w:sz="4" w:space="0" w:color="auto"/>
              <w:right w:val="single" w:sz="4" w:space="0" w:color="auto"/>
            </w:tcBorders>
            <w:shd w:val="clear" w:color="auto" w:fill="auto"/>
            <w:noWrap/>
            <w:vAlign w:val="center"/>
            <w:hideMark/>
          </w:tcPr>
          <w:p w14:paraId="4A67D5A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0C7C6B7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C33A17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03C698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C81F30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138367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Słopnice</w:t>
            </w:r>
          </w:p>
        </w:tc>
        <w:tc>
          <w:tcPr>
            <w:tcW w:w="1701" w:type="dxa"/>
            <w:tcBorders>
              <w:top w:val="nil"/>
              <w:left w:val="nil"/>
              <w:bottom w:val="single" w:sz="4" w:space="0" w:color="auto"/>
              <w:right w:val="single" w:sz="4" w:space="0" w:color="auto"/>
            </w:tcBorders>
            <w:shd w:val="clear" w:color="auto" w:fill="auto"/>
            <w:noWrap/>
            <w:vAlign w:val="center"/>
            <w:hideMark/>
          </w:tcPr>
          <w:p w14:paraId="148E6E0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3720446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6BEC39C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6071100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5A97585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0553CB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Tymbark</w:t>
            </w:r>
          </w:p>
        </w:tc>
        <w:tc>
          <w:tcPr>
            <w:tcW w:w="1701" w:type="dxa"/>
            <w:tcBorders>
              <w:top w:val="nil"/>
              <w:left w:val="nil"/>
              <w:bottom w:val="single" w:sz="4" w:space="0" w:color="auto"/>
              <w:right w:val="single" w:sz="4" w:space="0" w:color="auto"/>
            </w:tcBorders>
            <w:shd w:val="clear" w:color="auto" w:fill="auto"/>
            <w:noWrap/>
            <w:vAlign w:val="center"/>
            <w:hideMark/>
          </w:tcPr>
          <w:p w14:paraId="71081FC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limanowski</w:t>
            </w:r>
          </w:p>
        </w:tc>
        <w:tc>
          <w:tcPr>
            <w:tcW w:w="1418" w:type="dxa"/>
            <w:tcBorders>
              <w:top w:val="nil"/>
              <w:left w:val="nil"/>
              <w:bottom w:val="single" w:sz="4" w:space="0" w:color="auto"/>
              <w:right w:val="single" w:sz="4" w:space="0" w:color="auto"/>
            </w:tcBorders>
            <w:shd w:val="clear" w:color="auto" w:fill="auto"/>
            <w:noWrap/>
            <w:vAlign w:val="center"/>
            <w:hideMark/>
          </w:tcPr>
          <w:p w14:paraId="5FB7546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172DE83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5733001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46EA026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B2496E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Charsznica</w:t>
            </w:r>
          </w:p>
        </w:tc>
        <w:tc>
          <w:tcPr>
            <w:tcW w:w="1701" w:type="dxa"/>
            <w:tcBorders>
              <w:top w:val="nil"/>
              <w:left w:val="nil"/>
              <w:bottom w:val="single" w:sz="4" w:space="0" w:color="auto"/>
              <w:right w:val="single" w:sz="4" w:space="0" w:color="auto"/>
            </w:tcBorders>
            <w:shd w:val="clear" w:color="auto" w:fill="auto"/>
            <w:noWrap/>
            <w:vAlign w:val="center"/>
            <w:hideMark/>
          </w:tcPr>
          <w:p w14:paraId="45BD4C6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0A29898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768CCB2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125AF80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EA9E80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A6C004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Gołcza</w:t>
            </w:r>
          </w:p>
        </w:tc>
        <w:tc>
          <w:tcPr>
            <w:tcW w:w="1701" w:type="dxa"/>
            <w:tcBorders>
              <w:top w:val="nil"/>
              <w:left w:val="nil"/>
              <w:bottom w:val="single" w:sz="4" w:space="0" w:color="auto"/>
              <w:right w:val="single" w:sz="4" w:space="0" w:color="auto"/>
            </w:tcBorders>
            <w:shd w:val="clear" w:color="auto" w:fill="auto"/>
            <w:noWrap/>
            <w:vAlign w:val="center"/>
            <w:hideMark/>
          </w:tcPr>
          <w:p w14:paraId="3C53F7E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7C5AAE7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3DE3D8A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68FA8AC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56E75A6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372D3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Kozłów</w:t>
            </w:r>
          </w:p>
        </w:tc>
        <w:tc>
          <w:tcPr>
            <w:tcW w:w="1701" w:type="dxa"/>
            <w:tcBorders>
              <w:top w:val="nil"/>
              <w:left w:val="nil"/>
              <w:bottom w:val="single" w:sz="4" w:space="0" w:color="auto"/>
              <w:right w:val="single" w:sz="4" w:space="0" w:color="auto"/>
            </w:tcBorders>
            <w:shd w:val="clear" w:color="auto" w:fill="auto"/>
            <w:noWrap/>
            <w:vAlign w:val="center"/>
            <w:hideMark/>
          </w:tcPr>
          <w:p w14:paraId="6ACD396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5E20937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22C51A5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7E8F34B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4E9DFFF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48310B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Książ Wielki</w:t>
            </w:r>
          </w:p>
        </w:tc>
        <w:tc>
          <w:tcPr>
            <w:tcW w:w="1701" w:type="dxa"/>
            <w:tcBorders>
              <w:top w:val="nil"/>
              <w:left w:val="nil"/>
              <w:bottom w:val="single" w:sz="4" w:space="0" w:color="auto"/>
              <w:right w:val="single" w:sz="4" w:space="0" w:color="auto"/>
            </w:tcBorders>
            <w:shd w:val="clear" w:color="auto" w:fill="auto"/>
            <w:noWrap/>
            <w:vAlign w:val="center"/>
            <w:hideMark/>
          </w:tcPr>
          <w:p w14:paraId="3325B97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4947DFE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566193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18E2C4A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45612ED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E70CE3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Miechów</w:t>
            </w:r>
          </w:p>
        </w:tc>
        <w:tc>
          <w:tcPr>
            <w:tcW w:w="1701" w:type="dxa"/>
            <w:tcBorders>
              <w:top w:val="nil"/>
              <w:left w:val="nil"/>
              <w:bottom w:val="single" w:sz="4" w:space="0" w:color="auto"/>
              <w:right w:val="single" w:sz="4" w:space="0" w:color="auto"/>
            </w:tcBorders>
            <w:shd w:val="clear" w:color="auto" w:fill="auto"/>
            <w:noWrap/>
            <w:vAlign w:val="center"/>
            <w:hideMark/>
          </w:tcPr>
          <w:p w14:paraId="68A4E68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192BD5B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296 423</w:t>
            </w:r>
          </w:p>
        </w:tc>
        <w:tc>
          <w:tcPr>
            <w:tcW w:w="1417" w:type="dxa"/>
            <w:tcBorders>
              <w:top w:val="nil"/>
              <w:left w:val="nil"/>
              <w:bottom w:val="single" w:sz="4" w:space="0" w:color="auto"/>
              <w:right w:val="single" w:sz="4" w:space="0" w:color="auto"/>
            </w:tcBorders>
            <w:shd w:val="clear" w:color="auto" w:fill="auto"/>
            <w:vAlign w:val="center"/>
            <w:hideMark/>
          </w:tcPr>
          <w:p w14:paraId="41B32BD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103 788</w:t>
            </w:r>
          </w:p>
        </w:tc>
        <w:tc>
          <w:tcPr>
            <w:tcW w:w="1418" w:type="dxa"/>
            <w:tcBorders>
              <w:top w:val="nil"/>
              <w:left w:val="nil"/>
              <w:bottom w:val="single" w:sz="4" w:space="0" w:color="auto"/>
              <w:right w:val="single" w:sz="4" w:space="0" w:color="auto"/>
            </w:tcBorders>
            <w:shd w:val="clear" w:color="auto" w:fill="auto"/>
            <w:vAlign w:val="center"/>
            <w:hideMark/>
          </w:tcPr>
          <w:p w14:paraId="11A6C1B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44 467</w:t>
            </w:r>
          </w:p>
        </w:tc>
      </w:tr>
      <w:tr w:rsidR="009348AC" w:rsidRPr="00E56406" w14:paraId="70051F5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C4EC6E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Racławice</w:t>
            </w:r>
          </w:p>
        </w:tc>
        <w:tc>
          <w:tcPr>
            <w:tcW w:w="1701" w:type="dxa"/>
            <w:tcBorders>
              <w:top w:val="nil"/>
              <w:left w:val="nil"/>
              <w:bottom w:val="single" w:sz="4" w:space="0" w:color="auto"/>
              <w:right w:val="single" w:sz="4" w:space="0" w:color="auto"/>
            </w:tcBorders>
            <w:shd w:val="clear" w:color="auto" w:fill="auto"/>
            <w:noWrap/>
            <w:vAlign w:val="center"/>
            <w:hideMark/>
          </w:tcPr>
          <w:p w14:paraId="3531226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3901696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0635D0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598C221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07FC744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F90ACB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Słaboszów</w:t>
            </w:r>
          </w:p>
        </w:tc>
        <w:tc>
          <w:tcPr>
            <w:tcW w:w="1701" w:type="dxa"/>
            <w:tcBorders>
              <w:top w:val="nil"/>
              <w:left w:val="nil"/>
              <w:bottom w:val="single" w:sz="4" w:space="0" w:color="auto"/>
              <w:right w:val="single" w:sz="4" w:space="0" w:color="auto"/>
            </w:tcBorders>
            <w:shd w:val="clear" w:color="auto" w:fill="auto"/>
            <w:noWrap/>
            <w:vAlign w:val="center"/>
            <w:hideMark/>
          </w:tcPr>
          <w:p w14:paraId="3C3ECD6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miechowski</w:t>
            </w:r>
          </w:p>
        </w:tc>
        <w:tc>
          <w:tcPr>
            <w:tcW w:w="1418" w:type="dxa"/>
            <w:tcBorders>
              <w:top w:val="nil"/>
              <w:left w:val="nil"/>
              <w:bottom w:val="single" w:sz="4" w:space="0" w:color="auto"/>
              <w:right w:val="single" w:sz="4" w:space="0" w:color="auto"/>
            </w:tcBorders>
            <w:shd w:val="clear" w:color="auto" w:fill="auto"/>
            <w:noWrap/>
            <w:vAlign w:val="center"/>
            <w:hideMark/>
          </w:tcPr>
          <w:p w14:paraId="505B025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4E74E11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74EB753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1DEAF8E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B04C12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Dobczyce</w:t>
            </w:r>
          </w:p>
        </w:tc>
        <w:tc>
          <w:tcPr>
            <w:tcW w:w="1701" w:type="dxa"/>
            <w:tcBorders>
              <w:top w:val="nil"/>
              <w:left w:val="nil"/>
              <w:bottom w:val="single" w:sz="4" w:space="0" w:color="auto"/>
              <w:right w:val="single" w:sz="4" w:space="0" w:color="auto"/>
            </w:tcBorders>
            <w:shd w:val="clear" w:color="auto" w:fill="auto"/>
            <w:noWrap/>
            <w:vAlign w:val="center"/>
            <w:hideMark/>
          </w:tcPr>
          <w:p w14:paraId="007298F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4763CEC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B01140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5369D3B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19E15D6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A5B9A5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Lubień</w:t>
            </w:r>
          </w:p>
        </w:tc>
        <w:tc>
          <w:tcPr>
            <w:tcW w:w="1701" w:type="dxa"/>
            <w:tcBorders>
              <w:top w:val="nil"/>
              <w:left w:val="nil"/>
              <w:bottom w:val="single" w:sz="4" w:space="0" w:color="auto"/>
              <w:right w:val="single" w:sz="4" w:space="0" w:color="auto"/>
            </w:tcBorders>
            <w:shd w:val="clear" w:color="auto" w:fill="auto"/>
            <w:noWrap/>
            <w:vAlign w:val="center"/>
            <w:hideMark/>
          </w:tcPr>
          <w:p w14:paraId="073C24E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2960F8C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834C6F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BC2591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751CD6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5C9880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Myślenice</w:t>
            </w:r>
          </w:p>
        </w:tc>
        <w:tc>
          <w:tcPr>
            <w:tcW w:w="1701" w:type="dxa"/>
            <w:tcBorders>
              <w:top w:val="nil"/>
              <w:left w:val="nil"/>
              <w:bottom w:val="single" w:sz="4" w:space="0" w:color="auto"/>
              <w:right w:val="single" w:sz="4" w:space="0" w:color="auto"/>
            </w:tcBorders>
            <w:shd w:val="clear" w:color="auto" w:fill="auto"/>
            <w:noWrap/>
            <w:vAlign w:val="center"/>
            <w:hideMark/>
          </w:tcPr>
          <w:p w14:paraId="4F74F45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54CED8F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1E66656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594C186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6D85CCF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843123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Pcim</w:t>
            </w:r>
          </w:p>
        </w:tc>
        <w:tc>
          <w:tcPr>
            <w:tcW w:w="1701" w:type="dxa"/>
            <w:tcBorders>
              <w:top w:val="nil"/>
              <w:left w:val="nil"/>
              <w:bottom w:val="single" w:sz="4" w:space="0" w:color="auto"/>
              <w:right w:val="single" w:sz="4" w:space="0" w:color="auto"/>
            </w:tcBorders>
            <w:shd w:val="clear" w:color="auto" w:fill="auto"/>
            <w:noWrap/>
            <w:vAlign w:val="center"/>
            <w:hideMark/>
          </w:tcPr>
          <w:p w14:paraId="401F6BC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10758A9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85223D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52359AF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B646FD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116040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Raciechowice</w:t>
            </w:r>
          </w:p>
        </w:tc>
        <w:tc>
          <w:tcPr>
            <w:tcW w:w="1701" w:type="dxa"/>
            <w:tcBorders>
              <w:top w:val="nil"/>
              <w:left w:val="nil"/>
              <w:bottom w:val="single" w:sz="4" w:space="0" w:color="auto"/>
              <w:right w:val="single" w:sz="4" w:space="0" w:color="auto"/>
            </w:tcBorders>
            <w:shd w:val="clear" w:color="auto" w:fill="auto"/>
            <w:noWrap/>
            <w:vAlign w:val="center"/>
            <w:hideMark/>
          </w:tcPr>
          <w:p w14:paraId="04A4DBE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43950D9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4836A66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7399B93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22716EE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236FB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Siepraw</w:t>
            </w:r>
          </w:p>
        </w:tc>
        <w:tc>
          <w:tcPr>
            <w:tcW w:w="1701" w:type="dxa"/>
            <w:tcBorders>
              <w:top w:val="nil"/>
              <w:left w:val="nil"/>
              <w:bottom w:val="single" w:sz="4" w:space="0" w:color="auto"/>
              <w:right w:val="single" w:sz="4" w:space="0" w:color="auto"/>
            </w:tcBorders>
            <w:shd w:val="clear" w:color="auto" w:fill="auto"/>
            <w:noWrap/>
            <w:vAlign w:val="center"/>
            <w:hideMark/>
          </w:tcPr>
          <w:p w14:paraId="7582570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2451E90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105 865</w:t>
            </w:r>
          </w:p>
        </w:tc>
        <w:tc>
          <w:tcPr>
            <w:tcW w:w="1417" w:type="dxa"/>
            <w:tcBorders>
              <w:top w:val="nil"/>
              <w:left w:val="nil"/>
              <w:bottom w:val="single" w:sz="4" w:space="0" w:color="auto"/>
              <w:right w:val="single" w:sz="4" w:space="0" w:color="auto"/>
            </w:tcBorders>
            <w:shd w:val="clear" w:color="auto" w:fill="auto"/>
            <w:vAlign w:val="center"/>
            <w:hideMark/>
          </w:tcPr>
          <w:p w14:paraId="7564CB9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37 067</w:t>
            </w:r>
          </w:p>
        </w:tc>
        <w:tc>
          <w:tcPr>
            <w:tcW w:w="1418" w:type="dxa"/>
            <w:tcBorders>
              <w:top w:val="nil"/>
              <w:left w:val="nil"/>
              <w:bottom w:val="single" w:sz="4" w:space="0" w:color="auto"/>
              <w:right w:val="single" w:sz="4" w:space="0" w:color="auto"/>
            </w:tcBorders>
            <w:shd w:val="clear" w:color="auto" w:fill="auto"/>
            <w:vAlign w:val="center"/>
            <w:hideMark/>
          </w:tcPr>
          <w:p w14:paraId="36E24B5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15 881</w:t>
            </w:r>
          </w:p>
        </w:tc>
      </w:tr>
      <w:tr w:rsidR="009348AC" w:rsidRPr="00E56406" w14:paraId="1C0FF32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4B73D2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Sułkowice</w:t>
            </w:r>
          </w:p>
        </w:tc>
        <w:tc>
          <w:tcPr>
            <w:tcW w:w="1701" w:type="dxa"/>
            <w:tcBorders>
              <w:top w:val="nil"/>
              <w:left w:val="nil"/>
              <w:bottom w:val="single" w:sz="4" w:space="0" w:color="auto"/>
              <w:right w:val="single" w:sz="4" w:space="0" w:color="auto"/>
            </w:tcBorders>
            <w:shd w:val="clear" w:color="auto" w:fill="auto"/>
            <w:noWrap/>
            <w:vAlign w:val="center"/>
            <w:hideMark/>
          </w:tcPr>
          <w:p w14:paraId="34B2AAD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455186B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254 077</w:t>
            </w:r>
          </w:p>
        </w:tc>
        <w:tc>
          <w:tcPr>
            <w:tcW w:w="1417" w:type="dxa"/>
            <w:tcBorders>
              <w:top w:val="nil"/>
              <w:left w:val="nil"/>
              <w:bottom w:val="single" w:sz="4" w:space="0" w:color="auto"/>
              <w:right w:val="single" w:sz="4" w:space="0" w:color="auto"/>
            </w:tcBorders>
            <w:shd w:val="clear" w:color="auto" w:fill="auto"/>
            <w:vAlign w:val="center"/>
            <w:hideMark/>
          </w:tcPr>
          <w:p w14:paraId="63AA480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88 961</w:t>
            </w:r>
          </w:p>
        </w:tc>
        <w:tc>
          <w:tcPr>
            <w:tcW w:w="1418" w:type="dxa"/>
            <w:tcBorders>
              <w:top w:val="nil"/>
              <w:left w:val="nil"/>
              <w:bottom w:val="single" w:sz="4" w:space="0" w:color="auto"/>
              <w:right w:val="single" w:sz="4" w:space="0" w:color="auto"/>
            </w:tcBorders>
            <w:shd w:val="clear" w:color="auto" w:fill="auto"/>
            <w:vAlign w:val="center"/>
            <w:hideMark/>
          </w:tcPr>
          <w:p w14:paraId="16998F0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38 115</w:t>
            </w:r>
          </w:p>
        </w:tc>
      </w:tr>
      <w:tr w:rsidR="009348AC" w:rsidRPr="00E56406" w14:paraId="2DEB482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AEF03B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Tokarnia</w:t>
            </w:r>
          </w:p>
        </w:tc>
        <w:tc>
          <w:tcPr>
            <w:tcW w:w="1701" w:type="dxa"/>
            <w:tcBorders>
              <w:top w:val="nil"/>
              <w:left w:val="nil"/>
              <w:bottom w:val="single" w:sz="4" w:space="0" w:color="auto"/>
              <w:right w:val="single" w:sz="4" w:space="0" w:color="auto"/>
            </w:tcBorders>
            <w:shd w:val="clear" w:color="auto" w:fill="auto"/>
            <w:noWrap/>
            <w:vAlign w:val="center"/>
            <w:hideMark/>
          </w:tcPr>
          <w:p w14:paraId="2E6D7AD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390D4B6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4E12F0C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47AC093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49D45DF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63C7FC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Wiśniowa</w:t>
            </w:r>
          </w:p>
        </w:tc>
        <w:tc>
          <w:tcPr>
            <w:tcW w:w="1701" w:type="dxa"/>
            <w:tcBorders>
              <w:top w:val="nil"/>
              <w:left w:val="nil"/>
              <w:bottom w:val="single" w:sz="4" w:space="0" w:color="auto"/>
              <w:right w:val="single" w:sz="4" w:space="0" w:color="auto"/>
            </w:tcBorders>
            <w:shd w:val="clear" w:color="auto" w:fill="auto"/>
            <w:noWrap/>
            <w:vAlign w:val="center"/>
            <w:hideMark/>
          </w:tcPr>
          <w:p w14:paraId="49FDB25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myślenicki</w:t>
            </w:r>
          </w:p>
        </w:tc>
        <w:tc>
          <w:tcPr>
            <w:tcW w:w="1418" w:type="dxa"/>
            <w:tcBorders>
              <w:top w:val="nil"/>
              <w:left w:val="nil"/>
              <w:bottom w:val="single" w:sz="4" w:space="0" w:color="auto"/>
              <w:right w:val="single" w:sz="4" w:space="0" w:color="auto"/>
            </w:tcBorders>
            <w:shd w:val="clear" w:color="auto" w:fill="auto"/>
            <w:noWrap/>
            <w:vAlign w:val="center"/>
            <w:hideMark/>
          </w:tcPr>
          <w:p w14:paraId="24AF289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6EB50E2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32ED048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53F00DC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32627F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Chełmiec</w:t>
            </w:r>
          </w:p>
        </w:tc>
        <w:tc>
          <w:tcPr>
            <w:tcW w:w="1701" w:type="dxa"/>
            <w:tcBorders>
              <w:top w:val="nil"/>
              <w:left w:val="nil"/>
              <w:bottom w:val="single" w:sz="4" w:space="0" w:color="auto"/>
              <w:right w:val="single" w:sz="4" w:space="0" w:color="auto"/>
            </w:tcBorders>
            <w:shd w:val="clear" w:color="auto" w:fill="auto"/>
            <w:noWrap/>
            <w:vAlign w:val="center"/>
            <w:hideMark/>
          </w:tcPr>
          <w:p w14:paraId="19D8415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185078C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62357A8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38A95A0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30F6BBD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B4E0E9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Gródek nad Dunajcem</w:t>
            </w:r>
          </w:p>
        </w:tc>
        <w:tc>
          <w:tcPr>
            <w:tcW w:w="1701" w:type="dxa"/>
            <w:tcBorders>
              <w:top w:val="nil"/>
              <w:left w:val="nil"/>
              <w:bottom w:val="single" w:sz="4" w:space="0" w:color="auto"/>
              <w:right w:val="single" w:sz="4" w:space="0" w:color="auto"/>
            </w:tcBorders>
            <w:shd w:val="clear" w:color="auto" w:fill="auto"/>
            <w:noWrap/>
            <w:vAlign w:val="center"/>
            <w:hideMark/>
          </w:tcPr>
          <w:p w14:paraId="3C93B67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09CCB34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D056FE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4A38A2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53FDAE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49165F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Grybów</w:t>
            </w:r>
          </w:p>
        </w:tc>
        <w:tc>
          <w:tcPr>
            <w:tcW w:w="1701" w:type="dxa"/>
            <w:tcBorders>
              <w:top w:val="nil"/>
              <w:left w:val="nil"/>
              <w:bottom w:val="single" w:sz="4" w:space="0" w:color="auto"/>
              <w:right w:val="single" w:sz="4" w:space="0" w:color="auto"/>
            </w:tcBorders>
            <w:shd w:val="clear" w:color="auto" w:fill="auto"/>
            <w:noWrap/>
            <w:vAlign w:val="center"/>
            <w:hideMark/>
          </w:tcPr>
          <w:p w14:paraId="5900E74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12B4898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514 204</w:t>
            </w:r>
          </w:p>
        </w:tc>
        <w:tc>
          <w:tcPr>
            <w:tcW w:w="1417" w:type="dxa"/>
            <w:tcBorders>
              <w:top w:val="nil"/>
              <w:left w:val="nil"/>
              <w:bottom w:val="single" w:sz="4" w:space="0" w:color="auto"/>
              <w:right w:val="single" w:sz="4" w:space="0" w:color="auto"/>
            </w:tcBorders>
            <w:shd w:val="clear" w:color="auto" w:fill="auto"/>
            <w:vAlign w:val="center"/>
            <w:hideMark/>
          </w:tcPr>
          <w:p w14:paraId="330BA1A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180 040</w:t>
            </w:r>
          </w:p>
        </w:tc>
        <w:tc>
          <w:tcPr>
            <w:tcW w:w="1418" w:type="dxa"/>
            <w:tcBorders>
              <w:top w:val="nil"/>
              <w:left w:val="nil"/>
              <w:bottom w:val="single" w:sz="4" w:space="0" w:color="auto"/>
              <w:right w:val="single" w:sz="4" w:space="0" w:color="auto"/>
            </w:tcBorders>
            <w:shd w:val="clear" w:color="auto" w:fill="auto"/>
            <w:vAlign w:val="center"/>
            <w:hideMark/>
          </w:tcPr>
          <w:p w14:paraId="60457FA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77 138</w:t>
            </w:r>
          </w:p>
        </w:tc>
      </w:tr>
      <w:tr w:rsidR="009348AC" w:rsidRPr="00E56406" w14:paraId="5CAE660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DBE901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Grybów miasto</w:t>
            </w:r>
          </w:p>
        </w:tc>
        <w:tc>
          <w:tcPr>
            <w:tcW w:w="1701" w:type="dxa"/>
            <w:tcBorders>
              <w:top w:val="nil"/>
              <w:left w:val="nil"/>
              <w:bottom w:val="single" w:sz="4" w:space="0" w:color="auto"/>
              <w:right w:val="single" w:sz="4" w:space="0" w:color="auto"/>
            </w:tcBorders>
            <w:shd w:val="clear" w:color="auto" w:fill="auto"/>
            <w:noWrap/>
            <w:vAlign w:val="center"/>
            <w:hideMark/>
          </w:tcPr>
          <w:p w14:paraId="72AA7B9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1154941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74C22BC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5815F03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44D6F9E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98DA6F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Kamionka Wielka</w:t>
            </w:r>
          </w:p>
        </w:tc>
        <w:tc>
          <w:tcPr>
            <w:tcW w:w="1701" w:type="dxa"/>
            <w:tcBorders>
              <w:top w:val="nil"/>
              <w:left w:val="nil"/>
              <w:bottom w:val="single" w:sz="4" w:space="0" w:color="auto"/>
              <w:right w:val="single" w:sz="4" w:space="0" w:color="auto"/>
            </w:tcBorders>
            <w:shd w:val="clear" w:color="auto" w:fill="auto"/>
            <w:noWrap/>
            <w:vAlign w:val="center"/>
            <w:hideMark/>
          </w:tcPr>
          <w:p w14:paraId="3A4A111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467E794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7CFF24B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6330090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08807EE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63EF5A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Korzenna</w:t>
            </w:r>
          </w:p>
        </w:tc>
        <w:tc>
          <w:tcPr>
            <w:tcW w:w="1701" w:type="dxa"/>
            <w:tcBorders>
              <w:top w:val="nil"/>
              <w:left w:val="nil"/>
              <w:bottom w:val="single" w:sz="4" w:space="0" w:color="auto"/>
              <w:right w:val="single" w:sz="4" w:space="0" w:color="auto"/>
            </w:tcBorders>
            <w:shd w:val="clear" w:color="auto" w:fill="auto"/>
            <w:noWrap/>
            <w:vAlign w:val="center"/>
            <w:hideMark/>
          </w:tcPr>
          <w:p w14:paraId="3861F6F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214CDEB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1D07E82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5362987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62A1F1E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490293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Krynica-Zdrój</w:t>
            </w:r>
          </w:p>
        </w:tc>
        <w:tc>
          <w:tcPr>
            <w:tcW w:w="1701" w:type="dxa"/>
            <w:tcBorders>
              <w:top w:val="nil"/>
              <w:left w:val="nil"/>
              <w:bottom w:val="single" w:sz="4" w:space="0" w:color="auto"/>
              <w:right w:val="single" w:sz="4" w:space="0" w:color="auto"/>
            </w:tcBorders>
            <w:shd w:val="clear" w:color="auto" w:fill="auto"/>
            <w:noWrap/>
            <w:vAlign w:val="center"/>
            <w:hideMark/>
          </w:tcPr>
          <w:p w14:paraId="69894A7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52FB89C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296 423</w:t>
            </w:r>
          </w:p>
        </w:tc>
        <w:tc>
          <w:tcPr>
            <w:tcW w:w="1417" w:type="dxa"/>
            <w:tcBorders>
              <w:top w:val="nil"/>
              <w:left w:val="nil"/>
              <w:bottom w:val="single" w:sz="4" w:space="0" w:color="auto"/>
              <w:right w:val="single" w:sz="4" w:space="0" w:color="auto"/>
            </w:tcBorders>
            <w:shd w:val="clear" w:color="auto" w:fill="auto"/>
            <w:vAlign w:val="center"/>
            <w:hideMark/>
          </w:tcPr>
          <w:p w14:paraId="16E0A3F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103 788</w:t>
            </w:r>
          </w:p>
        </w:tc>
        <w:tc>
          <w:tcPr>
            <w:tcW w:w="1418" w:type="dxa"/>
            <w:tcBorders>
              <w:top w:val="nil"/>
              <w:left w:val="nil"/>
              <w:bottom w:val="single" w:sz="4" w:space="0" w:color="auto"/>
              <w:right w:val="single" w:sz="4" w:space="0" w:color="auto"/>
            </w:tcBorders>
            <w:shd w:val="clear" w:color="auto" w:fill="auto"/>
            <w:vAlign w:val="center"/>
            <w:hideMark/>
          </w:tcPr>
          <w:p w14:paraId="42FF991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44 467</w:t>
            </w:r>
          </w:p>
        </w:tc>
      </w:tr>
      <w:tr w:rsidR="009348AC" w:rsidRPr="00E56406" w14:paraId="6DD4288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9CB361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Łabowa</w:t>
            </w:r>
          </w:p>
        </w:tc>
        <w:tc>
          <w:tcPr>
            <w:tcW w:w="1701" w:type="dxa"/>
            <w:tcBorders>
              <w:top w:val="nil"/>
              <w:left w:val="nil"/>
              <w:bottom w:val="single" w:sz="4" w:space="0" w:color="auto"/>
              <w:right w:val="single" w:sz="4" w:space="0" w:color="auto"/>
            </w:tcBorders>
            <w:shd w:val="clear" w:color="auto" w:fill="auto"/>
            <w:noWrap/>
            <w:vAlign w:val="center"/>
            <w:hideMark/>
          </w:tcPr>
          <w:p w14:paraId="03E6E92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4C8B13B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E806D8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FF6E5A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C1D6B1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F24AC1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Łącko</w:t>
            </w:r>
          </w:p>
        </w:tc>
        <w:tc>
          <w:tcPr>
            <w:tcW w:w="1701" w:type="dxa"/>
            <w:tcBorders>
              <w:top w:val="nil"/>
              <w:left w:val="nil"/>
              <w:bottom w:val="single" w:sz="4" w:space="0" w:color="auto"/>
              <w:right w:val="single" w:sz="4" w:space="0" w:color="auto"/>
            </w:tcBorders>
            <w:shd w:val="clear" w:color="auto" w:fill="auto"/>
            <w:noWrap/>
            <w:vAlign w:val="center"/>
            <w:hideMark/>
          </w:tcPr>
          <w:p w14:paraId="3CEC07B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45EFD07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423 462</w:t>
            </w:r>
          </w:p>
        </w:tc>
        <w:tc>
          <w:tcPr>
            <w:tcW w:w="1417" w:type="dxa"/>
            <w:tcBorders>
              <w:top w:val="nil"/>
              <w:left w:val="nil"/>
              <w:bottom w:val="single" w:sz="4" w:space="0" w:color="auto"/>
              <w:right w:val="single" w:sz="4" w:space="0" w:color="auto"/>
            </w:tcBorders>
            <w:shd w:val="clear" w:color="auto" w:fill="auto"/>
            <w:vAlign w:val="center"/>
            <w:hideMark/>
          </w:tcPr>
          <w:p w14:paraId="1C1D43C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148 268</w:t>
            </w:r>
          </w:p>
        </w:tc>
        <w:tc>
          <w:tcPr>
            <w:tcW w:w="1418" w:type="dxa"/>
            <w:tcBorders>
              <w:top w:val="nil"/>
              <w:left w:val="nil"/>
              <w:bottom w:val="single" w:sz="4" w:space="0" w:color="auto"/>
              <w:right w:val="single" w:sz="4" w:space="0" w:color="auto"/>
            </w:tcBorders>
            <w:shd w:val="clear" w:color="auto" w:fill="auto"/>
            <w:vAlign w:val="center"/>
            <w:hideMark/>
          </w:tcPr>
          <w:p w14:paraId="29BE7F1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63 525</w:t>
            </w:r>
          </w:p>
        </w:tc>
      </w:tr>
      <w:tr w:rsidR="009348AC" w:rsidRPr="00E56406" w14:paraId="63C52C0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FA343B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Łososina Dolna</w:t>
            </w:r>
          </w:p>
        </w:tc>
        <w:tc>
          <w:tcPr>
            <w:tcW w:w="1701" w:type="dxa"/>
            <w:tcBorders>
              <w:top w:val="nil"/>
              <w:left w:val="nil"/>
              <w:bottom w:val="single" w:sz="4" w:space="0" w:color="auto"/>
              <w:right w:val="single" w:sz="4" w:space="0" w:color="auto"/>
            </w:tcBorders>
            <w:shd w:val="clear" w:color="auto" w:fill="auto"/>
            <w:noWrap/>
            <w:vAlign w:val="center"/>
            <w:hideMark/>
          </w:tcPr>
          <w:p w14:paraId="156A0AA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202707C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14621AB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12A8760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559DEB8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E36226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Muszyna</w:t>
            </w:r>
          </w:p>
        </w:tc>
        <w:tc>
          <w:tcPr>
            <w:tcW w:w="1701" w:type="dxa"/>
            <w:tcBorders>
              <w:top w:val="nil"/>
              <w:left w:val="nil"/>
              <w:bottom w:val="single" w:sz="4" w:space="0" w:color="auto"/>
              <w:right w:val="single" w:sz="4" w:space="0" w:color="auto"/>
            </w:tcBorders>
            <w:shd w:val="clear" w:color="auto" w:fill="auto"/>
            <w:noWrap/>
            <w:vAlign w:val="center"/>
            <w:hideMark/>
          </w:tcPr>
          <w:p w14:paraId="1DD3269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487CE9F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7B27900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37CD2F5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0FE12E5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66097F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Nawojowa</w:t>
            </w:r>
          </w:p>
        </w:tc>
        <w:tc>
          <w:tcPr>
            <w:tcW w:w="1701" w:type="dxa"/>
            <w:tcBorders>
              <w:top w:val="nil"/>
              <w:left w:val="nil"/>
              <w:bottom w:val="single" w:sz="4" w:space="0" w:color="auto"/>
              <w:right w:val="single" w:sz="4" w:space="0" w:color="auto"/>
            </w:tcBorders>
            <w:shd w:val="clear" w:color="auto" w:fill="auto"/>
            <w:noWrap/>
            <w:vAlign w:val="center"/>
            <w:hideMark/>
          </w:tcPr>
          <w:p w14:paraId="62B2D25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013C5E3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3F78BE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ABEAC3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AB30F7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CBB022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Piwniczna-Zdrój</w:t>
            </w:r>
          </w:p>
        </w:tc>
        <w:tc>
          <w:tcPr>
            <w:tcW w:w="1701" w:type="dxa"/>
            <w:tcBorders>
              <w:top w:val="nil"/>
              <w:left w:val="nil"/>
              <w:bottom w:val="single" w:sz="4" w:space="0" w:color="auto"/>
              <w:right w:val="single" w:sz="4" w:space="0" w:color="auto"/>
            </w:tcBorders>
            <w:shd w:val="clear" w:color="auto" w:fill="auto"/>
            <w:noWrap/>
            <w:vAlign w:val="center"/>
            <w:hideMark/>
          </w:tcPr>
          <w:p w14:paraId="3D4EE13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1622102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33D1C17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10F6E4C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0283937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2642C8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Podegrodzie</w:t>
            </w:r>
          </w:p>
        </w:tc>
        <w:tc>
          <w:tcPr>
            <w:tcW w:w="1701" w:type="dxa"/>
            <w:tcBorders>
              <w:top w:val="nil"/>
              <w:left w:val="nil"/>
              <w:bottom w:val="single" w:sz="4" w:space="0" w:color="auto"/>
              <w:right w:val="single" w:sz="4" w:space="0" w:color="auto"/>
            </w:tcBorders>
            <w:shd w:val="clear" w:color="auto" w:fill="auto"/>
            <w:noWrap/>
            <w:vAlign w:val="center"/>
            <w:hideMark/>
          </w:tcPr>
          <w:p w14:paraId="080D260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7B781B6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49BF2D5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463BE31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7261D24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CBD193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Rytro</w:t>
            </w:r>
          </w:p>
        </w:tc>
        <w:tc>
          <w:tcPr>
            <w:tcW w:w="1701" w:type="dxa"/>
            <w:tcBorders>
              <w:top w:val="nil"/>
              <w:left w:val="nil"/>
              <w:bottom w:val="single" w:sz="4" w:space="0" w:color="auto"/>
              <w:right w:val="single" w:sz="4" w:space="0" w:color="auto"/>
            </w:tcBorders>
            <w:shd w:val="clear" w:color="auto" w:fill="auto"/>
            <w:noWrap/>
            <w:vAlign w:val="center"/>
            <w:hideMark/>
          </w:tcPr>
          <w:p w14:paraId="4D7D3CC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5891A16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65E9FEC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5CDF022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029B1E8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DCBE3C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Stary Sącz</w:t>
            </w:r>
          </w:p>
        </w:tc>
        <w:tc>
          <w:tcPr>
            <w:tcW w:w="1701" w:type="dxa"/>
            <w:tcBorders>
              <w:top w:val="nil"/>
              <w:left w:val="nil"/>
              <w:bottom w:val="single" w:sz="4" w:space="0" w:color="auto"/>
              <w:right w:val="single" w:sz="4" w:space="0" w:color="auto"/>
            </w:tcBorders>
            <w:shd w:val="clear" w:color="auto" w:fill="auto"/>
            <w:noWrap/>
            <w:vAlign w:val="center"/>
            <w:hideMark/>
          </w:tcPr>
          <w:p w14:paraId="01EE0CF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nowosądecki</w:t>
            </w:r>
          </w:p>
        </w:tc>
        <w:tc>
          <w:tcPr>
            <w:tcW w:w="1418" w:type="dxa"/>
            <w:tcBorders>
              <w:top w:val="nil"/>
              <w:left w:val="nil"/>
              <w:bottom w:val="single" w:sz="4" w:space="0" w:color="auto"/>
              <w:right w:val="single" w:sz="4" w:space="0" w:color="auto"/>
            </w:tcBorders>
            <w:shd w:val="clear" w:color="auto" w:fill="auto"/>
            <w:noWrap/>
            <w:vAlign w:val="center"/>
            <w:hideMark/>
          </w:tcPr>
          <w:p w14:paraId="2473C74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514 204</w:t>
            </w:r>
          </w:p>
        </w:tc>
        <w:tc>
          <w:tcPr>
            <w:tcW w:w="1417" w:type="dxa"/>
            <w:tcBorders>
              <w:top w:val="nil"/>
              <w:left w:val="nil"/>
              <w:bottom w:val="single" w:sz="4" w:space="0" w:color="auto"/>
              <w:right w:val="single" w:sz="4" w:space="0" w:color="auto"/>
            </w:tcBorders>
            <w:shd w:val="clear" w:color="auto" w:fill="auto"/>
            <w:vAlign w:val="center"/>
            <w:hideMark/>
          </w:tcPr>
          <w:p w14:paraId="08B1CCF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180 040</w:t>
            </w:r>
          </w:p>
        </w:tc>
        <w:tc>
          <w:tcPr>
            <w:tcW w:w="1418" w:type="dxa"/>
            <w:tcBorders>
              <w:top w:val="nil"/>
              <w:left w:val="nil"/>
              <w:bottom w:val="single" w:sz="4" w:space="0" w:color="auto"/>
              <w:right w:val="single" w:sz="4" w:space="0" w:color="auto"/>
            </w:tcBorders>
            <w:shd w:val="clear" w:color="auto" w:fill="auto"/>
            <w:vAlign w:val="center"/>
            <w:hideMark/>
          </w:tcPr>
          <w:p w14:paraId="280FD64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77 138</w:t>
            </w:r>
          </w:p>
        </w:tc>
      </w:tr>
      <w:tr w:rsidR="009348AC" w:rsidRPr="00E56406" w14:paraId="01CA9D9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3EF139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Czarny Dunajec</w:t>
            </w:r>
          </w:p>
        </w:tc>
        <w:tc>
          <w:tcPr>
            <w:tcW w:w="1701" w:type="dxa"/>
            <w:tcBorders>
              <w:top w:val="nil"/>
              <w:left w:val="nil"/>
              <w:bottom w:val="single" w:sz="4" w:space="0" w:color="auto"/>
              <w:right w:val="single" w:sz="4" w:space="0" w:color="auto"/>
            </w:tcBorders>
            <w:shd w:val="clear" w:color="auto" w:fill="auto"/>
            <w:noWrap/>
            <w:vAlign w:val="center"/>
            <w:hideMark/>
          </w:tcPr>
          <w:p w14:paraId="55D0171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2B12F93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514 204</w:t>
            </w:r>
          </w:p>
        </w:tc>
        <w:tc>
          <w:tcPr>
            <w:tcW w:w="1417" w:type="dxa"/>
            <w:tcBorders>
              <w:top w:val="nil"/>
              <w:left w:val="nil"/>
              <w:bottom w:val="single" w:sz="4" w:space="0" w:color="auto"/>
              <w:right w:val="single" w:sz="4" w:space="0" w:color="auto"/>
            </w:tcBorders>
            <w:shd w:val="clear" w:color="auto" w:fill="auto"/>
            <w:vAlign w:val="center"/>
            <w:hideMark/>
          </w:tcPr>
          <w:p w14:paraId="11F08D3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180 040</w:t>
            </w:r>
          </w:p>
        </w:tc>
        <w:tc>
          <w:tcPr>
            <w:tcW w:w="1418" w:type="dxa"/>
            <w:tcBorders>
              <w:top w:val="nil"/>
              <w:left w:val="nil"/>
              <w:bottom w:val="single" w:sz="4" w:space="0" w:color="auto"/>
              <w:right w:val="single" w:sz="4" w:space="0" w:color="auto"/>
            </w:tcBorders>
            <w:shd w:val="clear" w:color="auto" w:fill="auto"/>
            <w:vAlign w:val="center"/>
            <w:hideMark/>
          </w:tcPr>
          <w:p w14:paraId="5466AB6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77 138</w:t>
            </w:r>
          </w:p>
        </w:tc>
      </w:tr>
      <w:tr w:rsidR="009348AC" w:rsidRPr="00E56406" w14:paraId="4417DCC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50D219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Czorsztyn</w:t>
            </w:r>
          </w:p>
        </w:tc>
        <w:tc>
          <w:tcPr>
            <w:tcW w:w="1701" w:type="dxa"/>
            <w:tcBorders>
              <w:top w:val="nil"/>
              <w:left w:val="nil"/>
              <w:bottom w:val="single" w:sz="4" w:space="0" w:color="auto"/>
              <w:right w:val="single" w:sz="4" w:space="0" w:color="auto"/>
            </w:tcBorders>
            <w:shd w:val="clear" w:color="auto" w:fill="auto"/>
            <w:noWrap/>
            <w:vAlign w:val="center"/>
            <w:hideMark/>
          </w:tcPr>
          <w:p w14:paraId="73CDA4D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3339FC4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528F71A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6408E3C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5A27154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27EA08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Jabłonka</w:t>
            </w:r>
          </w:p>
        </w:tc>
        <w:tc>
          <w:tcPr>
            <w:tcW w:w="1701" w:type="dxa"/>
            <w:tcBorders>
              <w:top w:val="nil"/>
              <w:left w:val="nil"/>
              <w:bottom w:val="single" w:sz="4" w:space="0" w:color="auto"/>
              <w:right w:val="single" w:sz="4" w:space="0" w:color="auto"/>
            </w:tcBorders>
            <w:shd w:val="clear" w:color="auto" w:fill="auto"/>
            <w:noWrap/>
            <w:vAlign w:val="center"/>
            <w:hideMark/>
          </w:tcPr>
          <w:p w14:paraId="2EE239A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37C9D1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547F5FD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358C15A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32666EE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86964A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Krościenko nad Dunajcem</w:t>
            </w:r>
          </w:p>
        </w:tc>
        <w:tc>
          <w:tcPr>
            <w:tcW w:w="1701" w:type="dxa"/>
            <w:tcBorders>
              <w:top w:val="nil"/>
              <w:left w:val="nil"/>
              <w:bottom w:val="single" w:sz="4" w:space="0" w:color="auto"/>
              <w:right w:val="single" w:sz="4" w:space="0" w:color="auto"/>
            </w:tcBorders>
            <w:shd w:val="clear" w:color="auto" w:fill="auto"/>
            <w:noWrap/>
            <w:vAlign w:val="center"/>
            <w:hideMark/>
          </w:tcPr>
          <w:p w14:paraId="6E46EBD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31D1EE5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5DB1870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7E94ED7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09BBFCD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EB9863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Lipnica Wielka</w:t>
            </w:r>
          </w:p>
        </w:tc>
        <w:tc>
          <w:tcPr>
            <w:tcW w:w="1701" w:type="dxa"/>
            <w:tcBorders>
              <w:top w:val="nil"/>
              <w:left w:val="nil"/>
              <w:bottom w:val="single" w:sz="4" w:space="0" w:color="auto"/>
              <w:right w:val="single" w:sz="4" w:space="0" w:color="auto"/>
            </w:tcBorders>
            <w:shd w:val="clear" w:color="auto" w:fill="auto"/>
            <w:noWrap/>
            <w:vAlign w:val="center"/>
            <w:hideMark/>
          </w:tcPr>
          <w:p w14:paraId="4E5D92F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76DCCC8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FA0127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0AF23A8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11C11D6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BDFE65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Łapsze Niżna</w:t>
            </w:r>
          </w:p>
        </w:tc>
        <w:tc>
          <w:tcPr>
            <w:tcW w:w="1701" w:type="dxa"/>
            <w:tcBorders>
              <w:top w:val="nil"/>
              <w:left w:val="nil"/>
              <w:bottom w:val="single" w:sz="4" w:space="0" w:color="auto"/>
              <w:right w:val="single" w:sz="4" w:space="0" w:color="auto"/>
            </w:tcBorders>
            <w:shd w:val="clear" w:color="auto" w:fill="auto"/>
            <w:noWrap/>
            <w:vAlign w:val="center"/>
            <w:hideMark/>
          </w:tcPr>
          <w:p w14:paraId="2793E1A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6F44CC4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3D5D053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349D4DD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161C2FA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891FDD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Nowy Targ</w:t>
            </w:r>
          </w:p>
        </w:tc>
        <w:tc>
          <w:tcPr>
            <w:tcW w:w="1701" w:type="dxa"/>
            <w:tcBorders>
              <w:top w:val="nil"/>
              <w:left w:val="nil"/>
              <w:bottom w:val="single" w:sz="4" w:space="0" w:color="auto"/>
              <w:right w:val="single" w:sz="4" w:space="0" w:color="auto"/>
            </w:tcBorders>
            <w:shd w:val="clear" w:color="auto" w:fill="auto"/>
            <w:noWrap/>
            <w:vAlign w:val="center"/>
            <w:hideMark/>
          </w:tcPr>
          <w:p w14:paraId="53C4F46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45E0190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437 073</w:t>
            </w:r>
          </w:p>
        </w:tc>
        <w:tc>
          <w:tcPr>
            <w:tcW w:w="1417" w:type="dxa"/>
            <w:tcBorders>
              <w:top w:val="nil"/>
              <w:left w:val="nil"/>
              <w:bottom w:val="single" w:sz="4" w:space="0" w:color="auto"/>
              <w:right w:val="single" w:sz="4" w:space="0" w:color="auto"/>
            </w:tcBorders>
            <w:shd w:val="clear" w:color="auto" w:fill="auto"/>
            <w:vAlign w:val="center"/>
            <w:hideMark/>
          </w:tcPr>
          <w:p w14:paraId="412E3CE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153 034</w:t>
            </w:r>
          </w:p>
        </w:tc>
        <w:tc>
          <w:tcPr>
            <w:tcW w:w="1418" w:type="dxa"/>
            <w:tcBorders>
              <w:top w:val="nil"/>
              <w:left w:val="nil"/>
              <w:bottom w:val="single" w:sz="4" w:space="0" w:color="auto"/>
              <w:right w:val="single" w:sz="4" w:space="0" w:color="auto"/>
            </w:tcBorders>
            <w:shd w:val="clear" w:color="auto" w:fill="auto"/>
            <w:vAlign w:val="center"/>
            <w:hideMark/>
          </w:tcPr>
          <w:p w14:paraId="25E3255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65 567</w:t>
            </w:r>
          </w:p>
        </w:tc>
      </w:tr>
      <w:tr w:rsidR="009348AC" w:rsidRPr="00E56406" w14:paraId="7FA15B8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25D0A9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Ochotnica Dolna</w:t>
            </w:r>
          </w:p>
        </w:tc>
        <w:tc>
          <w:tcPr>
            <w:tcW w:w="1701" w:type="dxa"/>
            <w:tcBorders>
              <w:top w:val="nil"/>
              <w:left w:val="nil"/>
              <w:bottom w:val="single" w:sz="4" w:space="0" w:color="auto"/>
              <w:right w:val="single" w:sz="4" w:space="0" w:color="auto"/>
            </w:tcBorders>
            <w:shd w:val="clear" w:color="auto" w:fill="auto"/>
            <w:noWrap/>
            <w:vAlign w:val="center"/>
            <w:hideMark/>
          </w:tcPr>
          <w:p w14:paraId="566BEC1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054C1E4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54320B9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1EF3877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5EA8886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C419F8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Raba Wyżna</w:t>
            </w:r>
          </w:p>
        </w:tc>
        <w:tc>
          <w:tcPr>
            <w:tcW w:w="1701" w:type="dxa"/>
            <w:tcBorders>
              <w:top w:val="nil"/>
              <w:left w:val="nil"/>
              <w:bottom w:val="single" w:sz="4" w:space="0" w:color="auto"/>
              <w:right w:val="single" w:sz="4" w:space="0" w:color="auto"/>
            </w:tcBorders>
            <w:shd w:val="clear" w:color="auto" w:fill="auto"/>
            <w:noWrap/>
            <w:vAlign w:val="center"/>
            <w:hideMark/>
          </w:tcPr>
          <w:p w14:paraId="2C91517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5DEEF2D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32E7B75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7E71612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000CECE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286C29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Rabka-Zdrój</w:t>
            </w:r>
          </w:p>
        </w:tc>
        <w:tc>
          <w:tcPr>
            <w:tcW w:w="1701" w:type="dxa"/>
            <w:tcBorders>
              <w:top w:val="nil"/>
              <w:left w:val="nil"/>
              <w:bottom w:val="single" w:sz="4" w:space="0" w:color="auto"/>
              <w:right w:val="single" w:sz="4" w:space="0" w:color="auto"/>
            </w:tcBorders>
            <w:shd w:val="clear" w:color="auto" w:fill="auto"/>
            <w:noWrap/>
            <w:vAlign w:val="center"/>
            <w:hideMark/>
          </w:tcPr>
          <w:p w14:paraId="06E42AD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7A4D64D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06223C9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6A7AB20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1FE43F0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AE9D18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Spytkowice</w:t>
            </w:r>
          </w:p>
        </w:tc>
        <w:tc>
          <w:tcPr>
            <w:tcW w:w="1701" w:type="dxa"/>
            <w:tcBorders>
              <w:top w:val="nil"/>
              <w:left w:val="nil"/>
              <w:bottom w:val="single" w:sz="4" w:space="0" w:color="auto"/>
              <w:right w:val="single" w:sz="4" w:space="0" w:color="auto"/>
            </w:tcBorders>
            <w:shd w:val="clear" w:color="auto" w:fill="auto"/>
            <w:noWrap/>
            <w:vAlign w:val="center"/>
            <w:hideMark/>
          </w:tcPr>
          <w:p w14:paraId="47191AC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2925959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105 865</w:t>
            </w:r>
          </w:p>
        </w:tc>
        <w:tc>
          <w:tcPr>
            <w:tcW w:w="1417" w:type="dxa"/>
            <w:tcBorders>
              <w:top w:val="nil"/>
              <w:left w:val="nil"/>
              <w:bottom w:val="single" w:sz="4" w:space="0" w:color="auto"/>
              <w:right w:val="single" w:sz="4" w:space="0" w:color="auto"/>
            </w:tcBorders>
            <w:shd w:val="clear" w:color="auto" w:fill="auto"/>
            <w:vAlign w:val="center"/>
            <w:hideMark/>
          </w:tcPr>
          <w:p w14:paraId="21E879D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37 067</w:t>
            </w:r>
          </w:p>
        </w:tc>
        <w:tc>
          <w:tcPr>
            <w:tcW w:w="1418" w:type="dxa"/>
            <w:tcBorders>
              <w:top w:val="nil"/>
              <w:left w:val="nil"/>
              <w:bottom w:val="single" w:sz="4" w:space="0" w:color="auto"/>
              <w:right w:val="single" w:sz="4" w:space="0" w:color="auto"/>
            </w:tcBorders>
            <w:shd w:val="clear" w:color="auto" w:fill="auto"/>
            <w:vAlign w:val="center"/>
            <w:hideMark/>
          </w:tcPr>
          <w:p w14:paraId="6E9687C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15 881</w:t>
            </w:r>
          </w:p>
        </w:tc>
      </w:tr>
      <w:tr w:rsidR="009348AC" w:rsidRPr="00E56406" w14:paraId="77F565A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253BA8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Szaflary</w:t>
            </w:r>
          </w:p>
        </w:tc>
        <w:tc>
          <w:tcPr>
            <w:tcW w:w="1701" w:type="dxa"/>
            <w:tcBorders>
              <w:top w:val="nil"/>
              <w:left w:val="nil"/>
              <w:bottom w:val="single" w:sz="4" w:space="0" w:color="auto"/>
              <w:right w:val="single" w:sz="4" w:space="0" w:color="auto"/>
            </w:tcBorders>
            <w:shd w:val="clear" w:color="auto" w:fill="auto"/>
            <w:noWrap/>
            <w:vAlign w:val="center"/>
            <w:hideMark/>
          </w:tcPr>
          <w:p w14:paraId="3126A61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32BF18F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682DE70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4404672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0FC27AC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C49C3D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Szczawnica</w:t>
            </w:r>
          </w:p>
        </w:tc>
        <w:tc>
          <w:tcPr>
            <w:tcW w:w="1701" w:type="dxa"/>
            <w:tcBorders>
              <w:top w:val="nil"/>
              <w:left w:val="nil"/>
              <w:bottom w:val="single" w:sz="4" w:space="0" w:color="auto"/>
              <w:right w:val="single" w:sz="4" w:space="0" w:color="auto"/>
            </w:tcBorders>
            <w:shd w:val="clear" w:color="auto" w:fill="auto"/>
            <w:noWrap/>
            <w:vAlign w:val="center"/>
            <w:hideMark/>
          </w:tcPr>
          <w:p w14:paraId="54EBA31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nowotarski</w:t>
            </w:r>
          </w:p>
        </w:tc>
        <w:tc>
          <w:tcPr>
            <w:tcW w:w="1418" w:type="dxa"/>
            <w:tcBorders>
              <w:top w:val="nil"/>
              <w:left w:val="nil"/>
              <w:bottom w:val="single" w:sz="4" w:space="0" w:color="auto"/>
              <w:right w:val="single" w:sz="4" w:space="0" w:color="auto"/>
            </w:tcBorders>
            <w:shd w:val="clear" w:color="auto" w:fill="auto"/>
            <w:noWrap/>
            <w:vAlign w:val="center"/>
            <w:hideMark/>
          </w:tcPr>
          <w:p w14:paraId="6EDB9C5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7A09954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5CB1101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1E2A9C6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2EDD26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Bolesław</w:t>
            </w:r>
          </w:p>
        </w:tc>
        <w:tc>
          <w:tcPr>
            <w:tcW w:w="1701" w:type="dxa"/>
            <w:tcBorders>
              <w:top w:val="nil"/>
              <w:left w:val="nil"/>
              <w:bottom w:val="single" w:sz="4" w:space="0" w:color="auto"/>
              <w:right w:val="single" w:sz="4" w:space="0" w:color="auto"/>
            </w:tcBorders>
            <w:shd w:val="clear" w:color="auto" w:fill="auto"/>
            <w:noWrap/>
            <w:vAlign w:val="center"/>
            <w:hideMark/>
          </w:tcPr>
          <w:p w14:paraId="68ADA1A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681F03D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08E250B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6D3ED2D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5AB55AF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3BFEF3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Bukowno</w:t>
            </w:r>
          </w:p>
        </w:tc>
        <w:tc>
          <w:tcPr>
            <w:tcW w:w="1701" w:type="dxa"/>
            <w:tcBorders>
              <w:top w:val="nil"/>
              <w:left w:val="nil"/>
              <w:bottom w:val="single" w:sz="4" w:space="0" w:color="auto"/>
              <w:right w:val="single" w:sz="4" w:space="0" w:color="auto"/>
            </w:tcBorders>
            <w:shd w:val="clear" w:color="auto" w:fill="auto"/>
            <w:noWrap/>
            <w:vAlign w:val="center"/>
            <w:hideMark/>
          </w:tcPr>
          <w:p w14:paraId="5549073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6DA6BAF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305EBA5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3D1E9E8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2225B64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A709EF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Klucze</w:t>
            </w:r>
          </w:p>
        </w:tc>
        <w:tc>
          <w:tcPr>
            <w:tcW w:w="1701" w:type="dxa"/>
            <w:tcBorders>
              <w:top w:val="nil"/>
              <w:left w:val="nil"/>
              <w:bottom w:val="single" w:sz="4" w:space="0" w:color="auto"/>
              <w:right w:val="single" w:sz="4" w:space="0" w:color="auto"/>
            </w:tcBorders>
            <w:shd w:val="clear" w:color="auto" w:fill="auto"/>
            <w:noWrap/>
            <w:vAlign w:val="center"/>
            <w:hideMark/>
          </w:tcPr>
          <w:p w14:paraId="4D8F114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049740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991D7D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2B1365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4E9B67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BCF5CF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Olkusz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7D2D99D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597486F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66B20F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36DCEFD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427A41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50AB9C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Trzyciąż</w:t>
            </w:r>
          </w:p>
        </w:tc>
        <w:tc>
          <w:tcPr>
            <w:tcW w:w="1701" w:type="dxa"/>
            <w:tcBorders>
              <w:top w:val="nil"/>
              <w:left w:val="nil"/>
              <w:bottom w:val="single" w:sz="4" w:space="0" w:color="auto"/>
              <w:right w:val="single" w:sz="4" w:space="0" w:color="auto"/>
            </w:tcBorders>
            <w:shd w:val="clear" w:color="auto" w:fill="auto"/>
            <w:noWrap/>
            <w:vAlign w:val="center"/>
            <w:hideMark/>
          </w:tcPr>
          <w:p w14:paraId="278584A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483F869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481BFD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74D8970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7453211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FCFD70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Wolbrom</w:t>
            </w:r>
          </w:p>
        </w:tc>
        <w:tc>
          <w:tcPr>
            <w:tcW w:w="1701" w:type="dxa"/>
            <w:tcBorders>
              <w:top w:val="nil"/>
              <w:left w:val="nil"/>
              <w:bottom w:val="single" w:sz="4" w:space="0" w:color="auto"/>
              <w:right w:val="single" w:sz="4" w:space="0" w:color="auto"/>
            </w:tcBorders>
            <w:shd w:val="clear" w:color="auto" w:fill="auto"/>
            <w:noWrap/>
            <w:vAlign w:val="center"/>
            <w:hideMark/>
          </w:tcPr>
          <w:p w14:paraId="137845D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olkuski</w:t>
            </w:r>
          </w:p>
        </w:tc>
        <w:tc>
          <w:tcPr>
            <w:tcW w:w="1418" w:type="dxa"/>
            <w:tcBorders>
              <w:top w:val="nil"/>
              <w:left w:val="nil"/>
              <w:bottom w:val="single" w:sz="4" w:space="0" w:color="auto"/>
              <w:right w:val="single" w:sz="4" w:space="0" w:color="auto"/>
            </w:tcBorders>
            <w:shd w:val="clear" w:color="auto" w:fill="auto"/>
            <w:noWrap/>
            <w:vAlign w:val="center"/>
            <w:hideMark/>
          </w:tcPr>
          <w:p w14:paraId="081C01F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3584A8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3D40A6F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555A7B0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42A09E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Brzeszcze</w:t>
            </w:r>
          </w:p>
        </w:tc>
        <w:tc>
          <w:tcPr>
            <w:tcW w:w="1701" w:type="dxa"/>
            <w:tcBorders>
              <w:top w:val="nil"/>
              <w:left w:val="nil"/>
              <w:bottom w:val="single" w:sz="4" w:space="0" w:color="auto"/>
              <w:right w:val="single" w:sz="4" w:space="0" w:color="auto"/>
            </w:tcBorders>
            <w:shd w:val="clear" w:color="auto" w:fill="auto"/>
            <w:noWrap/>
            <w:vAlign w:val="center"/>
            <w:hideMark/>
          </w:tcPr>
          <w:p w14:paraId="4BCB084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4709ADC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308 522</w:t>
            </w:r>
          </w:p>
        </w:tc>
        <w:tc>
          <w:tcPr>
            <w:tcW w:w="1417" w:type="dxa"/>
            <w:tcBorders>
              <w:top w:val="nil"/>
              <w:left w:val="nil"/>
              <w:bottom w:val="single" w:sz="4" w:space="0" w:color="auto"/>
              <w:right w:val="single" w:sz="4" w:space="0" w:color="auto"/>
            </w:tcBorders>
            <w:shd w:val="clear" w:color="auto" w:fill="auto"/>
            <w:vAlign w:val="center"/>
            <w:hideMark/>
          </w:tcPr>
          <w:p w14:paraId="595CECF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108 024</w:t>
            </w:r>
          </w:p>
        </w:tc>
        <w:tc>
          <w:tcPr>
            <w:tcW w:w="1418" w:type="dxa"/>
            <w:tcBorders>
              <w:top w:val="nil"/>
              <w:left w:val="nil"/>
              <w:bottom w:val="single" w:sz="4" w:space="0" w:color="auto"/>
              <w:right w:val="single" w:sz="4" w:space="0" w:color="auto"/>
            </w:tcBorders>
            <w:shd w:val="clear" w:color="auto" w:fill="auto"/>
            <w:vAlign w:val="center"/>
            <w:hideMark/>
          </w:tcPr>
          <w:p w14:paraId="5CFC47C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46 282</w:t>
            </w:r>
          </w:p>
        </w:tc>
      </w:tr>
      <w:tr w:rsidR="009348AC" w:rsidRPr="00E56406" w14:paraId="7F55529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B2E9E4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Chełmek</w:t>
            </w:r>
          </w:p>
        </w:tc>
        <w:tc>
          <w:tcPr>
            <w:tcW w:w="1701" w:type="dxa"/>
            <w:tcBorders>
              <w:top w:val="nil"/>
              <w:left w:val="nil"/>
              <w:bottom w:val="single" w:sz="4" w:space="0" w:color="auto"/>
              <w:right w:val="single" w:sz="4" w:space="0" w:color="auto"/>
            </w:tcBorders>
            <w:shd w:val="clear" w:color="auto" w:fill="auto"/>
            <w:noWrap/>
            <w:vAlign w:val="center"/>
            <w:hideMark/>
          </w:tcPr>
          <w:p w14:paraId="167BB2E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228A69C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3309FEA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217ACE9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1AA5F10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4E913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Kęty</w:t>
            </w:r>
          </w:p>
        </w:tc>
        <w:tc>
          <w:tcPr>
            <w:tcW w:w="1701" w:type="dxa"/>
            <w:tcBorders>
              <w:top w:val="nil"/>
              <w:left w:val="nil"/>
              <w:bottom w:val="single" w:sz="4" w:space="0" w:color="auto"/>
              <w:right w:val="single" w:sz="4" w:space="0" w:color="auto"/>
            </w:tcBorders>
            <w:shd w:val="clear" w:color="auto" w:fill="auto"/>
            <w:noWrap/>
            <w:vAlign w:val="center"/>
            <w:hideMark/>
          </w:tcPr>
          <w:p w14:paraId="6C250E4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64A238F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362 967</w:t>
            </w:r>
          </w:p>
        </w:tc>
        <w:tc>
          <w:tcPr>
            <w:tcW w:w="1417" w:type="dxa"/>
            <w:tcBorders>
              <w:top w:val="nil"/>
              <w:left w:val="nil"/>
              <w:bottom w:val="single" w:sz="4" w:space="0" w:color="auto"/>
              <w:right w:val="single" w:sz="4" w:space="0" w:color="auto"/>
            </w:tcBorders>
            <w:shd w:val="clear" w:color="auto" w:fill="auto"/>
            <w:vAlign w:val="center"/>
            <w:hideMark/>
          </w:tcPr>
          <w:p w14:paraId="3E71824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127 087</w:t>
            </w:r>
          </w:p>
        </w:tc>
        <w:tc>
          <w:tcPr>
            <w:tcW w:w="1418" w:type="dxa"/>
            <w:tcBorders>
              <w:top w:val="nil"/>
              <w:left w:val="nil"/>
              <w:bottom w:val="single" w:sz="4" w:space="0" w:color="auto"/>
              <w:right w:val="single" w:sz="4" w:space="0" w:color="auto"/>
            </w:tcBorders>
            <w:shd w:val="clear" w:color="auto" w:fill="auto"/>
            <w:vAlign w:val="center"/>
            <w:hideMark/>
          </w:tcPr>
          <w:p w14:paraId="239EB58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54 450</w:t>
            </w:r>
          </w:p>
        </w:tc>
      </w:tr>
      <w:tr w:rsidR="009348AC" w:rsidRPr="00E56406" w14:paraId="3C0F83C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B1D5BB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Osiek</w:t>
            </w:r>
          </w:p>
        </w:tc>
        <w:tc>
          <w:tcPr>
            <w:tcW w:w="1701" w:type="dxa"/>
            <w:tcBorders>
              <w:top w:val="nil"/>
              <w:left w:val="nil"/>
              <w:bottom w:val="single" w:sz="4" w:space="0" w:color="auto"/>
              <w:right w:val="single" w:sz="4" w:space="0" w:color="auto"/>
            </w:tcBorders>
            <w:shd w:val="clear" w:color="auto" w:fill="auto"/>
            <w:noWrap/>
            <w:vAlign w:val="center"/>
            <w:hideMark/>
          </w:tcPr>
          <w:p w14:paraId="6055173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3B692DD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4D10712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0AD22CD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21DAB7D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A40632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Polanka Wielka</w:t>
            </w:r>
          </w:p>
        </w:tc>
        <w:tc>
          <w:tcPr>
            <w:tcW w:w="1701" w:type="dxa"/>
            <w:tcBorders>
              <w:top w:val="nil"/>
              <w:left w:val="nil"/>
              <w:bottom w:val="single" w:sz="4" w:space="0" w:color="auto"/>
              <w:right w:val="single" w:sz="4" w:space="0" w:color="auto"/>
            </w:tcBorders>
            <w:shd w:val="clear" w:color="auto" w:fill="auto"/>
            <w:noWrap/>
            <w:vAlign w:val="center"/>
            <w:hideMark/>
          </w:tcPr>
          <w:p w14:paraId="5328CFE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5FBC604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90 741</w:t>
            </w:r>
          </w:p>
        </w:tc>
        <w:tc>
          <w:tcPr>
            <w:tcW w:w="1417" w:type="dxa"/>
            <w:tcBorders>
              <w:top w:val="nil"/>
              <w:left w:val="nil"/>
              <w:bottom w:val="single" w:sz="4" w:space="0" w:color="auto"/>
              <w:right w:val="single" w:sz="4" w:space="0" w:color="auto"/>
            </w:tcBorders>
            <w:shd w:val="clear" w:color="auto" w:fill="auto"/>
            <w:vAlign w:val="center"/>
            <w:hideMark/>
          </w:tcPr>
          <w:p w14:paraId="58C666B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31 771</w:t>
            </w:r>
          </w:p>
        </w:tc>
        <w:tc>
          <w:tcPr>
            <w:tcW w:w="1418" w:type="dxa"/>
            <w:tcBorders>
              <w:top w:val="nil"/>
              <w:left w:val="nil"/>
              <w:bottom w:val="single" w:sz="4" w:space="0" w:color="auto"/>
              <w:right w:val="single" w:sz="4" w:space="0" w:color="auto"/>
            </w:tcBorders>
            <w:shd w:val="clear" w:color="auto" w:fill="auto"/>
            <w:vAlign w:val="center"/>
            <w:hideMark/>
          </w:tcPr>
          <w:p w14:paraId="4E5EB1E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13 612</w:t>
            </w:r>
          </w:p>
        </w:tc>
      </w:tr>
      <w:tr w:rsidR="009348AC" w:rsidRPr="00E56406" w14:paraId="5106F4E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ECB884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Przeciszów</w:t>
            </w:r>
          </w:p>
        </w:tc>
        <w:tc>
          <w:tcPr>
            <w:tcW w:w="1701" w:type="dxa"/>
            <w:tcBorders>
              <w:top w:val="nil"/>
              <w:left w:val="nil"/>
              <w:bottom w:val="single" w:sz="4" w:space="0" w:color="auto"/>
              <w:right w:val="single" w:sz="4" w:space="0" w:color="auto"/>
            </w:tcBorders>
            <w:shd w:val="clear" w:color="auto" w:fill="auto"/>
            <w:noWrap/>
            <w:vAlign w:val="center"/>
            <w:hideMark/>
          </w:tcPr>
          <w:p w14:paraId="4138B99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38353BA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6D3E9FC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1683956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5BC96A9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2EEC22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6C9BF3E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35E941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07D28E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C9644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4681E88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90B15B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Zator</w:t>
            </w:r>
          </w:p>
        </w:tc>
        <w:tc>
          <w:tcPr>
            <w:tcW w:w="1701" w:type="dxa"/>
            <w:tcBorders>
              <w:top w:val="nil"/>
              <w:left w:val="nil"/>
              <w:bottom w:val="single" w:sz="4" w:space="0" w:color="auto"/>
              <w:right w:val="single" w:sz="4" w:space="0" w:color="auto"/>
            </w:tcBorders>
            <w:shd w:val="clear" w:color="auto" w:fill="auto"/>
            <w:noWrap/>
            <w:vAlign w:val="center"/>
            <w:hideMark/>
          </w:tcPr>
          <w:p w14:paraId="194D1F2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3EB0861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105 865</w:t>
            </w:r>
          </w:p>
        </w:tc>
        <w:tc>
          <w:tcPr>
            <w:tcW w:w="1417" w:type="dxa"/>
            <w:tcBorders>
              <w:top w:val="nil"/>
              <w:left w:val="nil"/>
              <w:bottom w:val="single" w:sz="4" w:space="0" w:color="auto"/>
              <w:right w:val="single" w:sz="4" w:space="0" w:color="auto"/>
            </w:tcBorders>
            <w:shd w:val="clear" w:color="auto" w:fill="auto"/>
            <w:vAlign w:val="center"/>
            <w:hideMark/>
          </w:tcPr>
          <w:p w14:paraId="1515DEC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37 067</w:t>
            </w:r>
          </w:p>
        </w:tc>
        <w:tc>
          <w:tcPr>
            <w:tcW w:w="1418" w:type="dxa"/>
            <w:tcBorders>
              <w:top w:val="nil"/>
              <w:left w:val="nil"/>
              <w:bottom w:val="single" w:sz="4" w:space="0" w:color="auto"/>
              <w:right w:val="single" w:sz="4" w:space="0" w:color="auto"/>
            </w:tcBorders>
            <w:shd w:val="clear" w:color="auto" w:fill="auto"/>
            <w:vAlign w:val="center"/>
            <w:hideMark/>
          </w:tcPr>
          <w:p w14:paraId="0311374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15 881</w:t>
            </w:r>
          </w:p>
        </w:tc>
      </w:tr>
      <w:tr w:rsidR="009348AC" w:rsidRPr="00E56406" w14:paraId="22D6969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0C3093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Wieprz</w:t>
            </w:r>
          </w:p>
        </w:tc>
        <w:tc>
          <w:tcPr>
            <w:tcW w:w="1701" w:type="dxa"/>
            <w:tcBorders>
              <w:top w:val="nil"/>
              <w:left w:val="nil"/>
              <w:bottom w:val="single" w:sz="4" w:space="0" w:color="auto"/>
              <w:right w:val="single" w:sz="4" w:space="0" w:color="auto"/>
            </w:tcBorders>
            <w:shd w:val="clear" w:color="auto" w:fill="auto"/>
            <w:noWrap/>
            <w:vAlign w:val="center"/>
            <w:hideMark/>
          </w:tcPr>
          <w:p w14:paraId="5545895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oświęcimski</w:t>
            </w:r>
          </w:p>
        </w:tc>
        <w:tc>
          <w:tcPr>
            <w:tcW w:w="1418" w:type="dxa"/>
            <w:tcBorders>
              <w:top w:val="nil"/>
              <w:left w:val="nil"/>
              <w:bottom w:val="single" w:sz="4" w:space="0" w:color="auto"/>
              <w:right w:val="single" w:sz="4" w:space="0" w:color="auto"/>
            </w:tcBorders>
            <w:shd w:val="clear" w:color="auto" w:fill="auto"/>
            <w:noWrap/>
            <w:vAlign w:val="center"/>
            <w:hideMark/>
          </w:tcPr>
          <w:p w14:paraId="67B2292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38E1364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32EC00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5AD1F99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D5C48D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Koniusza</w:t>
            </w:r>
          </w:p>
        </w:tc>
        <w:tc>
          <w:tcPr>
            <w:tcW w:w="1701" w:type="dxa"/>
            <w:tcBorders>
              <w:top w:val="nil"/>
              <w:left w:val="nil"/>
              <w:bottom w:val="single" w:sz="4" w:space="0" w:color="auto"/>
              <w:right w:val="single" w:sz="4" w:space="0" w:color="auto"/>
            </w:tcBorders>
            <w:shd w:val="clear" w:color="auto" w:fill="auto"/>
            <w:noWrap/>
            <w:vAlign w:val="center"/>
            <w:hideMark/>
          </w:tcPr>
          <w:p w14:paraId="78644BF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3AC2D1A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5EF1601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6D0102B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304C654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460672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Koszyce</w:t>
            </w:r>
          </w:p>
        </w:tc>
        <w:tc>
          <w:tcPr>
            <w:tcW w:w="1701" w:type="dxa"/>
            <w:tcBorders>
              <w:top w:val="nil"/>
              <w:left w:val="nil"/>
              <w:bottom w:val="single" w:sz="4" w:space="0" w:color="auto"/>
              <w:right w:val="single" w:sz="4" w:space="0" w:color="auto"/>
            </w:tcBorders>
            <w:shd w:val="clear" w:color="auto" w:fill="auto"/>
            <w:noWrap/>
            <w:vAlign w:val="center"/>
            <w:hideMark/>
          </w:tcPr>
          <w:p w14:paraId="4162FCF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0D8F84D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5E828A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66BCAB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3170BAA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DD5773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Nowe Brzesko</w:t>
            </w:r>
          </w:p>
        </w:tc>
        <w:tc>
          <w:tcPr>
            <w:tcW w:w="1701" w:type="dxa"/>
            <w:tcBorders>
              <w:top w:val="nil"/>
              <w:left w:val="nil"/>
              <w:bottom w:val="single" w:sz="4" w:space="0" w:color="auto"/>
              <w:right w:val="single" w:sz="4" w:space="0" w:color="auto"/>
            </w:tcBorders>
            <w:shd w:val="clear" w:color="auto" w:fill="auto"/>
            <w:noWrap/>
            <w:vAlign w:val="center"/>
            <w:hideMark/>
          </w:tcPr>
          <w:p w14:paraId="014B0B1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36F62FE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1D97842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58B4F6E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47F7D04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CB4B3F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Pałecznica</w:t>
            </w:r>
          </w:p>
        </w:tc>
        <w:tc>
          <w:tcPr>
            <w:tcW w:w="1701" w:type="dxa"/>
            <w:tcBorders>
              <w:top w:val="nil"/>
              <w:left w:val="nil"/>
              <w:bottom w:val="single" w:sz="4" w:space="0" w:color="auto"/>
              <w:right w:val="single" w:sz="4" w:space="0" w:color="auto"/>
            </w:tcBorders>
            <w:shd w:val="clear" w:color="auto" w:fill="auto"/>
            <w:noWrap/>
            <w:vAlign w:val="center"/>
            <w:hideMark/>
          </w:tcPr>
          <w:p w14:paraId="4B68DFC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115D8EF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128 551</w:t>
            </w:r>
          </w:p>
        </w:tc>
        <w:tc>
          <w:tcPr>
            <w:tcW w:w="1417" w:type="dxa"/>
            <w:tcBorders>
              <w:top w:val="nil"/>
              <w:left w:val="nil"/>
              <w:bottom w:val="single" w:sz="4" w:space="0" w:color="auto"/>
              <w:right w:val="single" w:sz="4" w:space="0" w:color="auto"/>
            </w:tcBorders>
            <w:shd w:val="clear" w:color="auto" w:fill="auto"/>
            <w:vAlign w:val="center"/>
            <w:hideMark/>
          </w:tcPr>
          <w:p w14:paraId="4D43548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45 010</w:t>
            </w:r>
          </w:p>
        </w:tc>
        <w:tc>
          <w:tcPr>
            <w:tcW w:w="1418" w:type="dxa"/>
            <w:tcBorders>
              <w:top w:val="nil"/>
              <w:left w:val="nil"/>
              <w:bottom w:val="single" w:sz="4" w:space="0" w:color="auto"/>
              <w:right w:val="single" w:sz="4" w:space="0" w:color="auto"/>
            </w:tcBorders>
            <w:shd w:val="clear" w:color="auto" w:fill="auto"/>
            <w:vAlign w:val="center"/>
            <w:hideMark/>
          </w:tcPr>
          <w:p w14:paraId="2B0DB57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19 284</w:t>
            </w:r>
          </w:p>
        </w:tc>
      </w:tr>
      <w:tr w:rsidR="009348AC" w:rsidRPr="00E56406" w14:paraId="2379605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8FE0E2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Proszowice</w:t>
            </w:r>
          </w:p>
        </w:tc>
        <w:tc>
          <w:tcPr>
            <w:tcW w:w="1701" w:type="dxa"/>
            <w:tcBorders>
              <w:top w:val="nil"/>
              <w:left w:val="nil"/>
              <w:bottom w:val="single" w:sz="4" w:space="0" w:color="auto"/>
              <w:right w:val="single" w:sz="4" w:space="0" w:color="auto"/>
            </w:tcBorders>
            <w:shd w:val="clear" w:color="auto" w:fill="auto"/>
            <w:noWrap/>
            <w:vAlign w:val="center"/>
            <w:hideMark/>
          </w:tcPr>
          <w:p w14:paraId="1571F09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4F28C04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296 423</w:t>
            </w:r>
          </w:p>
        </w:tc>
        <w:tc>
          <w:tcPr>
            <w:tcW w:w="1417" w:type="dxa"/>
            <w:tcBorders>
              <w:top w:val="nil"/>
              <w:left w:val="nil"/>
              <w:bottom w:val="single" w:sz="4" w:space="0" w:color="auto"/>
              <w:right w:val="single" w:sz="4" w:space="0" w:color="auto"/>
            </w:tcBorders>
            <w:shd w:val="clear" w:color="auto" w:fill="auto"/>
            <w:vAlign w:val="center"/>
            <w:hideMark/>
          </w:tcPr>
          <w:p w14:paraId="6966412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103 788</w:t>
            </w:r>
          </w:p>
        </w:tc>
        <w:tc>
          <w:tcPr>
            <w:tcW w:w="1418" w:type="dxa"/>
            <w:tcBorders>
              <w:top w:val="nil"/>
              <w:left w:val="nil"/>
              <w:bottom w:val="single" w:sz="4" w:space="0" w:color="auto"/>
              <w:right w:val="single" w:sz="4" w:space="0" w:color="auto"/>
            </w:tcBorders>
            <w:shd w:val="clear" w:color="auto" w:fill="auto"/>
            <w:vAlign w:val="center"/>
            <w:hideMark/>
          </w:tcPr>
          <w:p w14:paraId="12DF818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44 467</w:t>
            </w:r>
          </w:p>
        </w:tc>
      </w:tr>
      <w:tr w:rsidR="009348AC" w:rsidRPr="00E56406" w14:paraId="157FA76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2713E2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Radziemice</w:t>
            </w:r>
          </w:p>
        </w:tc>
        <w:tc>
          <w:tcPr>
            <w:tcW w:w="1701" w:type="dxa"/>
            <w:tcBorders>
              <w:top w:val="nil"/>
              <w:left w:val="nil"/>
              <w:bottom w:val="single" w:sz="4" w:space="0" w:color="auto"/>
              <w:right w:val="single" w:sz="4" w:space="0" w:color="auto"/>
            </w:tcBorders>
            <w:shd w:val="clear" w:color="auto" w:fill="auto"/>
            <w:noWrap/>
            <w:vAlign w:val="center"/>
            <w:hideMark/>
          </w:tcPr>
          <w:p w14:paraId="4D6A042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proszowicki</w:t>
            </w:r>
          </w:p>
        </w:tc>
        <w:tc>
          <w:tcPr>
            <w:tcW w:w="1418" w:type="dxa"/>
            <w:tcBorders>
              <w:top w:val="nil"/>
              <w:left w:val="nil"/>
              <w:bottom w:val="single" w:sz="4" w:space="0" w:color="auto"/>
              <w:right w:val="single" w:sz="4" w:space="0" w:color="auto"/>
            </w:tcBorders>
            <w:shd w:val="clear" w:color="auto" w:fill="auto"/>
            <w:noWrap/>
            <w:vAlign w:val="center"/>
            <w:hideMark/>
          </w:tcPr>
          <w:p w14:paraId="772E4FE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128 551</w:t>
            </w:r>
          </w:p>
        </w:tc>
        <w:tc>
          <w:tcPr>
            <w:tcW w:w="1417" w:type="dxa"/>
            <w:tcBorders>
              <w:top w:val="nil"/>
              <w:left w:val="nil"/>
              <w:bottom w:val="single" w:sz="4" w:space="0" w:color="auto"/>
              <w:right w:val="single" w:sz="4" w:space="0" w:color="auto"/>
            </w:tcBorders>
            <w:shd w:val="clear" w:color="auto" w:fill="auto"/>
            <w:vAlign w:val="center"/>
            <w:hideMark/>
          </w:tcPr>
          <w:p w14:paraId="46BBDB1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45 010</w:t>
            </w:r>
          </w:p>
        </w:tc>
        <w:tc>
          <w:tcPr>
            <w:tcW w:w="1418" w:type="dxa"/>
            <w:tcBorders>
              <w:top w:val="nil"/>
              <w:left w:val="nil"/>
              <w:bottom w:val="single" w:sz="4" w:space="0" w:color="auto"/>
              <w:right w:val="single" w:sz="4" w:space="0" w:color="auto"/>
            </w:tcBorders>
            <w:shd w:val="clear" w:color="auto" w:fill="auto"/>
            <w:vAlign w:val="center"/>
            <w:hideMark/>
          </w:tcPr>
          <w:p w14:paraId="2FD18FA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19 284</w:t>
            </w:r>
          </w:p>
        </w:tc>
      </w:tr>
      <w:tr w:rsidR="009348AC" w:rsidRPr="00E56406" w14:paraId="4E6F8F3B"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D4699D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Budzów</w:t>
            </w:r>
          </w:p>
        </w:tc>
        <w:tc>
          <w:tcPr>
            <w:tcW w:w="1701" w:type="dxa"/>
            <w:tcBorders>
              <w:top w:val="nil"/>
              <w:left w:val="nil"/>
              <w:bottom w:val="single" w:sz="4" w:space="0" w:color="auto"/>
              <w:right w:val="single" w:sz="4" w:space="0" w:color="auto"/>
            </w:tcBorders>
            <w:shd w:val="clear" w:color="auto" w:fill="auto"/>
            <w:noWrap/>
            <w:vAlign w:val="center"/>
            <w:hideMark/>
          </w:tcPr>
          <w:p w14:paraId="7888FBD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3A32310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290F11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D7D63E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7FDB8EC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8D6A85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Bystra-Sidzina</w:t>
            </w:r>
          </w:p>
        </w:tc>
        <w:tc>
          <w:tcPr>
            <w:tcW w:w="1701" w:type="dxa"/>
            <w:tcBorders>
              <w:top w:val="nil"/>
              <w:left w:val="nil"/>
              <w:bottom w:val="single" w:sz="4" w:space="0" w:color="auto"/>
              <w:right w:val="single" w:sz="4" w:space="0" w:color="auto"/>
            </w:tcBorders>
            <w:shd w:val="clear" w:color="auto" w:fill="auto"/>
            <w:noWrap/>
            <w:vAlign w:val="center"/>
            <w:hideMark/>
          </w:tcPr>
          <w:p w14:paraId="4E041C1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0EB78BE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2800BE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55603C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2479C1D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5007B6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Jordanów</w:t>
            </w:r>
          </w:p>
        </w:tc>
        <w:tc>
          <w:tcPr>
            <w:tcW w:w="1701" w:type="dxa"/>
            <w:tcBorders>
              <w:top w:val="nil"/>
              <w:left w:val="nil"/>
              <w:bottom w:val="single" w:sz="4" w:space="0" w:color="auto"/>
              <w:right w:val="single" w:sz="4" w:space="0" w:color="auto"/>
            </w:tcBorders>
            <w:shd w:val="clear" w:color="auto" w:fill="auto"/>
            <w:noWrap/>
            <w:vAlign w:val="center"/>
            <w:hideMark/>
          </w:tcPr>
          <w:p w14:paraId="1E8BBB1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71947D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689BA66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364C342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55A2093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E0E30B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Jordanów miasto</w:t>
            </w:r>
          </w:p>
        </w:tc>
        <w:tc>
          <w:tcPr>
            <w:tcW w:w="1701" w:type="dxa"/>
            <w:tcBorders>
              <w:top w:val="nil"/>
              <w:left w:val="nil"/>
              <w:bottom w:val="single" w:sz="4" w:space="0" w:color="auto"/>
              <w:right w:val="single" w:sz="4" w:space="0" w:color="auto"/>
            </w:tcBorders>
            <w:shd w:val="clear" w:color="auto" w:fill="auto"/>
            <w:noWrap/>
            <w:vAlign w:val="center"/>
            <w:hideMark/>
          </w:tcPr>
          <w:p w14:paraId="3170C87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4EC8006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69C47AE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31AD04E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1ED5AAE5"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447F05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Maków Podhalański</w:t>
            </w:r>
          </w:p>
        </w:tc>
        <w:tc>
          <w:tcPr>
            <w:tcW w:w="1701" w:type="dxa"/>
            <w:tcBorders>
              <w:top w:val="nil"/>
              <w:left w:val="nil"/>
              <w:bottom w:val="single" w:sz="4" w:space="0" w:color="auto"/>
              <w:right w:val="single" w:sz="4" w:space="0" w:color="auto"/>
            </w:tcBorders>
            <w:shd w:val="clear" w:color="auto" w:fill="auto"/>
            <w:noWrap/>
            <w:vAlign w:val="center"/>
            <w:hideMark/>
          </w:tcPr>
          <w:p w14:paraId="16DB713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7B93861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658B761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323E65D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27CCC04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609D91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Stryszawa</w:t>
            </w:r>
          </w:p>
        </w:tc>
        <w:tc>
          <w:tcPr>
            <w:tcW w:w="1701" w:type="dxa"/>
            <w:tcBorders>
              <w:top w:val="nil"/>
              <w:left w:val="nil"/>
              <w:bottom w:val="single" w:sz="4" w:space="0" w:color="auto"/>
              <w:right w:val="single" w:sz="4" w:space="0" w:color="auto"/>
            </w:tcBorders>
            <w:shd w:val="clear" w:color="auto" w:fill="auto"/>
            <w:noWrap/>
            <w:vAlign w:val="center"/>
            <w:hideMark/>
          </w:tcPr>
          <w:p w14:paraId="42DA7FF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536C893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05D9C6D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0EAD421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4A0CF8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4FA04F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Sucha Beskidzka</w:t>
            </w:r>
          </w:p>
        </w:tc>
        <w:tc>
          <w:tcPr>
            <w:tcW w:w="1701" w:type="dxa"/>
            <w:tcBorders>
              <w:top w:val="nil"/>
              <w:left w:val="nil"/>
              <w:bottom w:val="single" w:sz="4" w:space="0" w:color="auto"/>
              <w:right w:val="single" w:sz="4" w:space="0" w:color="auto"/>
            </w:tcBorders>
            <w:shd w:val="clear" w:color="auto" w:fill="auto"/>
            <w:noWrap/>
            <w:vAlign w:val="center"/>
            <w:hideMark/>
          </w:tcPr>
          <w:p w14:paraId="369C698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2988D06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00AF1AD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58A6734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34ED275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846022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Zawoja</w:t>
            </w:r>
          </w:p>
        </w:tc>
        <w:tc>
          <w:tcPr>
            <w:tcW w:w="1701" w:type="dxa"/>
            <w:tcBorders>
              <w:top w:val="nil"/>
              <w:left w:val="nil"/>
              <w:bottom w:val="single" w:sz="4" w:space="0" w:color="auto"/>
              <w:right w:val="single" w:sz="4" w:space="0" w:color="auto"/>
            </w:tcBorders>
            <w:shd w:val="clear" w:color="auto" w:fill="auto"/>
            <w:noWrap/>
            <w:vAlign w:val="center"/>
            <w:hideMark/>
          </w:tcPr>
          <w:p w14:paraId="20CC532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599FBF1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073863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4AF1AFA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738F2EE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90ADD8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Zembrzyca</w:t>
            </w:r>
          </w:p>
        </w:tc>
        <w:tc>
          <w:tcPr>
            <w:tcW w:w="1701" w:type="dxa"/>
            <w:tcBorders>
              <w:top w:val="nil"/>
              <w:left w:val="nil"/>
              <w:bottom w:val="single" w:sz="4" w:space="0" w:color="auto"/>
              <w:right w:val="single" w:sz="4" w:space="0" w:color="auto"/>
            </w:tcBorders>
            <w:shd w:val="clear" w:color="auto" w:fill="auto"/>
            <w:noWrap/>
            <w:vAlign w:val="center"/>
            <w:hideMark/>
          </w:tcPr>
          <w:p w14:paraId="00E0F18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suski</w:t>
            </w:r>
          </w:p>
        </w:tc>
        <w:tc>
          <w:tcPr>
            <w:tcW w:w="1418" w:type="dxa"/>
            <w:tcBorders>
              <w:top w:val="nil"/>
              <w:left w:val="nil"/>
              <w:bottom w:val="single" w:sz="4" w:space="0" w:color="auto"/>
              <w:right w:val="single" w:sz="4" w:space="0" w:color="auto"/>
            </w:tcBorders>
            <w:shd w:val="clear" w:color="auto" w:fill="auto"/>
            <w:noWrap/>
            <w:vAlign w:val="center"/>
            <w:hideMark/>
          </w:tcPr>
          <w:p w14:paraId="509EF3C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7CFAFF6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4425A74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46992F8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70815A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Ćiężkowice</w:t>
            </w:r>
          </w:p>
        </w:tc>
        <w:tc>
          <w:tcPr>
            <w:tcW w:w="1701" w:type="dxa"/>
            <w:tcBorders>
              <w:top w:val="nil"/>
              <w:left w:val="nil"/>
              <w:bottom w:val="single" w:sz="4" w:space="0" w:color="auto"/>
              <w:right w:val="single" w:sz="4" w:space="0" w:color="auto"/>
            </w:tcBorders>
            <w:shd w:val="clear" w:color="auto" w:fill="auto"/>
            <w:noWrap/>
            <w:vAlign w:val="center"/>
            <w:hideMark/>
          </w:tcPr>
          <w:p w14:paraId="6C33CD0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1A4DA78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302127E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0303DF4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7944F7A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DC2647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Gromnik</w:t>
            </w:r>
          </w:p>
        </w:tc>
        <w:tc>
          <w:tcPr>
            <w:tcW w:w="1701" w:type="dxa"/>
            <w:tcBorders>
              <w:top w:val="nil"/>
              <w:left w:val="nil"/>
              <w:bottom w:val="single" w:sz="4" w:space="0" w:color="auto"/>
              <w:right w:val="single" w:sz="4" w:space="0" w:color="auto"/>
            </w:tcBorders>
            <w:shd w:val="clear" w:color="auto" w:fill="auto"/>
            <w:noWrap/>
            <w:vAlign w:val="center"/>
            <w:hideMark/>
          </w:tcPr>
          <w:p w14:paraId="2594AF6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5418CBD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64FF7E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54E53C3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2CA8B7A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5DCC4E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Lisia Góra</w:t>
            </w:r>
          </w:p>
        </w:tc>
        <w:tc>
          <w:tcPr>
            <w:tcW w:w="1701" w:type="dxa"/>
            <w:tcBorders>
              <w:top w:val="nil"/>
              <w:left w:val="nil"/>
              <w:bottom w:val="single" w:sz="4" w:space="0" w:color="auto"/>
              <w:right w:val="single" w:sz="4" w:space="0" w:color="auto"/>
            </w:tcBorders>
            <w:shd w:val="clear" w:color="auto" w:fill="auto"/>
            <w:noWrap/>
            <w:vAlign w:val="center"/>
            <w:hideMark/>
          </w:tcPr>
          <w:p w14:paraId="617B0E5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48E2D8F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254 077</w:t>
            </w:r>
          </w:p>
        </w:tc>
        <w:tc>
          <w:tcPr>
            <w:tcW w:w="1417" w:type="dxa"/>
            <w:tcBorders>
              <w:top w:val="nil"/>
              <w:left w:val="nil"/>
              <w:bottom w:val="single" w:sz="4" w:space="0" w:color="auto"/>
              <w:right w:val="single" w:sz="4" w:space="0" w:color="auto"/>
            </w:tcBorders>
            <w:shd w:val="clear" w:color="auto" w:fill="auto"/>
            <w:vAlign w:val="center"/>
            <w:hideMark/>
          </w:tcPr>
          <w:p w14:paraId="41A9FA4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88 961</w:t>
            </w:r>
          </w:p>
        </w:tc>
        <w:tc>
          <w:tcPr>
            <w:tcW w:w="1418" w:type="dxa"/>
            <w:tcBorders>
              <w:top w:val="nil"/>
              <w:left w:val="nil"/>
              <w:bottom w:val="single" w:sz="4" w:space="0" w:color="auto"/>
              <w:right w:val="single" w:sz="4" w:space="0" w:color="auto"/>
            </w:tcBorders>
            <w:shd w:val="clear" w:color="auto" w:fill="auto"/>
            <w:vAlign w:val="center"/>
            <w:hideMark/>
          </w:tcPr>
          <w:p w14:paraId="30F4713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38 115</w:t>
            </w:r>
          </w:p>
        </w:tc>
      </w:tr>
      <w:tr w:rsidR="009348AC" w:rsidRPr="00E56406" w14:paraId="76226F7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F9B607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Pleśna</w:t>
            </w:r>
          </w:p>
        </w:tc>
        <w:tc>
          <w:tcPr>
            <w:tcW w:w="1701" w:type="dxa"/>
            <w:tcBorders>
              <w:top w:val="nil"/>
              <w:left w:val="nil"/>
              <w:bottom w:val="single" w:sz="4" w:space="0" w:color="auto"/>
              <w:right w:val="single" w:sz="4" w:space="0" w:color="auto"/>
            </w:tcBorders>
            <w:shd w:val="clear" w:color="auto" w:fill="auto"/>
            <w:noWrap/>
            <w:vAlign w:val="center"/>
            <w:hideMark/>
          </w:tcPr>
          <w:p w14:paraId="66D1397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039611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2F1BC76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57BC840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06C8AF3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21BF1E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Radłów</w:t>
            </w:r>
          </w:p>
        </w:tc>
        <w:tc>
          <w:tcPr>
            <w:tcW w:w="1701" w:type="dxa"/>
            <w:tcBorders>
              <w:top w:val="nil"/>
              <w:left w:val="nil"/>
              <w:bottom w:val="single" w:sz="4" w:space="0" w:color="auto"/>
              <w:right w:val="single" w:sz="4" w:space="0" w:color="auto"/>
            </w:tcBorders>
            <w:shd w:val="clear" w:color="auto" w:fill="auto"/>
            <w:noWrap/>
            <w:vAlign w:val="center"/>
            <w:hideMark/>
          </w:tcPr>
          <w:p w14:paraId="251C803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5170830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645F2F0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329B318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09625E8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BF58A6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Ryglice</w:t>
            </w:r>
          </w:p>
        </w:tc>
        <w:tc>
          <w:tcPr>
            <w:tcW w:w="1701" w:type="dxa"/>
            <w:tcBorders>
              <w:top w:val="nil"/>
              <w:left w:val="nil"/>
              <w:bottom w:val="single" w:sz="4" w:space="0" w:color="auto"/>
              <w:right w:val="single" w:sz="4" w:space="0" w:color="auto"/>
            </w:tcBorders>
            <w:shd w:val="clear" w:color="auto" w:fill="auto"/>
            <w:noWrap/>
            <w:vAlign w:val="center"/>
            <w:hideMark/>
          </w:tcPr>
          <w:p w14:paraId="75CC1DB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329DA09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6426C54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3E6A26E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630002B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DD1444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Rzepiennik Strzyżewski</w:t>
            </w:r>
          </w:p>
        </w:tc>
        <w:tc>
          <w:tcPr>
            <w:tcW w:w="1701" w:type="dxa"/>
            <w:tcBorders>
              <w:top w:val="nil"/>
              <w:left w:val="nil"/>
              <w:bottom w:val="single" w:sz="4" w:space="0" w:color="auto"/>
              <w:right w:val="single" w:sz="4" w:space="0" w:color="auto"/>
            </w:tcBorders>
            <w:shd w:val="clear" w:color="auto" w:fill="auto"/>
            <w:noWrap/>
            <w:vAlign w:val="center"/>
            <w:hideMark/>
          </w:tcPr>
          <w:p w14:paraId="0034119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689456A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1DCD1B5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09F86B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638181C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274A6A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Skrzyszów</w:t>
            </w:r>
          </w:p>
        </w:tc>
        <w:tc>
          <w:tcPr>
            <w:tcW w:w="1701" w:type="dxa"/>
            <w:tcBorders>
              <w:top w:val="nil"/>
              <w:left w:val="nil"/>
              <w:bottom w:val="single" w:sz="4" w:space="0" w:color="auto"/>
              <w:right w:val="single" w:sz="4" w:space="0" w:color="auto"/>
            </w:tcBorders>
            <w:shd w:val="clear" w:color="auto" w:fill="auto"/>
            <w:noWrap/>
            <w:vAlign w:val="center"/>
            <w:hideMark/>
          </w:tcPr>
          <w:p w14:paraId="2029564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6CDF38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4A794A7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2A2B8B0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0178095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A5CA14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Szerzyny</w:t>
            </w:r>
          </w:p>
        </w:tc>
        <w:tc>
          <w:tcPr>
            <w:tcW w:w="1701" w:type="dxa"/>
            <w:tcBorders>
              <w:top w:val="nil"/>
              <w:left w:val="nil"/>
              <w:bottom w:val="single" w:sz="4" w:space="0" w:color="auto"/>
              <w:right w:val="single" w:sz="4" w:space="0" w:color="auto"/>
            </w:tcBorders>
            <w:shd w:val="clear" w:color="auto" w:fill="auto"/>
            <w:noWrap/>
            <w:vAlign w:val="center"/>
            <w:hideMark/>
          </w:tcPr>
          <w:p w14:paraId="4EA3456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68A983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4A215A8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C9BD64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74B312A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50BBE4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Tarnów</w:t>
            </w:r>
          </w:p>
        </w:tc>
        <w:tc>
          <w:tcPr>
            <w:tcW w:w="1701" w:type="dxa"/>
            <w:tcBorders>
              <w:top w:val="nil"/>
              <w:left w:val="nil"/>
              <w:bottom w:val="single" w:sz="4" w:space="0" w:color="auto"/>
              <w:right w:val="single" w:sz="4" w:space="0" w:color="auto"/>
            </w:tcBorders>
            <w:shd w:val="clear" w:color="auto" w:fill="auto"/>
            <w:noWrap/>
            <w:vAlign w:val="center"/>
            <w:hideMark/>
          </w:tcPr>
          <w:p w14:paraId="5E906C6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659CC93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308 522</w:t>
            </w:r>
          </w:p>
        </w:tc>
        <w:tc>
          <w:tcPr>
            <w:tcW w:w="1417" w:type="dxa"/>
            <w:tcBorders>
              <w:top w:val="nil"/>
              <w:left w:val="nil"/>
              <w:bottom w:val="single" w:sz="4" w:space="0" w:color="auto"/>
              <w:right w:val="single" w:sz="4" w:space="0" w:color="auto"/>
            </w:tcBorders>
            <w:shd w:val="clear" w:color="auto" w:fill="auto"/>
            <w:vAlign w:val="center"/>
            <w:hideMark/>
          </w:tcPr>
          <w:p w14:paraId="4AE1577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108 024</w:t>
            </w:r>
          </w:p>
        </w:tc>
        <w:tc>
          <w:tcPr>
            <w:tcW w:w="1418" w:type="dxa"/>
            <w:tcBorders>
              <w:top w:val="nil"/>
              <w:left w:val="nil"/>
              <w:bottom w:val="single" w:sz="4" w:space="0" w:color="auto"/>
              <w:right w:val="single" w:sz="4" w:space="0" w:color="auto"/>
            </w:tcBorders>
            <w:shd w:val="clear" w:color="auto" w:fill="auto"/>
            <w:vAlign w:val="center"/>
            <w:hideMark/>
          </w:tcPr>
          <w:p w14:paraId="41E476E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46 282</w:t>
            </w:r>
          </w:p>
        </w:tc>
      </w:tr>
      <w:tr w:rsidR="009348AC" w:rsidRPr="00E56406" w14:paraId="32AE24F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4DF5F1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Tuchów</w:t>
            </w:r>
          </w:p>
        </w:tc>
        <w:tc>
          <w:tcPr>
            <w:tcW w:w="1701" w:type="dxa"/>
            <w:tcBorders>
              <w:top w:val="nil"/>
              <w:left w:val="nil"/>
              <w:bottom w:val="single" w:sz="4" w:space="0" w:color="auto"/>
              <w:right w:val="single" w:sz="4" w:space="0" w:color="auto"/>
            </w:tcBorders>
            <w:shd w:val="clear" w:color="auto" w:fill="auto"/>
            <w:noWrap/>
            <w:vAlign w:val="center"/>
            <w:hideMark/>
          </w:tcPr>
          <w:p w14:paraId="5850E2A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3213276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423 462</w:t>
            </w:r>
          </w:p>
        </w:tc>
        <w:tc>
          <w:tcPr>
            <w:tcW w:w="1417" w:type="dxa"/>
            <w:tcBorders>
              <w:top w:val="nil"/>
              <w:left w:val="nil"/>
              <w:bottom w:val="single" w:sz="4" w:space="0" w:color="auto"/>
              <w:right w:val="single" w:sz="4" w:space="0" w:color="auto"/>
            </w:tcBorders>
            <w:shd w:val="clear" w:color="auto" w:fill="auto"/>
            <w:vAlign w:val="center"/>
            <w:hideMark/>
          </w:tcPr>
          <w:p w14:paraId="23DCAB3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148 268</w:t>
            </w:r>
          </w:p>
        </w:tc>
        <w:tc>
          <w:tcPr>
            <w:tcW w:w="1418" w:type="dxa"/>
            <w:tcBorders>
              <w:top w:val="nil"/>
              <w:left w:val="nil"/>
              <w:bottom w:val="single" w:sz="4" w:space="0" w:color="auto"/>
              <w:right w:val="single" w:sz="4" w:space="0" w:color="auto"/>
            </w:tcBorders>
            <w:shd w:val="clear" w:color="auto" w:fill="auto"/>
            <w:vAlign w:val="center"/>
            <w:hideMark/>
          </w:tcPr>
          <w:p w14:paraId="63A100F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63 525</w:t>
            </w:r>
          </w:p>
        </w:tc>
      </w:tr>
      <w:tr w:rsidR="009348AC" w:rsidRPr="00E56406" w14:paraId="000DCEED"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DCC3A5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Wierzchosławice</w:t>
            </w:r>
          </w:p>
        </w:tc>
        <w:tc>
          <w:tcPr>
            <w:tcW w:w="1701" w:type="dxa"/>
            <w:tcBorders>
              <w:top w:val="nil"/>
              <w:left w:val="nil"/>
              <w:bottom w:val="single" w:sz="4" w:space="0" w:color="auto"/>
              <w:right w:val="single" w:sz="4" w:space="0" w:color="auto"/>
            </w:tcBorders>
            <w:shd w:val="clear" w:color="auto" w:fill="auto"/>
            <w:noWrap/>
            <w:vAlign w:val="center"/>
            <w:hideMark/>
          </w:tcPr>
          <w:p w14:paraId="7EE81BE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2983ABD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3B6403B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06EE53B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008E93A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CC805D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Wietrzychowice</w:t>
            </w:r>
          </w:p>
        </w:tc>
        <w:tc>
          <w:tcPr>
            <w:tcW w:w="1701" w:type="dxa"/>
            <w:tcBorders>
              <w:top w:val="nil"/>
              <w:left w:val="nil"/>
              <w:bottom w:val="single" w:sz="4" w:space="0" w:color="auto"/>
              <w:right w:val="single" w:sz="4" w:space="0" w:color="auto"/>
            </w:tcBorders>
            <w:shd w:val="clear" w:color="auto" w:fill="auto"/>
            <w:noWrap/>
            <w:vAlign w:val="center"/>
            <w:hideMark/>
          </w:tcPr>
          <w:p w14:paraId="10957F6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52452F3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151 236</w:t>
            </w:r>
          </w:p>
        </w:tc>
        <w:tc>
          <w:tcPr>
            <w:tcW w:w="1417" w:type="dxa"/>
            <w:tcBorders>
              <w:top w:val="nil"/>
              <w:left w:val="nil"/>
              <w:bottom w:val="single" w:sz="4" w:space="0" w:color="auto"/>
              <w:right w:val="single" w:sz="4" w:space="0" w:color="auto"/>
            </w:tcBorders>
            <w:shd w:val="clear" w:color="auto" w:fill="auto"/>
            <w:vAlign w:val="center"/>
            <w:hideMark/>
          </w:tcPr>
          <w:p w14:paraId="43303B0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52 953</w:t>
            </w:r>
          </w:p>
        </w:tc>
        <w:tc>
          <w:tcPr>
            <w:tcW w:w="1418" w:type="dxa"/>
            <w:tcBorders>
              <w:top w:val="nil"/>
              <w:left w:val="nil"/>
              <w:bottom w:val="single" w:sz="4" w:space="0" w:color="auto"/>
              <w:right w:val="single" w:sz="4" w:space="0" w:color="auto"/>
            </w:tcBorders>
            <w:shd w:val="clear" w:color="auto" w:fill="auto"/>
            <w:vAlign w:val="center"/>
            <w:hideMark/>
          </w:tcPr>
          <w:p w14:paraId="2C5629C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22 687</w:t>
            </w:r>
          </w:p>
        </w:tc>
      </w:tr>
      <w:tr w:rsidR="009348AC" w:rsidRPr="00E56406" w14:paraId="7315F8D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8C298D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Wojnicz</w:t>
            </w:r>
          </w:p>
        </w:tc>
        <w:tc>
          <w:tcPr>
            <w:tcW w:w="1701" w:type="dxa"/>
            <w:tcBorders>
              <w:top w:val="nil"/>
              <w:left w:val="nil"/>
              <w:bottom w:val="single" w:sz="4" w:space="0" w:color="auto"/>
              <w:right w:val="single" w:sz="4" w:space="0" w:color="auto"/>
            </w:tcBorders>
            <w:shd w:val="clear" w:color="auto" w:fill="auto"/>
            <w:noWrap/>
            <w:vAlign w:val="center"/>
            <w:hideMark/>
          </w:tcPr>
          <w:p w14:paraId="5C6EA55B"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1BCA886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43E0747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14E011C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692D0583"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CF9621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Zakliczyn</w:t>
            </w:r>
          </w:p>
        </w:tc>
        <w:tc>
          <w:tcPr>
            <w:tcW w:w="1701" w:type="dxa"/>
            <w:tcBorders>
              <w:top w:val="nil"/>
              <w:left w:val="nil"/>
              <w:bottom w:val="single" w:sz="4" w:space="0" w:color="auto"/>
              <w:right w:val="single" w:sz="4" w:space="0" w:color="auto"/>
            </w:tcBorders>
            <w:shd w:val="clear" w:color="auto" w:fill="auto"/>
            <w:noWrap/>
            <w:vAlign w:val="center"/>
            <w:hideMark/>
          </w:tcPr>
          <w:p w14:paraId="76351FE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6F153A4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1C68B3F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77CC06C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r w:rsidR="009348AC" w:rsidRPr="00E56406" w14:paraId="456DB53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F39714A"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Żabno</w:t>
            </w:r>
          </w:p>
        </w:tc>
        <w:tc>
          <w:tcPr>
            <w:tcW w:w="1701" w:type="dxa"/>
            <w:tcBorders>
              <w:top w:val="nil"/>
              <w:left w:val="nil"/>
              <w:bottom w:val="single" w:sz="4" w:space="0" w:color="auto"/>
              <w:right w:val="single" w:sz="4" w:space="0" w:color="auto"/>
            </w:tcBorders>
            <w:shd w:val="clear" w:color="auto" w:fill="auto"/>
            <w:noWrap/>
            <w:vAlign w:val="center"/>
            <w:hideMark/>
          </w:tcPr>
          <w:p w14:paraId="59BC2A0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tarnowski</w:t>
            </w:r>
          </w:p>
        </w:tc>
        <w:tc>
          <w:tcPr>
            <w:tcW w:w="1418" w:type="dxa"/>
            <w:tcBorders>
              <w:top w:val="nil"/>
              <w:left w:val="nil"/>
              <w:bottom w:val="single" w:sz="4" w:space="0" w:color="auto"/>
              <w:right w:val="single" w:sz="4" w:space="0" w:color="auto"/>
            </w:tcBorders>
            <w:shd w:val="clear" w:color="auto" w:fill="auto"/>
            <w:noWrap/>
            <w:vAlign w:val="center"/>
            <w:hideMark/>
          </w:tcPr>
          <w:p w14:paraId="22A4479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296 423</w:t>
            </w:r>
          </w:p>
        </w:tc>
        <w:tc>
          <w:tcPr>
            <w:tcW w:w="1417" w:type="dxa"/>
            <w:tcBorders>
              <w:top w:val="nil"/>
              <w:left w:val="nil"/>
              <w:bottom w:val="single" w:sz="4" w:space="0" w:color="auto"/>
              <w:right w:val="single" w:sz="4" w:space="0" w:color="auto"/>
            </w:tcBorders>
            <w:shd w:val="clear" w:color="auto" w:fill="auto"/>
            <w:vAlign w:val="center"/>
            <w:hideMark/>
          </w:tcPr>
          <w:p w14:paraId="135B8D4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103 788</w:t>
            </w:r>
          </w:p>
        </w:tc>
        <w:tc>
          <w:tcPr>
            <w:tcW w:w="1418" w:type="dxa"/>
            <w:tcBorders>
              <w:top w:val="nil"/>
              <w:left w:val="nil"/>
              <w:bottom w:val="single" w:sz="4" w:space="0" w:color="auto"/>
              <w:right w:val="single" w:sz="4" w:space="0" w:color="auto"/>
            </w:tcBorders>
            <w:shd w:val="clear" w:color="auto" w:fill="auto"/>
            <w:vAlign w:val="center"/>
            <w:hideMark/>
          </w:tcPr>
          <w:p w14:paraId="3A46B3D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44 467</w:t>
            </w:r>
          </w:p>
        </w:tc>
      </w:tr>
      <w:tr w:rsidR="009348AC" w:rsidRPr="00E56406" w14:paraId="48AF0A5F"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CCDD9B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Biały Dunajec</w:t>
            </w:r>
          </w:p>
        </w:tc>
        <w:tc>
          <w:tcPr>
            <w:tcW w:w="1701" w:type="dxa"/>
            <w:tcBorders>
              <w:top w:val="nil"/>
              <w:left w:val="nil"/>
              <w:bottom w:val="single" w:sz="4" w:space="0" w:color="auto"/>
              <w:right w:val="single" w:sz="4" w:space="0" w:color="auto"/>
            </w:tcBorders>
            <w:shd w:val="clear" w:color="auto" w:fill="auto"/>
            <w:noWrap/>
            <w:vAlign w:val="center"/>
            <w:hideMark/>
          </w:tcPr>
          <w:p w14:paraId="2026406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tatrzański</w:t>
            </w:r>
          </w:p>
        </w:tc>
        <w:tc>
          <w:tcPr>
            <w:tcW w:w="1418" w:type="dxa"/>
            <w:tcBorders>
              <w:top w:val="nil"/>
              <w:left w:val="nil"/>
              <w:bottom w:val="single" w:sz="4" w:space="0" w:color="auto"/>
              <w:right w:val="single" w:sz="4" w:space="0" w:color="auto"/>
            </w:tcBorders>
            <w:shd w:val="clear" w:color="auto" w:fill="auto"/>
            <w:noWrap/>
            <w:vAlign w:val="center"/>
            <w:hideMark/>
          </w:tcPr>
          <w:p w14:paraId="7681CA7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179 971</w:t>
            </w:r>
          </w:p>
        </w:tc>
        <w:tc>
          <w:tcPr>
            <w:tcW w:w="1417" w:type="dxa"/>
            <w:tcBorders>
              <w:top w:val="nil"/>
              <w:left w:val="nil"/>
              <w:bottom w:val="single" w:sz="4" w:space="0" w:color="auto"/>
              <w:right w:val="single" w:sz="4" w:space="0" w:color="auto"/>
            </w:tcBorders>
            <w:shd w:val="clear" w:color="auto" w:fill="auto"/>
            <w:vAlign w:val="center"/>
            <w:hideMark/>
          </w:tcPr>
          <w:p w14:paraId="6C404A2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63 014</w:t>
            </w:r>
          </w:p>
        </w:tc>
        <w:tc>
          <w:tcPr>
            <w:tcW w:w="1418" w:type="dxa"/>
            <w:tcBorders>
              <w:top w:val="nil"/>
              <w:left w:val="nil"/>
              <w:bottom w:val="single" w:sz="4" w:space="0" w:color="auto"/>
              <w:right w:val="single" w:sz="4" w:space="0" w:color="auto"/>
            </w:tcBorders>
            <w:shd w:val="clear" w:color="auto" w:fill="auto"/>
            <w:vAlign w:val="center"/>
            <w:hideMark/>
          </w:tcPr>
          <w:p w14:paraId="7968E89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26 998</w:t>
            </w:r>
          </w:p>
        </w:tc>
      </w:tr>
      <w:tr w:rsidR="009348AC" w:rsidRPr="00E56406" w14:paraId="254012F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E2DB68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Bukowina Tatrzańska</w:t>
            </w:r>
          </w:p>
        </w:tc>
        <w:tc>
          <w:tcPr>
            <w:tcW w:w="1701" w:type="dxa"/>
            <w:tcBorders>
              <w:top w:val="nil"/>
              <w:left w:val="nil"/>
              <w:bottom w:val="single" w:sz="4" w:space="0" w:color="auto"/>
              <w:right w:val="single" w:sz="4" w:space="0" w:color="auto"/>
            </w:tcBorders>
            <w:shd w:val="clear" w:color="auto" w:fill="auto"/>
            <w:noWrap/>
            <w:vAlign w:val="center"/>
            <w:hideMark/>
          </w:tcPr>
          <w:p w14:paraId="3AC1297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tatrzański</w:t>
            </w:r>
          </w:p>
        </w:tc>
        <w:tc>
          <w:tcPr>
            <w:tcW w:w="1418" w:type="dxa"/>
            <w:tcBorders>
              <w:top w:val="nil"/>
              <w:left w:val="nil"/>
              <w:bottom w:val="single" w:sz="4" w:space="0" w:color="auto"/>
              <w:right w:val="single" w:sz="4" w:space="0" w:color="auto"/>
            </w:tcBorders>
            <w:shd w:val="clear" w:color="auto" w:fill="auto"/>
            <w:noWrap/>
            <w:vAlign w:val="center"/>
            <w:hideMark/>
          </w:tcPr>
          <w:p w14:paraId="1F60D05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6024603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6E8CA91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510BE996"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624D41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Kościelisko</w:t>
            </w:r>
          </w:p>
        </w:tc>
        <w:tc>
          <w:tcPr>
            <w:tcW w:w="1701" w:type="dxa"/>
            <w:tcBorders>
              <w:top w:val="nil"/>
              <w:left w:val="nil"/>
              <w:bottom w:val="single" w:sz="4" w:space="0" w:color="auto"/>
              <w:right w:val="single" w:sz="4" w:space="0" w:color="auto"/>
            </w:tcBorders>
            <w:shd w:val="clear" w:color="auto" w:fill="auto"/>
            <w:noWrap/>
            <w:vAlign w:val="center"/>
            <w:hideMark/>
          </w:tcPr>
          <w:p w14:paraId="6DE8627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tatrzański</w:t>
            </w:r>
          </w:p>
        </w:tc>
        <w:tc>
          <w:tcPr>
            <w:tcW w:w="1418" w:type="dxa"/>
            <w:tcBorders>
              <w:top w:val="nil"/>
              <w:left w:val="nil"/>
              <w:bottom w:val="single" w:sz="4" w:space="0" w:color="auto"/>
              <w:right w:val="single" w:sz="4" w:space="0" w:color="auto"/>
            </w:tcBorders>
            <w:shd w:val="clear" w:color="auto" w:fill="auto"/>
            <w:noWrap/>
            <w:vAlign w:val="center"/>
            <w:hideMark/>
          </w:tcPr>
          <w:p w14:paraId="07159A3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62C8F7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52BDA91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7D135AA7"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10CF55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Poronin</w:t>
            </w:r>
          </w:p>
        </w:tc>
        <w:tc>
          <w:tcPr>
            <w:tcW w:w="1701" w:type="dxa"/>
            <w:tcBorders>
              <w:top w:val="nil"/>
              <w:left w:val="nil"/>
              <w:bottom w:val="single" w:sz="4" w:space="0" w:color="auto"/>
              <w:right w:val="single" w:sz="4" w:space="0" w:color="auto"/>
            </w:tcBorders>
            <w:shd w:val="clear" w:color="auto" w:fill="auto"/>
            <w:noWrap/>
            <w:vAlign w:val="center"/>
            <w:hideMark/>
          </w:tcPr>
          <w:p w14:paraId="792DAA67"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tatrzański</w:t>
            </w:r>
          </w:p>
        </w:tc>
        <w:tc>
          <w:tcPr>
            <w:tcW w:w="1418" w:type="dxa"/>
            <w:tcBorders>
              <w:top w:val="nil"/>
              <w:left w:val="nil"/>
              <w:bottom w:val="single" w:sz="4" w:space="0" w:color="auto"/>
              <w:right w:val="single" w:sz="4" w:space="0" w:color="auto"/>
            </w:tcBorders>
            <w:shd w:val="clear" w:color="auto" w:fill="auto"/>
            <w:noWrap/>
            <w:vAlign w:val="center"/>
            <w:hideMark/>
          </w:tcPr>
          <w:p w14:paraId="67EF256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211 731</w:t>
            </w:r>
          </w:p>
        </w:tc>
        <w:tc>
          <w:tcPr>
            <w:tcW w:w="1417" w:type="dxa"/>
            <w:tcBorders>
              <w:top w:val="nil"/>
              <w:left w:val="nil"/>
              <w:bottom w:val="single" w:sz="4" w:space="0" w:color="auto"/>
              <w:right w:val="single" w:sz="4" w:space="0" w:color="auto"/>
            </w:tcBorders>
            <w:shd w:val="clear" w:color="auto" w:fill="auto"/>
            <w:vAlign w:val="center"/>
            <w:hideMark/>
          </w:tcPr>
          <w:p w14:paraId="5C7AE78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74 134</w:t>
            </w:r>
          </w:p>
        </w:tc>
        <w:tc>
          <w:tcPr>
            <w:tcW w:w="1418" w:type="dxa"/>
            <w:tcBorders>
              <w:top w:val="nil"/>
              <w:left w:val="nil"/>
              <w:bottom w:val="single" w:sz="4" w:space="0" w:color="auto"/>
              <w:right w:val="single" w:sz="4" w:space="0" w:color="auto"/>
            </w:tcBorders>
            <w:shd w:val="clear" w:color="auto" w:fill="auto"/>
            <w:vAlign w:val="center"/>
            <w:hideMark/>
          </w:tcPr>
          <w:p w14:paraId="7210798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31 762</w:t>
            </w:r>
          </w:p>
        </w:tc>
      </w:tr>
      <w:tr w:rsidR="009348AC" w:rsidRPr="00E56406" w14:paraId="2D88E01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A89A96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Andrychów</w:t>
            </w:r>
          </w:p>
        </w:tc>
        <w:tc>
          <w:tcPr>
            <w:tcW w:w="1701" w:type="dxa"/>
            <w:tcBorders>
              <w:top w:val="nil"/>
              <w:left w:val="nil"/>
              <w:bottom w:val="single" w:sz="4" w:space="0" w:color="auto"/>
              <w:right w:val="single" w:sz="4" w:space="0" w:color="auto"/>
            </w:tcBorders>
            <w:shd w:val="clear" w:color="auto" w:fill="auto"/>
            <w:noWrap/>
            <w:vAlign w:val="center"/>
            <w:hideMark/>
          </w:tcPr>
          <w:p w14:paraId="3E35EF6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362E015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423 462</w:t>
            </w:r>
          </w:p>
        </w:tc>
        <w:tc>
          <w:tcPr>
            <w:tcW w:w="1417" w:type="dxa"/>
            <w:tcBorders>
              <w:top w:val="nil"/>
              <w:left w:val="nil"/>
              <w:bottom w:val="single" w:sz="4" w:space="0" w:color="auto"/>
              <w:right w:val="single" w:sz="4" w:space="0" w:color="auto"/>
            </w:tcBorders>
            <w:shd w:val="clear" w:color="auto" w:fill="auto"/>
            <w:vAlign w:val="center"/>
            <w:hideMark/>
          </w:tcPr>
          <w:p w14:paraId="1DF6F01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148 268</w:t>
            </w:r>
          </w:p>
        </w:tc>
        <w:tc>
          <w:tcPr>
            <w:tcW w:w="1418" w:type="dxa"/>
            <w:tcBorders>
              <w:top w:val="nil"/>
              <w:left w:val="nil"/>
              <w:bottom w:val="single" w:sz="4" w:space="0" w:color="auto"/>
              <w:right w:val="single" w:sz="4" w:space="0" w:color="auto"/>
            </w:tcBorders>
            <w:shd w:val="clear" w:color="auto" w:fill="auto"/>
            <w:vAlign w:val="center"/>
            <w:hideMark/>
          </w:tcPr>
          <w:p w14:paraId="2564F7F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63 525</w:t>
            </w:r>
          </w:p>
        </w:tc>
      </w:tr>
      <w:tr w:rsidR="009348AC" w:rsidRPr="00E56406" w14:paraId="57CFE282"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709E91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Brzeźnica</w:t>
            </w:r>
          </w:p>
        </w:tc>
        <w:tc>
          <w:tcPr>
            <w:tcW w:w="1701" w:type="dxa"/>
            <w:tcBorders>
              <w:top w:val="nil"/>
              <w:left w:val="nil"/>
              <w:bottom w:val="single" w:sz="4" w:space="0" w:color="auto"/>
              <w:right w:val="single" w:sz="4" w:space="0" w:color="auto"/>
            </w:tcBorders>
            <w:shd w:val="clear" w:color="auto" w:fill="auto"/>
            <w:noWrap/>
            <w:vAlign w:val="center"/>
            <w:hideMark/>
          </w:tcPr>
          <w:p w14:paraId="5240C2B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1979F35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76783D4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7DD4626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4AA69B2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D316E0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Kalwaria Zebrzydowska</w:t>
            </w:r>
          </w:p>
        </w:tc>
        <w:tc>
          <w:tcPr>
            <w:tcW w:w="1701" w:type="dxa"/>
            <w:tcBorders>
              <w:top w:val="nil"/>
              <w:left w:val="nil"/>
              <w:bottom w:val="single" w:sz="4" w:space="0" w:color="auto"/>
              <w:right w:val="single" w:sz="4" w:space="0" w:color="auto"/>
            </w:tcBorders>
            <w:shd w:val="clear" w:color="auto" w:fill="auto"/>
            <w:noWrap/>
            <w:vAlign w:val="center"/>
            <w:hideMark/>
          </w:tcPr>
          <w:p w14:paraId="4C5672A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2B7983C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359 942</w:t>
            </w:r>
          </w:p>
        </w:tc>
        <w:tc>
          <w:tcPr>
            <w:tcW w:w="1417" w:type="dxa"/>
            <w:tcBorders>
              <w:top w:val="nil"/>
              <w:left w:val="nil"/>
              <w:bottom w:val="single" w:sz="4" w:space="0" w:color="auto"/>
              <w:right w:val="single" w:sz="4" w:space="0" w:color="auto"/>
            </w:tcBorders>
            <w:shd w:val="clear" w:color="auto" w:fill="auto"/>
            <w:vAlign w:val="center"/>
            <w:hideMark/>
          </w:tcPr>
          <w:p w14:paraId="6FC04C17"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126 028</w:t>
            </w:r>
          </w:p>
        </w:tc>
        <w:tc>
          <w:tcPr>
            <w:tcW w:w="1418" w:type="dxa"/>
            <w:tcBorders>
              <w:top w:val="nil"/>
              <w:left w:val="nil"/>
              <w:bottom w:val="single" w:sz="4" w:space="0" w:color="auto"/>
              <w:right w:val="single" w:sz="4" w:space="0" w:color="auto"/>
            </w:tcBorders>
            <w:shd w:val="clear" w:color="auto" w:fill="auto"/>
            <w:vAlign w:val="center"/>
            <w:hideMark/>
          </w:tcPr>
          <w:p w14:paraId="3F340B6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53 996</w:t>
            </w:r>
          </w:p>
        </w:tc>
      </w:tr>
      <w:tr w:rsidR="009348AC" w:rsidRPr="00E56406" w14:paraId="760231CC"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49A0E9C"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Lanckorona</w:t>
            </w:r>
          </w:p>
        </w:tc>
        <w:tc>
          <w:tcPr>
            <w:tcW w:w="1701" w:type="dxa"/>
            <w:tcBorders>
              <w:top w:val="nil"/>
              <w:left w:val="nil"/>
              <w:bottom w:val="single" w:sz="4" w:space="0" w:color="auto"/>
              <w:right w:val="single" w:sz="4" w:space="0" w:color="auto"/>
            </w:tcBorders>
            <w:shd w:val="clear" w:color="auto" w:fill="auto"/>
            <w:noWrap/>
            <w:vAlign w:val="center"/>
            <w:hideMark/>
          </w:tcPr>
          <w:p w14:paraId="552F7DC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19F8B53A"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148 211</w:t>
            </w:r>
          </w:p>
        </w:tc>
        <w:tc>
          <w:tcPr>
            <w:tcW w:w="1417" w:type="dxa"/>
            <w:tcBorders>
              <w:top w:val="nil"/>
              <w:left w:val="nil"/>
              <w:bottom w:val="single" w:sz="4" w:space="0" w:color="auto"/>
              <w:right w:val="single" w:sz="4" w:space="0" w:color="auto"/>
            </w:tcBorders>
            <w:shd w:val="clear" w:color="auto" w:fill="auto"/>
            <w:vAlign w:val="center"/>
            <w:hideMark/>
          </w:tcPr>
          <w:p w14:paraId="754D308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51 894</w:t>
            </w:r>
          </w:p>
        </w:tc>
        <w:tc>
          <w:tcPr>
            <w:tcW w:w="1418" w:type="dxa"/>
            <w:tcBorders>
              <w:top w:val="nil"/>
              <w:left w:val="nil"/>
              <w:bottom w:val="single" w:sz="4" w:space="0" w:color="auto"/>
              <w:right w:val="single" w:sz="4" w:space="0" w:color="auto"/>
            </w:tcBorders>
            <w:shd w:val="clear" w:color="auto" w:fill="auto"/>
            <w:vAlign w:val="center"/>
            <w:hideMark/>
          </w:tcPr>
          <w:p w14:paraId="2D4CCA8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22 233</w:t>
            </w:r>
          </w:p>
        </w:tc>
      </w:tr>
      <w:tr w:rsidR="009348AC" w:rsidRPr="00E56406" w14:paraId="455635E8"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D3D4503"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Mucharz</w:t>
            </w:r>
          </w:p>
        </w:tc>
        <w:tc>
          <w:tcPr>
            <w:tcW w:w="1701" w:type="dxa"/>
            <w:tcBorders>
              <w:top w:val="nil"/>
              <w:left w:val="nil"/>
              <w:bottom w:val="single" w:sz="4" w:space="0" w:color="auto"/>
              <w:right w:val="single" w:sz="4" w:space="0" w:color="auto"/>
            </w:tcBorders>
            <w:shd w:val="clear" w:color="auto" w:fill="auto"/>
            <w:noWrap/>
            <w:vAlign w:val="center"/>
            <w:hideMark/>
          </w:tcPr>
          <w:p w14:paraId="428D5F21"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44874310"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75 618</w:t>
            </w:r>
          </w:p>
        </w:tc>
        <w:tc>
          <w:tcPr>
            <w:tcW w:w="1417" w:type="dxa"/>
            <w:tcBorders>
              <w:top w:val="nil"/>
              <w:left w:val="nil"/>
              <w:bottom w:val="single" w:sz="4" w:space="0" w:color="auto"/>
              <w:right w:val="single" w:sz="4" w:space="0" w:color="auto"/>
            </w:tcBorders>
            <w:shd w:val="clear" w:color="auto" w:fill="auto"/>
            <w:vAlign w:val="center"/>
            <w:hideMark/>
          </w:tcPr>
          <w:p w14:paraId="1424A0F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26 476</w:t>
            </w:r>
          </w:p>
        </w:tc>
        <w:tc>
          <w:tcPr>
            <w:tcW w:w="1418" w:type="dxa"/>
            <w:tcBorders>
              <w:top w:val="nil"/>
              <w:left w:val="nil"/>
              <w:bottom w:val="single" w:sz="4" w:space="0" w:color="auto"/>
              <w:right w:val="single" w:sz="4" w:space="0" w:color="auto"/>
            </w:tcBorders>
            <w:shd w:val="clear" w:color="auto" w:fill="auto"/>
            <w:vAlign w:val="center"/>
            <w:hideMark/>
          </w:tcPr>
          <w:p w14:paraId="5C4104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11 343</w:t>
            </w:r>
          </w:p>
        </w:tc>
      </w:tr>
      <w:tr w:rsidR="009348AC" w:rsidRPr="00E56406" w14:paraId="334D4B8E"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75EE0D9"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Stryszów</w:t>
            </w:r>
          </w:p>
        </w:tc>
        <w:tc>
          <w:tcPr>
            <w:tcW w:w="1701" w:type="dxa"/>
            <w:tcBorders>
              <w:top w:val="nil"/>
              <w:left w:val="nil"/>
              <w:bottom w:val="single" w:sz="4" w:space="0" w:color="auto"/>
              <w:right w:val="single" w:sz="4" w:space="0" w:color="auto"/>
            </w:tcBorders>
            <w:shd w:val="clear" w:color="auto" w:fill="auto"/>
            <w:noWrap/>
            <w:vAlign w:val="center"/>
            <w:hideMark/>
          </w:tcPr>
          <w:p w14:paraId="2DE496F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358022B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0FC003D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5461497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52447E2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75845D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Wadowice</w:t>
            </w:r>
          </w:p>
        </w:tc>
        <w:tc>
          <w:tcPr>
            <w:tcW w:w="1701" w:type="dxa"/>
            <w:tcBorders>
              <w:top w:val="nil"/>
              <w:left w:val="nil"/>
              <w:bottom w:val="single" w:sz="4" w:space="0" w:color="auto"/>
              <w:right w:val="single" w:sz="4" w:space="0" w:color="auto"/>
            </w:tcBorders>
            <w:shd w:val="clear" w:color="auto" w:fill="auto"/>
            <w:noWrap/>
            <w:vAlign w:val="center"/>
            <w:hideMark/>
          </w:tcPr>
          <w:p w14:paraId="507B952E"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3016E44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362 967</w:t>
            </w:r>
          </w:p>
        </w:tc>
        <w:tc>
          <w:tcPr>
            <w:tcW w:w="1417" w:type="dxa"/>
            <w:tcBorders>
              <w:top w:val="nil"/>
              <w:left w:val="nil"/>
              <w:bottom w:val="single" w:sz="4" w:space="0" w:color="auto"/>
              <w:right w:val="single" w:sz="4" w:space="0" w:color="auto"/>
            </w:tcBorders>
            <w:shd w:val="clear" w:color="auto" w:fill="auto"/>
            <w:vAlign w:val="center"/>
            <w:hideMark/>
          </w:tcPr>
          <w:p w14:paraId="79400DB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127 087</w:t>
            </w:r>
          </w:p>
        </w:tc>
        <w:tc>
          <w:tcPr>
            <w:tcW w:w="1418" w:type="dxa"/>
            <w:tcBorders>
              <w:top w:val="nil"/>
              <w:left w:val="nil"/>
              <w:bottom w:val="single" w:sz="4" w:space="0" w:color="auto"/>
              <w:right w:val="single" w:sz="4" w:space="0" w:color="auto"/>
            </w:tcBorders>
            <w:shd w:val="clear" w:color="auto" w:fill="auto"/>
            <w:vAlign w:val="center"/>
            <w:hideMark/>
          </w:tcPr>
          <w:p w14:paraId="295C3AB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54 450</w:t>
            </w:r>
          </w:p>
        </w:tc>
      </w:tr>
      <w:tr w:rsidR="009348AC" w:rsidRPr="00E56406" w14:paraId="3AEB867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8A78C0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Spytkowice</w:t>
            </w:r>
          </w:p>
        </w:tc>
        <w:tc>
          <w:tcPr>
            <w:tcW w:w="1701" w:type="dxa"/>
            <w:tcBorders>
              <w:top w:val="nil"/>
              <w:left w:val="nil"/>
              <w:bottom w:val="single" w:sz="4" w:space="0" w:color="auto"/>
              <w:right w:val="single" w:sz="4" w:space="0" w:color="auto"/>
            </w:tcBorders>
            <w:shd w:val="clear" w:color="auto" w:fill="auto"/>
            <w:noWrap/>
            <w:vAlign w:val="center"/>
            <w:hideMark/>
          </w:tcPr>
          <w:p w14:paraId="3EB4EDA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3E0DB6B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2F289521"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42EDE15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487DBD8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892BA0D"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Tomice</w:t>
            </w:r>
          </w:p>
        </w:tc>
        <w:tc>
          <w:tcPr>
            <w:tcW w:w="1701" w:type="dxa"/>
            <w:tcBorders>
              <w:top w:val="nil"/>
              <w:left w:val="nil"/>
              <w:bottom w:val="single" w:sz="4" w:space="0" w:color="auto"/>
              <w:right w:val="single" w:sz="4" w:space="0" w:color="auto"/>
            </w:tcBorders>
            <w:shd w:val="clear" w:color="auto" w:fill="auto"/>
            <w:noWrap/>
            <w:vAlign w:val="center"/>
            <w:hideMark/>
          </w:tcPr>
          <w:p w14:paraId="2FF88CB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wadowicki</w:t>
            </w:r>
          </w:p>
        </w:tc>
        <w:tc>
          <w:tcPr>
            <w:tcW w:w="1418" w:type="dxa"/>
            <w:tcBorders>
              <w:top w:val="nil"/>
              <w:left w:val="nil"/>
              <w:bottom w:val="single" w:sz="4" w:space="0" w:color="auto"/>
              <w:right w:val="single" w:sz="4" w:space="0" w:color="auto"/>
            </w:tcBorders>
            <w:shd w:val="clear" w:color="auto" w:fill="auto"/>
            <w:noWrap/>
            <w:vAlign w:val="center"/>
            <w:hideMark/>
          </w:tcPr>
          <w:p w14:paraId="6D3B3C64"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127 038</w:t>
            </w:r>
          </w:p>
        </w:tc>
        <w:tc>
          <w:tcPr>
            <w:tcW w:w="1417" w:type="dxa"/>
            <w:tcBorders>
              <w:top w:val="nil"/>
              <w:left w:val="nil"/>
              <w:bottom w:val="single" w:sz="4" w:space="0" w:color="auto"/>
              <w:right w:val="single" w:sz="4" w:space="0" w:color="auto"/>
            </w:tcBorders>
            <w:shd w:val="clear" w:color="auto" w:fill="auto"/>
            <w:vAlign w:val="center"/>
            <w:hideMark/>
          </w:tcPr>
          <w:p w14:paraId="1488C875"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44 480</w:t>
            </w:r>
          </w:p>
        </w:tc>
        <w:tc>
          <w:tcPr>
            <w:tcW w:w="1418" w:type="dxa"/>
            <w:tcBorders>
              <w:top w:val="nil"/>
              <w:left w:val="nil"/>
              <w:bottom w:val="single" w:sz="4" w:space="0" w:color="auto"/>
              <w:right w:val="single" w:sz="4" w:space="0" w:color="auto"/>
            </w:tcBorders>
            <w:shd w:val="clear" w:color="auto" w:fill="auto"/>
            <w:vAlign w:val="center"/>
            <w:hideMark/>
          </w:tcPr>
          <w:p w14:paraId="5E7EFB5B"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19 057</w:t>
            </w:r>
          </w:p>
        </w:tc>
      </w:tr>
      <w:tr w:rsidR="009348AC" w:rsidRPr="00E56406" w14:paraId="7008C229"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ADBE9D6"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Biskupice</w:t>
            </w:r>
          </w:p>
        </w:tc>
        <w:tc>
          <w:tcPr>
            <w:tcW w:w="1701" w:type="dxa"/>
            <w:tcBorders>
              <w:top w:val="nil"/>
              <w:left w:val="nil"/>
              <w:bottom w:val="single" w:sz="4" w:space="0" w:color="auto"/>
              <w:right w:val="single" w:sz="4" w:space="0" w:color="auto"/>
            </w:tcBorders>
            <w:shd w:val="clear" w:color="auto" w:fill="auto"/>
            <w:noWrap/>
            <w:vAlign w:val="center"/>
            <w:hideMark/>
          </w:tcPr>
          <w:p w14:paraId="01A686C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wielicki</w:t>
            </w:r>
          </w:p>
        </w:tc>
        <w:tc>
          <w:tcPr>
            <w:tcW w:w="1418" w:type="dxa"/>
            <w:tcBorders>
              <w:top w:val="nil"/>
              <w:left w:val="nil"/>
              <w:bottom w:val="single" w:sz="4" w:space="0" w:color="auto"/>
              <w:right w:val="single" w:sz="4" w:space="0" w:color="auto"/>
            </w:tcBorders>
            <w:shd w:val="clear" w:color="auto" w:fill="auto"/>
            <w:noWrap/>
            <w:vAlign w:val="center"/>
            <w:hideMark/>
          </w:tcPr>
          <w:p w14:paraId="6C8CE6BD"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747CE32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7624777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3F7A2F84"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B0D9150"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Gdów</w:t>
            </w:r>
          </w:p>
        </w:tc>
        <w:tc>
          <w:tcPr>
            <w:tcW w:w="1701" w:type="dxa"/>
            <w:tcBorders>
              <w:top w:val="nil"/>
              <w:left w:val="nil"/>
              <w:bottom w:val="single" w:sz="4" w:space="0" w:color="auto"/>
              <w:right w:val="single" w:sz="4" w:space="0" w:color="auto"/>
            </w:tcBorders>
            <w:shd w:val="clear" w:color="auto" w:fill="auto"/>
            <w:noWrap/>
            <w:vAlign w:val="center"/>
            <w:hideMark/>
          </w:tcPr>
          <w:p w14:paraId="728C6B9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wielicki</w:t>
            </w:r>
          </w:p>
        </w:tc>
        <w:tc>
          <w:tcPr>
            <w:tcW w:w="1418" w:type="dxa"/>
            <w:tcBorders>
              <w:top w:val="nil"/>
              <w:left w:val="nil"/>
              <w:bottom w:val="single" w:sz="4" w:space="0" w:color="auto"/>
              <w:right w:val="single" w:sz="4" w:space="0" w:color="auto"/>
            </w:tcBorders>
            <w:shd w:val="clear" w:color="auto" w:fill="auto"/>
            <w:noWrap/>
            <w:vAlign w:val="center"/>
            <w:hideMark/>
          </w:tcPr>
          <w:p w14:paraId="1009B07F"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254 077</w:t>
            </w:r>
          </w:p>
        </w:tc>
        <w:tc>
          <w:tcPr>
            <w:tcW w:w="1417" w:type="dxa"/>
            <w:tcBorders>
              <w:top w:val="nil"/>
              <w:left w:val="nil"/>
              <w:bottom w:val="single" w:sz="4" w:space="0" w:color="auto"/>
              <w:right w:val="single" w:sz="4" w:space="0" w:color="auto"/>
            </w:tcBorders>
            <w:shd w:val="clear" w:color="auto" w:fill="auto"/>
            <w:vAlign w:val="center"/>
            <w:hideMark/>
          </w:tcPr>
          <w:p w14:paraId="5EC4A3D2"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88 961</w:t>
            </w:r>
          </w:p>
        </w:tc>
        <w:tc>
          <w:tcPr>
            <w:tcW w:w="1418" w:type="dxa"/>
            <w:tcBorders>
              <w:top w:val="nil"/>
              <w:left w:val="nil"/>
              <w:bottom w:val="single" w:sz="4" w:space="0" w:color="auto"/>
              <w:right w:val="single" w:sz="4" w:space="0" w:color="auto"/>
            </w:tcBorders>
            <w:shd w:val="clear" w:color="auto" w:fill="auto"/>
            <w:vAlign w:val="center"/>
            <w:hideMark/>
          </w:tcPr>
          <w:p w14:paraId="38CD852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38 115</w:t>
            </w:r>
          </w:p>
        </w:tc>
      </w:tr>
      <w:tr w:rsidR="009348AC" w:rsidRPr="00E56406" w14:paraId="3F5ECF30"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D7DA89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Kłaj</w:t>
            </w:r>
          </w:p>
        </w:tc>
        <w:tc>
          <w:tcPr>
            <w:tcW w:w="1701" w:type="dxa"/>
            <w:tcBorders>
              <w:top w:val="nil"/>
              <w:left w:val="nil"/>
              <w:bottom w:val="single" w:sz="4" w:space="0" w:color="auto"/>
              <w:right w:val="single" w:sz="4" w:space="0" w:color="auto"/>
            </w:tcBorders>
            <w:shd w:val="clear" w:color="auto" w:fill="auto"/>
            <w:noWrap/>
            <w:vAlign w:val="center"/>
            <w:hideMark/>
          </w:tcPr>
          <w:p w14:paraId="68B9167F"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wielicki</w:t>
            </w:r>
          </w:p>
        </w:tc>
        <w:tc>
          <w:tcPr>
            <w:tcW w:w="1418" w:type="dxa"/>
            <w:tcBorders>
              <w:top w:val="nil"/>
              <w:left w:val="nil"/>
              <w:bottom w:val="single" w:sz="4" w:space="0" w:color="auto"/>
              <w:right w:val="single" w:sz="4" w:space="0" w:color="auto"/>
            </w:tcBorders>
            <w:shd w:val="clear" w:color="auto" w:fill="auto"/>
            <w:noWrap/>
            <w:vAlign w:val="center"/>
            <w:hideMark/>
          </w:tcPr>
          <w:p w14:paraId="1FA0F316"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181 483</w:t>
            </w:r>
          </w:p>
        </w:tc>
        <w:tc>
          <w:tcPr>
            <w:tcW w:w="1417" w:type="dxa"/>
            <w:tcBorders>
              <w:top w:val="nil"/>
              <w:left w:val="nil"/>
              <w:bottom w:val="single" w:sz="4" w:space="0" w:color="auto"/>
              <w:right w:val="single" w:sz="4" w:space="0" w:color="auto"/>
            </w:tcBorders>
            <w:shd w:val="clear" w:color="auto" w:fill="auto"/>
            <w:vAlign w:val="center"/>
            <w:hideMark/>
          </w:tcPr>
          <w:p w14:paraId="7C9A4A83"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63 543</w:t>
            </w:r>
          </w:p>
        </w:tc>
        <w:tc>
          <w:tcPr>
            <w:tcW w:w="1418" w:type="dxa"/>
            <w:tcBorders>
              <w:top w:val="nil"/>
              <w:left w:val="nil"/>
              <w:bottom w:val="single" w:sz="4" w:space="0" w:color="auto"/>
              <w:right w:val="single" w:sz="4" w:space="0" w:color="auto"/>
            </w:tcBorders>
            <w:shd w:val="clear" w:color="auto" w:fill="auto"/>
            <w:vAlign w:val="center"/>
            <w:hideMark/>
          </w:tcPr>
          <w:p w14:paraId="4629744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27 225</w:t>
            </w:r>
          </w:p>
        </w:tc>
      </w:tr>
      <w:tr w:rsidR="009348AC" w:rsidRPr="00E56406" w14:paraId="21D6CEFA"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33F46E5"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Niepołomice</w:t>
            </w:r>
          </w:p>
        </w:tc>
        <w:tc>
          <w:tcPr>
            <w:tcW w:w="1701" w:type="dxa"/>
            <w:tcBorders>
              <w:top w:val="nil"/>
              <w:left w:val="nil"/>
              <w:bottom w:val="single" w:sz="4" w:space="0" w:color="auto"/>
              <w:right w:val="single" w:sz="4" w:space="0" w:color="auto"/>
            </w:tcBorders>
            <w:shd w:val="clear" w:color="auto" w:fill="auto"/>
            <w:noWrap/>
            <w:vAlign w:val="center"/>
            <w:hideMark/>
          </w:tcPr>
          <w:p w14:paraId="1D8F8C98"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wielicki</w:t>
            </w:r>
          </w:p>
        </w:tc>
        <w:tc>
          <w:tcPr>
            <w:tcW w:w="1418" w:type="dxa"/>
            <w:tcBorders>
              <w:top w:val="nil"/>
              <w:left w:val="nil"/>
              <w:bottom w:val="single" w:sz="4" w:space="0" w:color="auto"/>
              <w:right w:val="single" w:sz="4" w:space="0" w:color="auto"/>
            </w:tcBorders>
            <w:shd w:val="clear" w:color="auto" w:fill="auto"/>
            <w:noWrap/>
            <w:vAlign w:val="center"/>
            <w:hideMark/>
          </w:tcPr>
          <w:p w14:paraId="27116F0C"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257 102</w:t>
            </w:r>
          </w:p>
        </w:tc>
        <w:tc>
          <w:tcPr>
            <w:tcW w:w="1417" w:type="dxa"/>
            <w:tcBorders>
              <w:top w:val="nil"/>
              <w:left w:val="nil"/>
              <w:bottom w:val="single" w:sz="4" w:space="0" w:color="auto"/>
              <w:right w:val="single" w:sz="4" w:space="0" w:color="auto"/>
            </w:tcBorders>
            <w:shd w:val="clear" w:color="auto" w:fill="auto"/>
            <w:vAlign w:val="center"/>
            <w:hideMark/>
          </w:tcPr>
          <w:p w14:paraId="62DDF24E"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90 020</w:t>
            </w:r>
          </w:p>
        </w:tc>
        <w:tc>
          <w:tcPr>
            <w:tcW w:w="1418" w:type="dxa"/>
            <w:tcBorders>
              <w:top w:val="nil"/>
              <w:left w:val="nil"/>
              <w:bottom w:val="single" w:sz="4" w:space="0" w:color="auto"/>
              <w:right w:val="single" w:sz="4" w:space="0" w:color="auto"/>
            </w:tcBorders>
            <w:shd w:val="clear" w:color="auto" w:fill="auto"/>
            <w:vAlign w:val="center"/>
            <w:hideMark/>
          </w:tcPr>
          <w:p w14:paraId="77A5771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38 569</w:t>
            </w:r>
          </w:p>
        </w:tc>
      </w:tr>
      <w:tr w:rsidR="009348AC" w:rsidRPr="00E56406" w14:paraId="3CA63301" w14:textId="77777777" w:rsidTr="008D1812">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8CF1F04"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Wieliczka (bez miasta)</w:t>
            </w:r>
          </w:p>
        </w:tc>
        <w:tc>
          <w:tcPr>
            <w:tcW w:w="1701" w:type="dxa"/>
            <w:tcBorders>
              <w:top w:val="nil"/>
              <w:left w:val="nil"/>
              <w:bottom w:val="single" w:sz="4" w:space="0" w:color="auto"/>
              <w:right w:val="single" w:sz="4" w:space="0" w:color="auto"/>
            </w:tcBorders>
            <w:shd w:val="clear" w:color="auto" w:fill="auto"/>
            <w:noWrap/>
            <w:vAlign w:val="center"/>
            <w:hideMark/>
          </w:tcPr>
          <w:p w14:paraId="4CE5C042" w14:textId="77777777" w:rsidR="009348AC" w:rsidRPr="00E56406" w:rsidRDefault="009348AC" w:rsidP="008357C2">
            <w:pPr>
              <w:spacing w:after="0" w:line="240" w:lineRule="auto"/>
              <w:rPr>
                <w:rFonts w:asciiTheme="minorHAnsi" w:hAnsiTheme="minorHAnsi" w:cstheme="minorHAnsi"/>
                <w:sz w:val="20"/>
                <w:szCs w:val="20"/>
              </w:rPr>
            </w:pPr>
            <w:r w:rsidRPr="00E56406">
              <w:rPr>
                <w:rFonts w:asciiTheme="minorHAnsi" w:hAnsiTheme="minorHAnsi" w:cstheme="minorHAnsi"/>
                <w:sz w:val="20"/>
                <w:szCs w:val="20"/>
              </w:rPr>
              <w:t>wielicki</w:t>
            </w:r>
          </w:p>
        </w:tc>
        <w:tc>
          <w:tcPr>
            <w:tcW w:w="1418" w:type="dxa"/>
            <w:tcBorders>
              <w:top w:val="nil"/>
              <w:left w:val="nil"/>
              <w:bottom w:val="single" w:sz="4" w:space="0" w:color="auto"/>
              <w:right w:val="single" w:sz="4" w:space="0" w:color="auto"/>
            </w:tcBorders>
            <w:shd w:val="clear" w:color="auto" w:fill="auto"/>
            <w:noWrap/>
            <w:vAlign w:val="center"/>
            <w:hideMark/>
          </w:tcPr>
          <w:p w14:paraId="250D7BB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302 472</w:t>
            </w:r>
          </w:p>
        </w:tc>
        <w:tc>
          <w:tcPr>
            <w:tcW w:w="1417" w:type="dxa"/>
            <w:tcBorders>
              <w:top w:val="nil"/>
              <w:left w:val="nil"/>
              <w:bottom w:val="single" w:sz="4" w:space="0" w:color="auto"/>
              <w:right w:val="single" w:sz="4" w:space="0" w:color="auto"/>
            </w:tcBorders>
            <w:shd w:val="clear" w:color="auto" w:fill="auto"/>
            <w:vAlign w:val="center"/>
            <w:hideMark/>
          </w:tcPr>
          <w:p w14:paraId="11501039"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105 906</w:t>
            </w:r>
          </w:p>
        </w:tc>
        <w:tc>
          <w:tcPr>
            <w:tcW w:w="1418" w:type="dxa"/>
            <w:tcBorders>
              <w:top w:val="nil"/>
              <w:left w:val="nil"/>
              <w:bottom w:val="single" w:sz="4" w:space="0" w:color="auto"/>
              <w:right w:val="single" w:sz="4" w:space="0" w:color="auto"/>
            </w:tcBorders>
            <w:shd w:val="clear" w:color="auto" w:fill="auto"/>
            <w:vAlign w:val="center"/>
            <w:hideMark/>
          </w:tcPr>
          <w:p w14:paraId="478B0E08" w14:textId="77777777" w:rsidR="009348AC" w:rsidRPr="00E56406" w:rsidRDefault="009348AC" w:rsidP="008357C2">
            <w:pPr>
              <w:spacing w:after="0" w:line="240" w:lineRule="auto"/>
              <w:jc w:val="center"/>
              <w:rPr>
                <w:rFonts w:asciiTheme="minorHAnsi" w:hAnsiTheme="minorHAnsi" w:cstheme="minorHAnsi"/>
                <w:sz w:val="20"/>
                <w:szCs w:val="20"/>
              </w:rPr>
            </w:pPr>
            <w:r w:rsidRPr="00E56406">
              <w:rPr>
                <w:rFonts w:asciiTheme="minorHAnsi" w:hAnsiTheme="minorHAnsi" w:cstheme="minorHAnsi"/>
                <w:sz w:val="20"/>
                <w:szCs w:val="20"/>
              </w:rPr>
              <w:t>45 375</w:t>
            </w:r>
          </w:p>
        </w:tc>
      </w:tr>
    </w:tbl>
    <w:p w14:paraId="33AE1D55" w14:textId="77777777" w:rsidR="009348AC" w:rsidRPr="00E56406" w:rsidRDefault="009348AC" w:rsidP="009348AC">
      <w:pPr>
        <w:pStyle w:val="Default"/>
        <w:spacing w:line="276" w:lineRule="auto"/>
      </w:pPr>
      <w:r w:rsidRPr="00E56406">
        <w:t xml:space="preserve">W przypadku rozszerzenia obszaru LSR, o którym mowa w § 16 regulaminu konkursu, o białe plamy, powiększenie budżetu danej LSR w odniesieniu do środków dotyczących RPO  następuje zgodnie z metodologią wskazaną w punkcie 2.   </w:t>
      </w:r>
    </w:p>
    <w:p w14:paraId="39A814B4" w14:textId="38D9658A" w:rsidR="009348AC" w:rsidRDefault="009348AC" w:rsidP="009348AC">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 przypadku, gdy środki dotyczące RPO nie zostaną w pełni rozdysponowane w ramach rozstrzygniętego konkursu, Zarząd Województwa Małopolskiego zastrzega sobie prawo podziału tych środków w późniejszym terminie na określonych przez siebie zasadach.</w:t>
      </w:r>
    </w:p>
    <w:p w14:paraId="2E1BB569" w14:textId="77777777" w:rsidR="0079706E" w:rsidRDefault="0079706E" w:rsidP="008D1812">
      <w:pPr>
        <w:pStyle w:val="AkapitStandardowyRyczat"/>
        <w:rPr>
          <w:rFonts w:asciiTheme="minorHAnsi" w:hAnsiTheme="minorHAnsi" w:cstheme="minorHAnsi"/>
          <w:b/>
          <w:sz w:val="32"/>
          <w:szCs w:val="32"/>
        </w:rPr>
      </w:pPr>
      <w:r>
        <w:rPr>
          <w:szCs w:val="32"/>
        </w:rPr>
        <w:br w:type="page"/>
      </w:r>
    </w:p>
    <w:p w14:paraId="45EC4966" w14:textId="02450D4B" w:rsidR="00F853A2" w:rsidRPr="00E56406" w:rsidRDefault="00F853A2" w:rsidP="00CF4CAA">
      <w:pPr>
        <w:pStyle w:val="Nagwek1"/>
        <w:spacing w:line="276" w:lineRule="auto"/>
        <w:jc w:val="both"/>
        <w:rPr>
          <w:szCs w:val="32"/>
        </w:rPr>
      </w:pPr>
      <w:bookmarkStart w:id="4" w:name="_Toc117597601"/>
      <w:r w:rsidRPr="00E56406">
        <w:rPr>
          <w:szCs w:val="32"/>
        </w:rPr>
        <w:lastRenderedPageBreak/>
        <w:t>E. Wysokość dostępnych środków przeznaczonych na realizację LSR w ramach programu Fundu</w:t>
      </w:r>
      <w:r w:rsidR="002E5BCA" w:rsidRPr="00E56406">
        <w:rPr>
          <w:szCs w:val="32"/>
        </w:rPr>
        <w:t>sze Europejskie dla Podkarpacia</w:t>
      </w:r>
      <w:r w:rsidRPr="00E56406">
        <w:rPr>
          <w:szCs w:val="32"/>
        </w:rPr>
        <w:t xml:space="preserve"> 2021-2027</w:t>
      </w:r>
      <w:bookmarkEnd w:id="4"/>
      <w:r w:rsidRPr="00E56406">
        <w:rPr>
          <w:szCs w:val="32"/>
        </w:rPr>
        <w:t xml:space="preserve"> </w:t>
      </w:r>
    </w:p>
    <w:p w14:paraId="71174B46" w14:textId="5E571DDF" w:rsidR="00F853A2" w:rsidRPr="00E56406" w:rsidRDefault="00F853A2" w:rsidP="009D16E4">
      <w:pPr>
        <w:numPr>
          <w:ilvl w:val="0"/>
          <w:numId w:val="16"/>
        </w:numPr>
        <w:autoSpaceDE w:val="0"/>
        <w:autoSpaceDN w:val="0"/>
        <w:adjustRightInd w:val="0"/>
        <w:spacing w:after="0"/>
        <w:ind w:left="284" w:hanging="295"/>
        <w:jc w:val="both"/>
        <w:rPr>
          <w:rFonts w:asciiTheme="minorHAnsi" w:eastAsiaTheme="minorHAnsi" w:hAnsiTheme="minorHAnsi" w:cstheme="minorHAnsi"/>
          <w:sz w:val="24"/>
          <w:szCs w:val="24"/>
          <w:lang w:eastAsia="en-US"/>
        </w:rPr>
      </w:pPr>
      <w:r w:rsidRPr="00E56406">
        <w:rPr>
          <w:rFonts w:asciiTheme="minorHAnsi" w:eastAsiaTheme="minorHAnsi" w:hAnsiTheme="minorHAnsi" w:cstheme="minorHAnsi"/>
          <w:sz w:val="24"/>
          <w:szCs w:val="24"/>
          <w:lang w:eastAsia="en-US"/>
        </w:rPr>
        <w:t xml:space="preserve">Maksymalna wysokość dostępnych środków EFS+ w ramach FEP 2014-2020 na </w:t>
      </w:r>
      <w:r w:rsidR="009D16E4">
        <w:rPr>
          <w:rFonts w:asciiTheme="minorHAnsi" w:eastAsiaTheme="minorHAnsi" w:hAnsiTheme="minorHAnsi" w:cstheme="minorHAnsi"/>
          <w:sz w:val="24"/>
          <w:szCs w:val="24"/>
          <w:lang w:eastAsia="en-US"/>
        </w:rPr>
        <w:t>realizację</w:t>
      </w:r>
      <w:r w:rsidR="0079706E">
        <w:rPr>
          <w:rFonts w:asciiTheme="minorHAnsi" w:eastAsiaTheme="minorHAnsi" w:hAnsiTheme="minorHAnsi" w:cstheme="minorHAnsi"/>
          <w:sz w:val="24"/>
          <w:szCs w:val="24"/>
          <w:lang w:eastAsia="en-US"/>
        </w:rPr>
        <w:t xml:space="preserve"> LSR</w:t>
      </w:r>
      <w:r w:rsidRPr="00E56406">
        <w:rPr>
          <w:rFonts w:asciiTheme="minorHAnsi" w:eastAsiaTheme="minorHAnsi" w:hAnsiTheme="minorHAnsi" w:cstheme="minorHAnsi"/>
          <w:sz w:val="24"/>
          <w:szCs w:val="24"/>
          <w:lang w:eastAsia="en-US"/>
        </w:rPr>
        <w:t xml:space="preserve"> wynosi 30 000 000 EUR</w:t>
      </w:r>
      <w:r w:rsidR="009D16E4">
        <w:rPr>
          <w:rFonts w:asciiTheme="minorHAnsi" w:eastAsiaTheme="minorHAnsi" w:hAnsiTheme="minorHAnsi" w:cstheme="minorHAnsi"/>
          <w:sz w:val="24"/>
          <w:szCs w:val="24"/>
          <w:lang w:eastAsia="en-US"/>
        </w:rPr>
        <w:t>, w tym na Wdrażanie LSR 24 450 000 EUR i na Zarządzanie LSR 5 500 000 EUR</w:t>
      </w:r>
      <w:r w:rsidRPr="00E56406">
        <w:rPr>
          <w:rFonts w:asciiTheme="minorHAnsi" w:eastAsiaTheme="minorHAnsi" w:hAnsiTheme="minorHAnsi" w:cstheme="minorHAnsi"/>
          <w:sz w:val="24"/>
          <w:szCs w:val="24"/>
          <w:lang w:eastAsia="en-US"/>
        </w:rPr>
        <w:t>.</w:t>
      </w:r>
    </w:p>
    <w:p w14:paraId="618D6532" w14:textId="6B47BD4A" w:rsidR="009D16E4" w:rsidRDefault="00F853A2" w:rsidP="009D16E4">
      <w:pPr>
        <w:numPr>
          <w:ilvl w:val="0"/>
          <w:numId w:val="16"/>
        </w:numPr>
        <w:autoSpaceDE w:val="0"/>
        <w:autoSpaceDN w:val="0"/>
        <w:adjustRightInd w:val="0"/>
        <w:spacing w:after="0"/>
        <w:ind w:left="284" w:hanging="295"/>
        <w:jc w:val="both"/>
        <w:rPr>
          <w:rFonts w:asciiTheme="minorHAnsi" w:eastAsiaTheme="minorHAnsi" w:hAnsiTheme="minorHAnsi" w:cstheme="minorHAnsi"/>
          <w:sz w:val="24"/>
          <w:szCs w:val="24"/>
          <w:lang w:eastAsia="en-US"/>
        </w:rPr>
      </w:pPr>
      <w:r w:rsidRPr="00E56406">
        <w:rPr>
          <w:rFonts w:asciiTheme="minorHAnsi" w:eastAsiaTheme="minorHAnsi" w:hAnsiTheme="minorHAnsi" w:cstheme="minorHAnsi"/>
          <w:sz w:val="24"/>
          <w:szCs w:val="24"/>
          <w:lang w:eastAsia="en-US"/>
        </w:rPr>
        <w:t xml:space="preserve">Wysokość dostępnych środków </w:t>
      </w:r>
      <w:r w:rsidR="009C4158">
        <w:rPr>
          <w:rFonts w:asciiTheme="minorHAnsi" w:eastAsiaTheme="minorHAnsi" w:hAnsiTheme="minorHAnsi" w:cstheme="minorHAnsi"/>
          <w:sz w:val="24"/>
          <w:szCs w:val="24"/>
          <w:lang w:eastAsia="en-US"/>
        </w:rPr>
        <w:t>na W</w:t>
      </w:r>
      <w:r w:rsidRPr="00E56406">
        <w:rPr>
          <w:rFonts w:asciiTheme="minorHAnsi" w:eastAsiaTheme="minorHAnsi" w:hAnsiTheme="minorHAnsi" w:cstheme="minorHAnsi"/>
          <w:sz w:val="24"/>
          <w:szCs w:val="24"/>
          <w:lang w:eastAsia="en-US"/>
        </w:rPr>
        <w:t xml:space="preserve">drażanie LSR w odniesieniu do pojedynczej LSR </w:t>
      </w:r>
      <w:r w:rsidR="009D16E4">
        <w:rPr>
          <w:rFonts w:asciiTheme="minorHAnsi" w:eastAsiaTheme="minorHAnsi" w:hAnsiTheme="minorHAnsi" w:cstheme="minorHAnsi"/>
          <w:sz w:val="24"/>
          <w:szCs w:val="24"/>
          <w:lang w:eastAsia="en-US"/>
        </w:rPr>
        <w:t>wyznacza się sumując kwoty ustalone zgodnie z poniższymi pkt 1-3:</w:t>
      </w:r>
    </w:p>
    <w:p w14:paraId="61083107" w14:textId="77777777" w:rsidR="009C4158" w:rsidRDefault="009C4158" w:rsidP="008D1812">
      <w:pPr>
        <w:autoSpaceDE w:val="0"/>
        <w:autoSpaceDN w:val="0"/>
        <w:adjustRightInd w:val="0"/>
        <w:spacing w:after="0"/>
        <w:ind w:left="284"/>
        <w:jc w:val="both"/>
        <w:rPr>
          <w:rFonts w:asciiTheme="minorHAnsi" w:eastAsiaTheme="minorHAnsi" w:hAnsiTheme="minorHAnsi" w:cstheme="minorHAnsi"/>
          <w:sz w:val="24"/>
          <w:szCs w:val="24"/>
          <w:lang w:eastAsia="en-US"/>
        </w:rPr>
      </w:pPr>
    </w:p>
    <w:p w14:paraId="1DF5C9C2" w14:textId="5378E7BE" w:rsidR="00F853A2" w:rsidRPr="00E56406" w:rsidRDefault="009D16E4" w:rsidP="009D16E4">
      <w:pPr>
        <w:numPr>
          <w:ilvl w:val="0"/>
          <w:numId w:val="19"/>
        </w:numPr>
        <w:autoSpaceDE w:val="0"/>
        <w:autoSpaceDN w:val="0"/>
        <w:adjustRightInd w:val="0"/>
        <w:spacing w:after="0"/>
        <w:ind w:left="851"/>
        <w:jc w:val="both"/>
        <w:rPr>
          <w:rFonts w:asciiTheme="minorHAnsi" w:eastAsiaTheme="minorEastAsia" w:hAnsiTheme="minorHAnsi" w:cstheme="minorHAnsi"/>
          <w:sz w:val="24"/>
          <w:szCs w:val="24"/>
          <w:lang w:eastAsia="en-US"/>
        </w:rPr>
      </w:pPr>
      <w:r>
        <w:rPr>
          <w:rFonts w:asciiTheme="minorHAnsi" w:eastAsiaTheme="minorHAnsi" w:hAnsiTheme="minorHAnsi" w:cstheme="minorHAnsi"/>
          <w:sz w:val="24"/>
          <w:szCs w:val="24"/>
          <w:lang w:eastAsia="en-US"/>
        </w:rPr>
        <w:t xml:space="preserve">kwota uzależniona od </w:t>
      </w:r>
      <w:r w:rsidRPr="00E56406">
        <w:rPr>
          <w:rFonts w:asciiTheme="minorHAnsi" w:eastAsiaTheme="minorHAnsi" w:hAnsiTheme="minorHAnsi" w:cstheme="minorHAnsi"/>
          <w:sz w:val="24"/>
          <w:szCs w:val="24"/>
          <w:lang w:eastAsia="en-US"/>
        </w:rPr>
        <w:t>liczby ludności zamieszkującej obszar objęty LSR</w:t>
      </w:r>
      <w:r w:rsidRPr="00E56406">
        <w:rPr>
          <w:rFonts w:asciiTheme="minorHAnsi" w:eastAsiaTheme="minorHAnsi" w:hAnsiTheme="minorHAnsi" w:cstheme="minorHAnsi"/>
          <w:sz w:val="24"/>
          <w:szCs w:val="24"/>
          <w:vertAlign w:val="superscript"/>
          <w:lang w:eastAsia="en-US"/>
        </w:rPr>
        <w:footnoteReference w:id="2"/>
      </w:r>
      <w:r>
        <w:rPr>
          <w:rFonts w:asciiTheme="minorHAnsi" w:eastAsiaTheme="minorHAnsi" w:hAnsiTheme="minorHAnsi" w:cstheme="minorHAnsi"/>
          <w:sz w:val="24"/>
          <w:szCs w:val="24"/>
          <w:lang w:eastAsia="en-US"/>
        </w:rPr>
        <w:t>, ustalona zgodnie z poniższą tabelą:</w:t>
      </w:r>
    </w:p>
    <w:tbl>
      <w:tblPr>
        <w:tblStyle w:val="Tabela-Siatka"/>
        <w:tblW w:w="0" w:type="auto"/>
        <w:tblInd w:w="284" w:type="dxa"/>
        <w:tblLook w:val="04A0" w:firstRow="1" w:lastRow="0" w:firstColumn="1" w:lastColumn="0" w:noHBand="0" w:noVBand="1"/>
      </w:tblPr>
      <w:tblGrid>
        <w:gridCol w:w="4398"/>
        <w:gridCol w:w="4380"/>
      </w:tblGrid>
      <w:tr w:rsidR="00F853A2" w:rsidRPr="00E56406" w14:paraId="709592A3" w14:textId="77777777" w:rsidTr="000803B3">
        <w:tc>
          <w:tcPr>
            <w:tcW w:w="4398" w:type="dxa"/>
            <w:vAlign w:val="center"/>
          </w:tcPr>
          <w:p w14:paraId="7949D477"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Liczba ludności zamieszkująca obszar objęty LSR</w:t>
            </w:r>
          </w:p>
        </w:tc>
        <w:tc>
          <w:tcPr>
            <w:tcW w:w="4380" w:type="dxa"/>
            <w:vAlign w:val="center"/>
          </w:tcPr>
          <w:p w14:paraId="5B2DB58E"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Kwota środków na wdrażanie LSR (1)</w:t>
            </w:r>
          </w:p>
          <w:p w14:paraId="2068D3E4" w14:textId="302AF4CB" w:rsidR="00096DF4" w:rsidRPr="00E56406" w:rsidRDefault="00096DF4"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[EUR]</w:t>
            </w:r>
          </w:p>
        </w:tc>
      </w:tr>
      <w:tr w:rsidR="00F853A2" w:rsidRPr="00E56406" w14:paraId="2B978A38" w14:textId="77777777" w:rsidTr="000803B3">
        <w:tc>
          <w:tcPr>
            <w:tcW w:w="4398" w:type="dxa"/>
            <w:vAlign w:val="center"/>
          </w:tcPr>
          <w:p w14:paraId="35277BFD"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do 39 999</w:t>
            </w:r>
          </w:p>
        </w:tc>
        <w:tc>
          <w:tcPr>
            <w:tcW w:w="4380" w:type="dxa"/>
            <w:vAlign w:val="center"/>
          </w:tcPr>
          <w:p w14:paraId="46CC6DA7"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316 710,00</w:t>
            </w:r>
          </w:p>
        </w:tc>
      </w:tr>
      <w:tr w:rsidR="00F853A2" w:rsidRPr="00E56406" w14:paraId="24B0085C" w14:textId="77777777" w:rsidTr="000803B3">
        <w:tc>
          <w:tcPr>
            <w:tcW w:w="4398" w:type="dxa"/>
            <w:vAlign w:val="center"/>
          </w:tcPr>
          <w:p w14:paraId="6F9E450E"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40 000 do 49 999</w:t>
            </w:r>
          </w:p>
        </w:tc>
        <w:tc>
          <w:tcPr>
            <w:tcW w:w="4380" w:type="dxa"/>
            <w:vAlign w:val="center"/>
          </w:tcPr>
          <w:p w14:paraId="25CC2B90"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380 052,00</w:t>
            </w:r>
          </w:p>
        </w:tc>
      </w:tr>
      <w:tr w:rsidR="00F853A2" w:rsidRPr="00E56406" w14:paraId="6FF4E862" w14:textId="77777777" w:rsidTr="000803B3">
        <w:tc>
          <w:tcPr>
            <w:tcW w:w="4398" w:type="dxa"/>
            <w:vAlign w:val="center"/>
          </w:tcPr>
          <w:p w14:paraId="103D6B1F"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50 000 do 59 999</w:t>
            </w:r>
          </w:p>
        </w:tc>
        <w:tc>
          <w:tcPr>
            <w:tcW w:w="4380" w:type="dxa"/>
            <w:vAlign w:val="center"/>
          </w:tcPr>
          <w:p w14:paraId="1F43327F"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443 394,00</w:t>
            </w:r>
          </w:p>
        </w:tc>
      </w:tr>
      <w:tr w:rsidR="00F853A2" w:rsidRPr="00E56406" w14:paraId="6FC9D709" w14:textId="77777777" w:rsidTr="000803B3">
        <w:tc>
          <w:tcPr>
            <w:tcW w:w="4398" w:type="dxa"/>
            <w:vAlign w:val="center"/>
          </w:tcPr>
          <w:p w14:paraId="2183E4ED"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60 000 do 69 999</w:t>
            </w:r>
          </w:p>
        </w:tc>
        <w:tc>
          <w:tcPr>
            <w:tcW w:w="4380" w:type="dxa"/>
            <w:vAlign w:val="center"/>
          </w:tcPr>
          <w:p w14:paraId="5BF20C2C"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506 736,00</w:t>
            </w:r>
          </w:p>
        </w:tc>
      </w:tr>
      <w:tr w:rsidR="00F853A2" w:rsidRPr="00E56406" w14:paraId="4C818188" w14:textId="77777777" w:rsidTr="000803B3">
        <w:tc>
          <w:tcPr>
            <w:tcW w:w="4398" w:type="dxa"/>
            <w:vAlign w:val="center"/>
          </w:tcPr>
          <w:p w14:paraId="2D4B796B"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70 000 do 79 999</w:t>
            </w:r>
          </w:p>
        </w:tc>
        <w:tc>
          <w:tcPr>
            <w:tcW w:w="4380" w:type="dxa"/>
            <w:vAlign w:val="center"/>
          </w:tcPr>
          <w:p w14:paraId="437DCF2B"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570 078,00</w:t>
            </w:r>
          </w:p>
        </w:tc>
      </w:tr>
      <w:tr w:rsidR="00F853A2" w:rsidRPr="00E56406" w14:paraId="49FBBC38" w14:textId="77777777" w:rsidTr="000803B3">
        <w:tc>
          <w:tcPr>
            <w:tcW w:w="4398" w:type="dxa"/>
            <w:vAlign w:val="center"/>
          </w:tcPr>
          <w:p w14:paraId="1F53213D"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80 000 do 89 999</w:t>
            </w:r>
          </w:p>
        </w:tc>
        <w:tc>
          <w:tcPr>
            <w:tcW w:w="4380" w:type="dxa"/>
            <w:vAlign w:val="center"/>
          </w:tcPr>
          <w:p w14:paraId="532EEB0A"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633 420,00</w:t>
            </w:r>
          </w:p>
        </w:tc>
      </w:tr>
      <w:tr w:rsidR="00F853A2" w:rsidRPr="00E56406" w14:paraId="4CD9081A" w14:textId="77777777" w:rsidTr="000803B3">
        <w:tc>
          <w:tcPr>
            <w:tcW w:w="4398" w:type="dxa"/>
            <w:vAlign w:val="center"/>
          </w:tcPr>
          <w:p w14:paraId="59708529" w14:textId="77777777" w:rsidR="00F853A2" w:rsidRPr="00E56406" w:rsidRDefault="00F853A2" w:rsidP="00F853A2">
            <w:pPr>
              <w:spacing w:after="0"/>
              <w:jc w:val="center"/>
              <w:rPr>
                <w:rFonts w:asciiTheme="minorHAnsi" w:hAnsiTheme="minorHAnsi" w:cstheme="minorHAnsi"/>
                <w:sz w:val="24"/>
                <w:szCs w:val="24"/>
              </w:rPr>
            </w:pPr>
            <w:r w:rsidRPr="00E56406">
              <w:rPr>
                <w:rFonts w:asciiTheme="minorHAnsi" w:hAnsiTheme="minorHAnsi" w:cstheme="minorHAnsi"/>
                <w:sz w:val="24"/>
                <w:szCs w:val="24"/>
              </w:rPr>
              <w:t>od 90 000 do 99 999</w:t>
            </w:r>
          </w:p>
        </w:tc>
        <w:tc>
          <w:tcPr>
            <w:tcW w:w="4380" w:type="dxa"/>
            <w:vAlign w:val="center"/>
          </w:tcPr>
          <w:p w14:paraId="4CB16769"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696 762,00</w:t>
            </w:r>
          </w:p>
        </w:tc>
      </w:tr>
      <w:tr w:rsidR="00F853A2" w:rsidRPr="00E56406" w14:paraId="3834E3C9" w14:textId="77777777" w:rsidTr="000803B3">
        <w:tc>
          <w:tcPr>
            <w:tcW w:w="4398" w:type="dxa"/>
            <w:vAlign w:val="center"/>
          </w:tcPr>
          <w:p w14:paraId="3D18A8EF" w14:textId="77777777" w:rsidR="00F853A2" w:rsidRPr="00E56406" w:rsidRDefault="00F853A2" w:rsidP="00F853A2">
            <w:pPr>
              <w:tabs>
                <w:tab w:val="center" w:pos="4536"/>
                <w:tab w:val="right" w:pos="9072"/>
              </w:tabs>
              <w:spacing w:after="0"/>
              <w:jc w:val="center"/>
              <w:rPr>
                <w:rFonts w:asciiTheme="minorHAnsi" w:hAnsiTheme="minorHAnsi" w:cstheme="minorHAnsi"/>
                <w:sz w:val="24"/>
                <w:szCs w:val="24"/>
              </w:rPr>
            </w:pPr>
            <w:r w:rsidRPr="00E56406">
              <w:rPr>
                <w:rFonts w:asciiTheme="minorHAnsi" w:hAnsiTheme="minorHAnsi" w:cstheme="minorHAnsi"/>
                <w:sz w:val="24"/>
                <w:szCs w:val="24"/>
              </w:rPr>
              <w:t>od 100 000 do 109 999</w:t>
            </w:r>
          </w:p>
        </w:tc>
        <w:tc>
          <w:tcPr>
            <w:tcW w:w="4380" w:type="dxa"/>
            <w:vAlign w:val="center"/>
          </w:tcPr>
          <w:p w14:paraId="7615AA58"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760 104,00</w:t>
            </w:r>
          </w:p>
        </w:tc>
      </w:tr>
      <w:tr w:rsidR="00F853A2" w:rsidRPr="00E56406" w14:paraId="6BB6996B" w14:textId="77777777" w:rsidTr="000803B3">
        <w:tc>
          <w:tcPr>
            <w:tcW w:w="4398" w:type="dxa"/>
            <w:vAlign w:val="center"/>
          </w:tcPr>
          <w:p w14:paraId="60136C8F" w14:textId="77777777" w:rsidR="00F853A2" w:rsidRPr="00E56406" w:rsidRDefault="00F853A2" w:rsidP="00F853A2">
            <w:pPr>
              <w:tabs>
                <w:tab w:val="center" w:pos="4536"/>
                <w:tab w:val="right" w:pos="9072"/>
              </w:tabs>
              <w:spacing w:after="0"/>
              <w:jc w:val="center"/>
              <w:rPr>
                <w:rFonts w:asciiTheme="minorHAnsi" w:hAnsiTheme="minorHAnsi" w:cstheme="minorHAnsi"/>
                <w:sz w:val="24"/>
                <w:szCs w:val="24"/>
              </w:rPr>
            </w:pPr>
            <w:r w:rsidRPr="00E56406">
              <w:rPr>
                <w:rFonts w:asciiTheme="minorHAnsi" w:hAnsiTheme="minorHAnsi" w:cstheme="minorHAnsi"/>
                <w:sz w:val="24"/>
                <w:szCs w:val="24"/>
              </w:rPr>
              <w:t>od 110 000 do 119 999</w:t>
            </w:r>
          </w:p>
        </w:tc>
        <w:tc>
          <w:tcPr>
            <w:tcW w:w="4380" w:type="dxa"/>
            <w:vAlign w:val="center"/>
          </w:tcPr>
          <w:p w14:paraId="6438A248"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823 446,00</w:t>
            </w:r>
          </w:p>
        </w:tc>
      </w:tr>
      <w:tr w:rsidR="00F853A2" w:rsidRPr="00E56406" w14:paraId="077493CC" w14:textId="77777777" w:rsidTr="000803B3">
        <w:tc>
          <w:tcPr>
            <w:tcW w:w="4398" w:type="dxa"/>
            <w:vAlign w:val="center"/>
          </w:tcPr>
          <w:p w14:paraId="572881F9" w14:textId="77777777" w:rsidR="00F853A2" w:rsidRPr="00E56406" w:rsidRDefault="00F853A2" w:rsidP="00F853A2">
            <w:pPr>
              <w:tabs>
                <w:tab w:val="center" w:pos="4536"/>
                <w:tab w:val="right" w:pos="9072"/>
              </w:tabs>
              <w:spacing w:after="0"/>
              <w:jc w:val="center"/>
              <w:rPr>
                <w:rFonts w:asciiTheme="minorHAnsi" w:hAnsiTheme="minorHAnsi" w:cstheme="minorHAnsi"/>
                <w:sz w:val="24"/>
                <w:szCs w:val="24"/>
              </w:rPr>
            </w:pPr>
            <w:r w:rsidRPr="00E56406">
              <w:rPr>
                <w:rFonts w:asciiTheme="minorHAnsi" w:hAnsiTheme="minorHAnsi" w:cstheme="minorHAnsi"/>
                <w:sz w:val="24"/>
                <w:szCs w:val="24"/>
              </w:rPr>
              <w:t>od 120 000 do 129 999</w:t>
            </w:r>
          </w:p>
        </w:tc>
        <w:tc>
          <w:tcPr>
            <w:tcW w:w="4380" w:type="dxa"/>
            <w:vAlign w:val="center"/>
          </w:tcPr>
          <w:p w14:paraId="480F2112"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886 788,00</w:t>
            </w:r>
          </w:p>
        </w:tc>
      </w:tr>
      <w:tr w:rsidR="00F853A2" w:rsidRPr="00E56406" w14:paraId="182A3EAF" w14:textId="77777777" w:rsidTr="000803B3">
        <w:tc>
          <w:tcPr>
            <w:tcW w:w="4398" w:type="dxa"/>
            <w:vAlign w:val="center"/>
          </w:tcPr>
          <w:p w14:paraId="1E56ADF0" w14:textId="77777777" w:rsidR="00F853A2" w:rsidRPr="00E56406" w:rsidRDefault="00F853A2" w:rsidP="00F853A2">
            <w:pPr>
              <w:tabs>
                <w:tab w:val="center" w:pos="4536"/>
                <w:tab w:val="right" w:pos="9072"/>
              </w:tabs>
              <w:spacing w:after="0"/>
              <w:jc w:val="center"/>
              <w:rPr>
                <w:rFonts w:asciiTheme="minorHAnsi" w:hAnsiTheme="minorHAnsi" w:cstheme="minorHAnsi"/>
                <w:sz w:val="24"/>
                <w:szCs w:val="24"/>
              </w:rPr>
            </w:pPr>
            <w:r w:rsidRPr="00E56406">
              <w:rPr>
                <w:rFonts w:asciiTheme="minorHAnsi" w:hAnsiTheme="minorHAnsi" w:cstheme="minorHAnsi"/>
                <w:sz w:val="24"/>
                <w:szCs w:val="24"/>
              </w:rPr>
              <w:t>od 130 000 do 139 999</w:t>
            </w:r>
          </w:p>
        </w:tc>
        <w:tc>
          <w:tcPr>
            <w:tcW w:w="4380" w:type="dxa"/>
            <w:vAlign w:val="center"/>
          </w:tcPr>
          <w:p w14:paraId="7E5B85D5"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950 130,00</w:t>
            </w:r>
          </w:p>
        </w:tc>
      </w:tr>
      <w:tr w:rsidR="00F853A2" w:rsidRPr="00E56406" w14:paraId="03C30215" w14:textId="77777777" w:rsidTr="000803B3">
        <w:tc>
          <w:tcPr>
            <w:tcW w:w="4398" w:type="dxa"/>
            <w:vAlign w:val="center"/>
          </w:tcPr>
          <w:p w14:paraId="27B36E42" w14:textId="77777777" w:rsidR="00F853A2" w:rsidRPr="00E56406" w:rsidRDefault="00F853A2" w:rsidP="00F853A2">
            <w:pPr>
              <w:tabs>
                <w:tab w:val="center" w:pos="4536"/>
                <w:tab w:val="right" w:pos="9072"/>
              </w:tabs>
              <w:spacing w:after="0"/>
              <w:jc w:val="center"/>
              <w:rPr>
                <w:rFonts w:asciiTheme="minorHAnsi" w:hAnsiTheme="minorHAnsi" w:cstheme="minorHAnsi"/>
                <w:sz w:val="24"/>
                <w:szCs w:val="24"/>
              </w:rPr>
            </w:pPr>
            <w:r w:rsidRPr="00E56406">
              <w:rPr>
                <w:rFonts w:asciiTheme="minorHAnsi" w:hAnsiTheme="minorHAnsi" w:cstheme="minorHAnsi"/>
                <w:sz w:val="24"/>
                <w:szCs w:val="24"/>
              </w:rPr>
              <w:t>od 140 000</w:t>
            </w:r>
          </w:p>
        </w:tc>
        <w:tc>
          <w:tcPr>
            <w:tcW w:w="4380" w:type="dxa"/>
            <w:vAlign w:val="center"/>
          </w:tcPr>
          <w:p w14:paraId="299993AC" w14:textId="77777777" w:rsidR="00F853A2" w:rsidRPr="00E56406" w:rsidRDefault="00F853A2" w:rsidP="00F853A2">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1 013 472,00</w:t>
            </w:r>
          </w:p>
        </w:tc>
      </w:tr>
    </w:tbl>
    <w:p w14:paraId="3CD6843B" w14:textId="77777777" w:rsidR="009C4158" w:rsidRDefault="009C4158" w:rsidP="008D1812">
      <w:pPr>
        <w:autoSpaceDE w:val="0"/>
        <w:autoSpaceDN w:val="0"/>
        <w:adjustRightInd w:val="0"/>
        <w:spacing w:after="0"/>
        <w:ind w:left="851"/>
        <w:jc w:val="both"/>
        <w:rPr>
          <w:rFonts w:asciiTheme="minorHAnsi" w:eastAsiaTheme="minorHAnsi" w:hAnsiTheme="minorHAnsi" w:cstheme="minorHAnsi"/>
          <w:sz w:val="24"/>
          <w:szCs w:val="24"/>
          <w:lang w:eastAsia="en-US"/>
        </w:rPr>
      </w:pPr>
    </w:p>
    <w:p w14:paraId="17C40C48" w14:textId="517D732B" w:rsidR="009D16E4" w:rsidRPr="008D1812" w:rsidRDefault="009D16E4" w:rsidP="008D1812">
      <w:pPr>
        <w:numPr>
          <w:ilvl w:val="0"/>
          <w:numId w:val="19"/>
        </w:numPr>
        <w:autoSpaceDE w:val="0"/>
        <w:autoSpaceDN w:val="0"/>
        <w:adjustRightInd w:val="0"/>
        <w:spacing w:after="0"/>
        <w:ind w:left="851"/>
        <w:jc w:val="both"/>
        <w:rPr>
          <w:rFonts w:asciiTheme="minorHAnsi" w:eastAsiaTheme="minorHAnsi" w:hAnsiTheme="minorHAnsi" w:cstheme="minorHAnsi"/>
          <w:sz w:val="24"/>
          <w:szCs w:val="24"/>
          <w:lang w:eastAsia="en-US"/>
        </w:rPr>
      </w:pPr>
      <w:r w:rsidRPr="009D16E4">
        <w:rPr>
          <w:rFonts w:asciiTheme="minorHAnsi" w:eastAsiaTheme="minorHAnsi" w:hAnsiTheme="minorHAnsi" w:cstheme="minorHAnsi"/>
          <w:sz w:val="24"/>
          <w:szCs w:val="24"/>
          <w:lang w:eastAsia="en-US"/>
        </w:rPr>
        <w:t>kwota uzależniona od stosunku liczby uczniów szkół podstawowych na obszarze objętym LSR</w:t>
      </w:r>
      <w:r w:rsidRPr="009D16E4">
        <w:rPr>
          <w:rFonts w:asciiTheme="minorHAnsi" w:eastAsiaTheme="minorHAnsi" w:hAnsiTheme="minorHAnsi" w:cstheme="minorHAnsi"/>
          <w:sz w:val="24"/>
          <w:szCs w:val="24"/>
          <w:vertAlign w:val="superscript"/>
          <w:lang w:eastAsia="en-US"/>
        </w:rPr>
        <w:footnoteReference w:id="3"/>
      </w:r>
      <w:r w:rsidRPr="009D16E4">
        <w:rPr>
          <w:rFonts w:asciiTheme="minorHAnsi" w:eastAsiaTheme="minorHAnsi" w:hAnsiTheme="minorHAnsi" w:cstheme="minorHAnsi"/>
          <w:sz w:val="24"/>
          <w:szCs w:val="24"/>
          <w:lang w:eastAsia="en-US"/>
        </w:rPr>
        <w:t xml:space="preserve"> do liczby ludności zamieszkującej obszar objęty LSR, </w:t>
      </w:r>
      <w:r>
        <w:rPr>
          <w:rFonts w:asciiTheme="minorHAnsi" w:eastAsiaTheme="minorHAnsi" w:hAnsiTheme="minorHAnsi" w:cstheme="minorHAnsi"/>
          <w:sz w:val="24"/>
          <w:szCs w:val="24"/>
          <w:lang w:eastAsia="en-US"/>
        </w:rPr>
        <w:t xml:space="preserve">ustalona </w:t>
      </w:r>
      <w:r w:rsidRPr="009D16E4">
        <w:rPr>
          <w:rFonts w:asciiTheme="minorHAnsi" w:eastAsiaTheme="minorHAnsi" w:hAnsiTheme="minorHAnsi" w:cstheme="minorHAnsi"/>
          <w:sz w:val="24"/>
          <w:szCs w:val="24"/>
          <w:lang w:eastAsia="en-US"/>
        </w:rPr>
        <w:t>zgodnie z poniższą tabelą:</w:t>
      </w:r>
    </w:p>
    <w:tbl>
      <w:tblPr>
        <w:tblStyle w:val="Tabela-Siatka"/>
        <w:tblW w:w="0" w:type="auto"/>
        <w:tblInd w:w="284" w:type="dxa"/>
        <w:tblLook w:val="04A0" w:firstRow="1" w:lastRow="0" w:firstColumn="1" w:lastColumn="0" w:noHBand="0" w:noVBand="1"/>
      </w:tblPr>
      <w:tblGrid>
        <w:gridCol w:w="4420"/>
        <w:gridCol w:w="4358"/>
      </w:tblGrid>
      <w:tr w:rsidR="00F853A2" w:rsidRPr="00E56406" w14:paraId="3667AA80" w14:textId="77777777" w:rsidTr="000803B3">
        <w:tc>
          <w:tcPr>
            <w:tcW w:w="4420" w:type="dxa"/>
          </w:tcPr>
          <w:p w14:paraId="35099FB2" w14:textId="77777777" w:rsidR="00F853A2" w:rsidRPr="00E56406" w:rsidRDefault="00F853A2" w:rsidP="00F853A2">
            <w:pPr>
              <w:autoSpaceDE w:val="0"/>
              <w:autoSpaceDN w:val="0"/>
              <w:adjustRightInd w:val="0"/>
              <w:spacing w:after="0"/>
              <w:jc w:val="both"/>
              <w:rPr>
                <w:rFonts w:asciiTheme="minorHAnsi" w:eastAsiaTheme="minorEastAsia" w:hAnsiTheme="minorHAnsi" w:cstheme="minorHAnsi"/>
                <w:sz w:val="24"/>
                <w:szCs w:val="24"/>
              </w:rPr>
            </w:pPr>
            <w:r w:rsidRPr="00E56406">
              <w:rPr>
                <w:rFonts w:asciiTheme="minorHAnsi" w:hAnsiTheme="minorHAnsi" w:cstheme="minorHAnsi"/>
                <w:sz w:val="24"/>
                <w:szCs w:val="24"/>
              </w:rPr>
              <w:t>Stosunek liczby uczniów szkół podstawowych na obszarze objętym LSR do liczby ludności zamieszkującej obszar objęty LSR</w:t>
            </w:r>
            <w:r w:rsidRPr="00E56406">
              <w:rPr>
                <w:rFonts w:asciiTheme="minorHAnsi" w:hAnsiTheme="minorHAnsi" w:cstheme="minorHAnsi"/>
                <w:sz w:val="24"/>
                <w:szCs w:val="24"/>
                <w:vertAlign w:val="superscript"/>
              </w:rPr>
              <w:footnoteReference w:id="4"/>
            </w:r>
          </w:p>
        </w:tc>
        <w:tc>
          <w:tcPr>
            <w:tcW w:w="4358" w:type="dxa"/>
            <w:vAlign w:val="center"/>
          </w:tcPr>
          <w:p w14:paraId="09F755DA"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Kwota środków na wdrażanie LSR (2)</w:t>
            </w:r>
          </w:p>
          <w:p w14:paraId="4D404A1A" w14:textId="378F36BB" w:rsidR="00096DF4" w:rsidRPr="00E56406" w:rsidRDefault="00096DF4"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[EUR]</w:t>
            </w:r>
          </w:p>
        </w:tc>
      </w:tr>
      <w:tr w:rsidR="00F853A2" w:rsidRPr="00E56406" w14:paraId="4D09F2F7" w14:textId="77777777" w:rsidTr="000803B3">
        <w:tc>
          <w:tcPr>
            <w:tcW w:w="4420" w:type="dxa"/>
            <w:vAlign w:val="center"/>
          </w:tcPr>
          <w:p w14:paraId="4204CF49"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&lt;0,066</w:t>
            </w:r>
          </w:p>
        </w:tc>
        <w:tc>
          <w:tcPr>
            <w:tcW w:w="4358" w:type="dxa"/>
            <w:vAlign w:val="center"/>
          </w:tcPr>
          <w:p w14:paraId="4D90F4BE"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160 345</w:t>
            </w:r>
          </w:p>
        </w:tc>
      </w:tr>
      <w:tr w:rsidR="00F853A2" w:rsidRPr="00E56406" w14:paraId="48E26B5F" w14:textId="77777777" w:rsidTr="000803B3">
        <w:tc>
          <w:tcPr>
            <w:tcW w:w="4420" w:type="dxa"/>
            <w:vAlign w:val="center"/>
          </w:tcPr>
          <w:p w14:paraId="11BAD4AF"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&gt;=0,066 i &lt;0,069</w:t>
            </w:r>
          </w:p>
        </w:tc>
        <w:tc>
          <w:tcPr>
            <w:tcW w:w="4358" w:type="dxa"/>
            <w:vAlign w:val="center"/>
          </w:tcPr>
          <w:p w14:paraId="477E0714"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167 345</w:t>
            </w:r>
          </w:p>
        </w:tc>
      </w:tr>
      <w:tr w:rsidR="00F853A2" w:rsidRPr="00E56406" w14:paraId="26F9ABCC" w14:textId="77777777" w:rsidTr="000803B3">
        <w:tc>
          <w:tcPr>
            <w:tcW w:w="4420" w:type="dxa"/>
            <w:vAlign w:val="center"/>
          </w:tcPr>
          <w:p w14:paraId="313E04F0"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&gt;=0,069 i &lt;0,072</w:t>
            </w:r>
          </w:p>
        </w:tc>
        <w:tc>
          <w:tcPr>
            <w:tcW w:w="4358" w:type="dxa"/>
            <w:vAlign w:val="center"/>
          </w:tcPr>
          <w:p w14:paraId="33503478"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174 345</w:t>
            </w:r>
          </w:p>
        </w:tc>
      </w:tr>
      <w:tr w:rsidR="00F853A2" w:rsidRPr="00E56406" w14:paraId="64288DDD" w14:textId="77777777" w:rsidTr="000803B3">
        <w:tc>
          <w:tcPr>
            <w:tcW w:w="4420" w:type="dxa"/>
            <w:vAlign w:val="center"/>
          </w:tcPr>
          <w:p w14:paraId="53408088"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lastRenderedPageBreak/>
              <w:t>&gt;=0,072 i &lt;0,075</w:t>
            </w:r>
          </w:p>
        </w:tc>
        <w:tc>
          <w:tcPr>
            <w:tcW w:w="4358" w:type="dxa"/>
            <w:vAlign w:val="center"/>
          </w:tcPr>
          <w:p w14:paraId="6C8FCFEC"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181 345</w:t>
            </w:r>
          </w:p>
        </w:tc>
      </w:tr>
      <w:tr w:rsidR="00F853A2" w:rsidRPr="00E56406" w14:paraId="07578BC3" w14:textId="77777777" w:rsidTr="000803B3">
        <w:tc>
          <w:tcPr>
            <w:tcW w:w="4420" w:type="dxa"/>
            <w:vAlign w:val="center"/>
          </w:tcPr>
          <w:p w14:paraId="02D73E51"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&gt;=0,075 i &lt;0,078</w:t>
            </w:r>
          </w:p>
        </w:tc>
        <w:tc>
          <w:tcPr>
            <w:tcW w:w="4358" w:type="dxa"/>
            <w:vAlign w:val="center"/>
          </w:tcPr>
          <w:p w14:paraId="167E538A"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188 345</w:t>
            </w:r>
          </w:p>
        </w:tc>
      </w:tr>
      <w:tr w:rsidR="00F853A2" w:rsidRPr="00E56406" w14:paraId="0F26EB9A" w14:textId="77777777" w:rsidTr="000803B3">
        <w:tc>
          <w:tcPr>
            <w:tcW w:w="4420" w:type="dxa"/>
            <w:vAlign w:val="center"/>
          </w:tcPr>
          <w:p w14:paraId="44996BE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&gt;=0,078 i &lt;0,081</w:t>
            </w:r>
          </w:p>
        </w:tc>
        <w:tc>
          <w:tcPr>
            <w:tcW w:w="4358" w:type="dxa"/>
            <w:vAlign w:val="center"/>
          </w:tcPr>
          <w:p w14:paraId="4CCDD310"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195 345</w:t>
            </w:r>
          </w:p>
        </w:tc>
      </w:tr>
      <w:tr w:rsidR="00F853A2" w:rsidRPr="00E56406" w14:paraId="4F73E23E" w14:textId="77777777" w:rsidTr="000803B3">
        <w:tc>
          <w:tcPr>
            <w:tcW w:w="4420" w:type="dxa"/>
            <w:vAlign w:val="center"/>
          </w:tcPr>
          <w:p w14:paraId="63291DCD"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&gt;=0,082 i &lt;0,085</w:t>
            </w:r>
          </w:p>
        </w:tc>
        <w:tc>
          <w:tcPr>
            <w:tcW w:w="4358" w:type="dxa"/>
            <w:vAlign w:val="center"/>
          </w:tcPr>
          <w:p w14:paraId="3B693DC7"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202 345</w:t>
            </w:r>
          </w:p>
        </w:tc>
      </w:tr>
      <w:tr w:rsidR="00F853A2" w:rsidRPr="00E56406" w14:paraId="6623C8BF" w14:textId="77777777" w:rsidTr="000803B3">
        <w:tc>
          <w:tcPr>
            <w:tcW w:w="4420" w:type="dxa"/>
            <w:vAlign w:val="center"/>
          </w:tcPr>
          <w:p w14:paraId="2BBB5465"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&gt;=0,085 i &lt;0,088</w:t>
            </w:r>
          </w:p>
        </w:tc>
        <w:tc>
          <w:tcPr>
            <w:tcW w:w="4358" w:type="dxa"/>
            <w:vAlign w:val="center"/>
          </w:tcPr>
          <w:p w14:paraId="4CA1616F"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209 345</w:t>
            </w:r>
          </w:p>
        </w:tc>
      </w:tr>
      <w:tr w:rsidR="00F853A2" w:rsidRPr="00E56406" w14:paraId="0127D39A" w14:textId="77777777" w:rsidTr="000803B3">
        <w:tc>
          <w:tcPr>
            <w:tcW w:w="4420" w:type="dxa"/>
            <w:vAlign w:val="center"/>
          </w:tcPr>
          <w:p w14:paraId="05D93709"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&gt;=0,088</w:t>
            </w:r>
          </w:p>
        </w:tc>
        <w:tc>
          <w:tcPr>
            <w:tcW w:w="4358" w:type="dxa"/>
            <w:vAlign w:val="center"/>
          </w:tcPr>
          <w:p w14:paraId="7920FA1B"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215 345</w:t>
            </w:r>
          </w:p>
        </w:tc>
      </w:tr>
    </w:tbl>
    <w:p w14:paraId="47835DEF" w14:textId="77777777" w:rsidR="009C4158" w:rsidRDefault="009C4158" w:rsidP="008D1812">
      <w:pPr>
        <w:autoSpaceDE w:val="0"/>
        <w:autoSpaceDN w:val="0"/>
        <w:adjustRightInd w:val="0"/>
        <w:spacing w:after="0"/>
        <w:ind w:left="1069"/>
        <w:jc w:val="both"/>
        <w:rPr>
          <w:rFonts w:asciiTheme="minorHAnsi" w:eastAsiaTheme="minorHAnsi" w:hAnsiTheme="minorHAnsi" w:cstheme="minorHAnsi"/>
          <w:sz w:val="24"/>
          <w:szCs w:val="24"/>
          <w:lang w:eastAsia="en-US"/>
        </w:rPr>
      </w:pPr>
    </w:p>
    <w:p w14:paraId="464A12BC" w14:textId="51E9384A" w:rsidR="009D16E4" w:rsidRPr="009D16E4" w:rsidRDefault="009D16E4" w:rsidP="008D1812">
      <w:pPr>
        <w:numPr>
          <w:ilvl w:val="0"/>
          <w:numId w:val="19"/>
        </w:numPr>
        <w:autoSpaceDE w:val="0"/>
        <w:autoSpaceDN w:val="0"/>
        <w:adjustRightInd w:val="0"/>
        <w:spacing w:after="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kwota uzależniona od </w:t>
      </w:r>
      <w:r w:rsidRPr="009D16E4">
        <w:rPr>
          <w:rFonts w:asciiTheme="minorHAnsi" w:eastAsiaTheme="minorHAnsi" w:hAnsiTheme="minorHAnsi" w:cstheme="minorHAnsi"/>
          <w:sz w:val="24"/>
          <w:szCs w:val="24"/>
          <w:lang w:eastAsia="en-US"/>
        </w:rPr>
        <w:t>stosunku liczby osób objętych pomocą społeczną na obszarze objętym LSR</w:t>
      </w:r>
      <w:r w:rsidRPr="009D16E4">
        <w:rPr>
          <w:rFonts w:asciiTheme="minorHAnsi" w:eastAsiaTheme="minorHAnsi" w:hAnsiTheme="minorHAnsi" w:cstheme="minorHAnsi"/>
          <w:sz w:val="24"/>
          <w:szCs w:val="24"/>
          <w:vertAlign w:val="superscript"/>
          <w:lang w:eastAsia="en-US"/>
        </w:rPr>
        <w:footnoteReference w:id="5"/>
      </w:r>
      <w:r w:rsidRPr="009D16E4">
        <w:rPr>
          <w:rFonts w:asciiTheme="minorHAnsi" w:eastAsiaTheme="minorHAnsi" w:hAnsiTheme="minorHAnsi" w:cstheme="minorHAnsi"/>
          <w:sz w:val="24"/>
          <w:szCs w:val="24"/>
          <w:lang w:eastAsia="en-US"/>
        </w:rPr>
        <w:t xml:space="preserve"> do liczby ludności zamieszkującej obszar objęty LSR, ustalona zgodnie z poniższą tabelą:</w:t>
      </w:r>
    </w:p>
    <w:tbl>
      <w:tblPr>
        <w:tblStyle w:val="Tabela-Siatka"/>
        <w:tblW w:w="0" w:type="auto"/>
        <w:tblInd w:w="284" w:type="dxa"/>
        <w:tblLook w:val="04A0" w:firstRow="1" w:lastRow="0" w:firstColumn="1" w:lastColumn="0" w:noHBand="0" w:noVBand="1"/>
      </w:tblPr>
      <w:tblGrid>
        <w:gridCol w:w="4420"/>
        <w:gridCol w:w="4358"/>
      </w:tblGrid>
      <w:tr w:rsidR="00F853A2" w:rsidRPr="00E56406" w14:paraId="0E797FF2" w14:textId="77777777" w:rsidTr="000803B3">
        <w:tc>
          <w:tcPr>
            <w:tcW w:w="4420" w:type="dxa"/>
          </w:tcPr>
          <w:p w14:paraId="000B956F" w14:textId="77777777" w:rsidR="00F853A2" w:rsidRPr="00E56406" w:rsidRDefault="00F853A2" w:rsidP="00F853A2">
            <w:pPr>
              <w:autoSpaceDE w:val="0"/>
              <w:autoSpaceDN w:val="0"/>
              <w:adjustRightInd w:val="0"/>
              <w:spacing w:after="0"/>
              <w:jc w:val="both"/>
              <w:rPr>
                <w:rFonts w:asciiTheme="minorHAnsi" w:eastAsiaTheme="minorEastAsia" w:hAnsiTheme="minorHAnsi" w:cstheme="minorHAnsi"/>
                <w:sz w:val="24"/>
                <w:szCs w:val="24"/>
              </w:rPr>
            </w:pPr>
            <w:r w:rsidRPr="00E56406">
              <w:rPr>
                <w:rFonts w:asciiTheme="minorHAnsi" w:hAnsiTheme="minorHAnsi" w:cstheme="minorHAnsi"/>
                <w:sz w:val="24"/>
                <w:szCs w:val="24"/>
              </w:rPr>
              <w:t>Stosunek liczby osób objętych pomocą społeczną na obszarze objętym LSR do liczby ludności zamieszkującej obszar objęty LSR</w:t>
            </w:r>
            <w:r w:rsidRPr="00E56406">
              <w:rPr>
                <w:rFonts w:asciiTheme="minorHAnsi" w:hAnsiTheme="minorHAnsi" w:cstheme="minorHAnsi"/>
                <w:sz w:val="24"/>
                <w:szCs w:val="24"/>
                <w:vertAlign w:val="superscript"/>
              </w:rPr>
              <w:footnoteReference w:id="6"/>
            </w:r>
          </w:p>
        </w:tc>
        <w:tc>
          <w:tcPr>
            <w:tcW w:w="4358" w:type="dxa"/>
            <w:vAlign w:val="center"/>
          </w:tcPr>
          <w:p w14:paraId="1A82CAFA" w14:textId="77777777" w:rsidR="00F853A2" w:rsidRPr="00E56406" w:rsidRDefault="00F853A2"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Kwota środków na wdrażanie LSR (3)</w:t>
            </w:r>
          </w:p>
          <w:p w14:paraId="57706903" w14:textId="4B8F2427" w:rsidR="00096DF4" w:rsidRPr="00E56406" w:rsidRDefault="00096DF4" w:rsidP="00F853A2">
            <w:pPr>
              <w:autoSpaceDE w:val="0"/>
              <w:autoSpaceDN w:val="0"/>
              <w:adjustRightInd w:val="0"/>
              <w:spacing w:after="0"/>
              <w:jc w:val="center"/>
              <w:rPr>
                <w:rFonts w:asciiTheme="minorHAnsi" w:eastAsiaTheme="minorEastAsia" w:hAnsiTheme="minorHAnsi" w:cstheme="minorHAnsi"/>
                <w:sz w:val="24"/>
                <w:szCs w:val="24"/>
              </w:rPr>
            </w:pPr>
            <w:r w:rsidRPr="00E56406">
              <w:rPr>
                <w:rFonts w:asciiTheme="minorHAnsi" w:eastAsiaTheme="minorEastAsia" w:hAnsiTheme="minorHAnsi" w:cstheme="minorHAnsi"/>
                <w:sz w:val="24"/>
                <w:szCs w:val="24"/>
              </w:rPr>
              <w:t>[EUR]</w:t>
            </w:r>
          </w:p>
        </w:tc>
      </w:tr>
      <w:tr w:rsidR="00F853A2" w:rsidRPr="00E56406" w14:paraId="5D864344" w14:textId="77777777" w:rsidTr="000803B3">
        <w:tc>
          <w:tcPr>
            <w:tcW w:w="4420" w:type="dxa"/>
            <w:vAlign w:val="center"/>
          </w:tcPr>
          <w:p w14:paraId="662E1E95"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&lt;0,04</w:t>
            </w:r>
          </w:p>
        </w:tc>
        <w:tc>
          <w:tcPr>
            <w:tcW w:w="4358" w:type="dxa"/>
            <w:vAlign w:val="bottom"/>
          </w:tcPr>
          <w:p w14:paraId="125838C3"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161 696,00</w:t>
            </w:r>
          </w:p>
        </w:tc>
      </w:tr>
      <w:tr w:rsidR="00F853A2" w:rsidRPr="00E56406" w14:paraId="7BC27658" w14:textId="77777777" w:rsidTr="000803B3">
        <w:tc>
          <w:tcPr>
            <w:tcW w:w="4420" w:type="dxa"/>
            <w:vAlign w:val="center"/>
          </w:tcPr>
          <w:p w14:paraId="02CF6AE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&gt;0,04 i &lt;0,045</w:t>
            </w:r>
          </w:p>
        </w:tc>
        <w:tc>
          <w:tcPr>
            <w:tcW w:w="4358" w:type="dxa"/>
            <w:vAlign w:val="bottom"/>
          </w:tcPr>
          <w:p w14:paraId="6A453300"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185 061,00</w:t>
            </w:r>
          </w:p>
        </w:tc>
      </w:tr>
      <w:tr w:rsidR="00F853A2" w:rsidRPr="00E56406" w14:paraId="72D4FE80" w14:textId="77777777" w:rsidTr="000803B3">
        <w:tc>
          <w:tcPr>
            <w:tcW w:w="4420" w:type="dxa"/>
            <w:vAlign w:val="center"/>
          </w:tcPr>
          <w:p w14:paraId="6E42FBA9"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&gt;=0,045 i &lt;0,05</w:t>
            </w:r>
          </w:p>
        </w:tc>
        <w:tc>
          <w:tcPr>
            <w:tcW w:w="4358" w:type="dxa"/>
            <w:vAlign w:val="bottom"/>
          </w:tcPr>
          <w:p w14:paraId="1ABD7F9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208 426,00</w:t>
            </w:r>
          </w:p>
        </w:tc>
      </w:tr>
      <w:tr w:rsidR="00F853A2" w:rsidRPr="00E56406" w14:paraId="2667E5DE" w14:textId="77777777" w:rsidTr="000803B3">
        <w:tc>
          <w:tcPr>
            <w:tcW w:w="4420" w:type="dxa"/>
            <w:vAlign w:val="center"/>
          </w:tcPr>
          <w:p w14:paraId="7034603F"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&gt;=0,05 i &lt;0,055</w:t>
            </w:r>
          </w:p>
        </w:tc>
        <w:tc>
          <w:tcPr>
            <w:tcW w:w="4358" w:type="dxa"/>
            <w:vAlign w:val="bottom"/>
          </w:tcPr>
          <w:p w14:paraId="245D3285"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231 791,00</w:t>
            </w:r>
          </w:p>
        </w:tc>
      </w:tr>
      <w:tr w:rsidR="00F853A2" w:rsidRPr="00E56406" w14:paraId="2578D534" w14:textId="77777777" w:rsidTr="000803B3">
        <w:tc>
          <w:tcPr>
            <w:tcW w:w="4420" w:type="dxa"/>
            <w:vAlign w:val="center"/>
          </w:tcPr>
          <w:p w14:paraId="7AEA4F69"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&gt;=0,055 i &lt;0,06</w:t>
            </w:r>
          </w:p>
        </w:tc>
        <w:tc>
          <w:tcPr>
            <w:tcW w:w="4358" w:type="dxa"/>
            <w:vAlign w:val="bottom"/>
          </w:tcPr>
          <w:p w14:paraId="09F56037"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255 156,00</w:t>
            </w:r>
          </w:p>
        </w:tc>
      </w:tr>
      <w:tr w:rsidR="00F853A2" w:rsidRPr="00E56406" w14:paraId="39836506" w14:textId="77777777" w:rsidTr="000803B3">
        <w:tc>
          <w:tcPr>
            <w:tcW w:w="4420" w:type="dxa"/>
            <w:vAlign w:val="center"/>
          </w:tcPr>
          <w:p w14:paraId="279800B6"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&gt;=0,06 i &lt;0,065</w:t>
            </w:r>
          </w:p>
        </w:tc>
        <w:tc>
          <w:tcPr>
            <w:tcW w:w="4358" w:type="dxa"/>
            <w:vAlign w:val="bottom"/>
          </w:tcPr>
          <w:p w14:paraId="0D601146"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278 521,00</w:t>
            </w:r>
          </w:p>
        </w:tc>
      </w:tr>
      <w:tr w:rsidR="00F853A2" w:rsidRPr="00E56406" w14:paraId="16A51466" w14:textId="77777777" w:rsidTr="000803B3">
        <w:tc>
          <w:tcPr>
            <w:tcW w:w="4420" w:type="dxa"/>
            <w:vAlign w:val="center"/>
          </w:tcPr>
          <w:p w14:paraId="00C772AC"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&gt;=0,065 i &lt;0,07</w:t>
            </w:r>
          </w:p>
        </w:tc>
        <w:tc>
          <w:tcPr>
            <w:tcW w:w="4358" w:type="dxa"/>
            <w:vAlign w:val="bottom"/>
          </w:tcPr>
          <w:p w14:paraId="7E86DBA4"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301 886,00</w:t>
            </w:r>
          </w:p>
        </w:tc>
      </w:tr>
      <w:tr w:rsidR="00F853A2" w:rsidRPr="00E56406" w14:paraId="20D11FA1" w14:textId="77777777" w:rsidTr="000803B3">
        <w:tc>
          <w:tcPr>
            <w:tcW w:w="4420" w:type="dxa"/>
            <w:vAlign w:val="center"/>
          </w:tcPr>
          <w:p w14:paraId="560C48C6"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&gt;=0,07 i &lt;0,075</w:t>
            </w:r>
          </w:p>
        </w:tc>
        <w:tc>
          <w:tcPr>
            <w:tcW w:w="4358" w:type="dxa"/>
            <w:vAlign w:val="bottom"/>
          </w:tcPr>
          <w:p w14:paraId="3050A4DB"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325 251,00</w:t>
            </w:r>
          </w:p>
        </w:tc>
      </w:tr>
      <w:tr w:rsidR="00F853A2" w:rsidRPr="00E56406" w14:paraId="067852A0" w14:textId="77777777" w:rsidTr="000803B3">
        <w:tc>
          <w:tcPr>
            <w:tcW w:w="4420" w:type="dxa"/>
            <w:vAlign w:val="center"/>
          </w:tcPr>
          <w:p w14:paraId="11B73490"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&gt;=0,075 i &lt;0,08</w:t>
            </w:r>
          </w:p>
        </w:tc>
        <w:tc>
          <w:tcPr>
            <w:tcW w:w="4358" w:type="dxa"/>
            <w:vAlign w:val="bottom"/>
          </w:tcPr>
          <w:p w14:paraId="3C684052"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348 616,00</w:t>
            </w:r>
          </w:p>
        </w:tc>
      </w:tr>
      <w:tr w:rsidR="00F853A2" w:rsidRPr="00E56406" w14:paraId="4164D7B8" w14:textId="77777777" w:rsidTr="000803B3">
        <w:tc>
          <w:tcPr>
            <w:tcW w:w="4420" w:type="dxa"/>
            <w:vAlign w:val="center"/>
          </w:tcPr>
          <w:p w14:paraId="51066684"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&gt;=0,08 i &lt;0,085</w:t>
            </w:r>
          </w:p>
        </w:tc>
        <w:tc>
          <w:tcPr>
            <w:tcW w:w="4358" w:type="dxa"/>
            <w:vAlign w:val="bottom"/>
          </w:tcPr>
          <w:p w14:paraId="7D97BE1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371 981,00</w:t>
            </w:r>
          </w:p>
        </w:tc>
      </w:tr>
      <w:tr w:rsidR="00F853A2" w:rsidRPr="00E56406" w14:paraId="780C99CB" w14:textId="77777777" w:rsidTr="000803B3">
        <w:tc>
          <w:tcPr>
            <w:tcW w:w="4420" w:type="dxa"/>
            <w:vAlign w:val="center"/>
          </w:tcPr>
          <w:p w14:paraId="54B47374"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&gt;=0,085 i &lt;0,09</w:t>
            </w:r>
          </w:p>
        </w:tc>
        <w:tc>
          <w:tcPr>
            <w:tcW w:w="4358" w:type="dxa"/>
            <w:vAlign w:val="bottom"/>
          </w:tcPr>
          <w:p w14:paraId="29BDF92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395 346,00</w:t>
            </w:r>
          </w:p>
        </w:tc>
      </w:tr>
      <w:tr w:rsidR="00F853A2" w:rsidRPr="00E56406" w14:paraId="283F4505" w14:textId="77777777" w:rsidTr="000803B3">
        <w:tc>
          <w:tcPr>
            <w:tcW w:w="4420" w:type="dxa"/>
            <w:vAlign w:val="center"/>
          </w:tcPr>
          <w:p w14:paraId="16750346"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&gt;=0,09 i &lt;0,095</w:t>
            </w:r>
          </w:p>
        </w:tc>
        <w:tc>
          <w:tcPr>
            <w:tcW w:w="4358" w:type="dxa"/>
            <w:vAlign w:val="bottom"/>
          </w:tcPr>
          <w:p w14:paraId="220B5818"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418 711,00</w:t>
            </w:r>
          </w:p>
        </w:tc>
      </w:tr>
      <w:tr w:rsidR="00F853A2" w:rsidRPr="00E56406" w14:paraId="3E2E12CF" w14:textId="77777777" w:rsidTr="000803B3">
        <w:tc>
          <w:tcPr>
            <w:tcW w:w="4420" w:type="dxa"/>
            <w:vAlign w:val="center"/>
          </w:tcPr>
          <w:p w14:paraId="1E47A26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&gt;=0,095 i &lt;0,1</w:t>
            </w:r>
          </w:p>
        </w:tc>
        <w:tc>
          <w:tcPr>
            <w:tcW w:w="4358" w:type="dxa"/>
            <w:vAlign w:val="bottom"/>
          </w:tcPr>
          <w:p w14:paraId="3D2E8EEE"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442 076,00</w:t>
            </w:r>
          </w:p>
        </w:tc>
      </w:tr>
      <w:tr w:rsidR="00F853A2" w:rsidRPr="00E56406" w14:paraId="114792D5" w14:textId="77777777" w:rsidTr="000803B3">
        <w:tc>
          <w:tcPr>
            <w:tcW w:w="4420" w:type="dxa"/>
            <w:vAlign w:val="center"/>
          </w:tcPr>
          <w:p w14:paraId="08945A95"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&gt;=0,1 i &lt;0,105</w:t>
            </w:r>
          </w:p>
        </w:tc>
        <w:tc>
          <w:tcPr>
            <w:tcW w:w="4358" w:type="dxa"/>
            <w:vAlign w:val="bottom"/>
          </w:tcPr>
          <w:p w14:paraId="3E63AF44"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465 441,00</w:t>
            </w:r>
          </w:p>
        </w:tc>
      </w:tr>
      <w:tr w:rsidR="00F853A2" w:rsidRPr="00E56406" w14:paraId="25981A53" w14:textId="77777777" w:rsidTr="000803B3">
        <w:tc>
          <w:tcPr>
            <w:tcW w:w="4420" w:type="dxa"/>
            <w:vAlign w:val="center"/>
          </w:tcPr>
          <w:p w14:paraId="01D8A1A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&gt;=0,105 i &lt;0,11</w:t>
            </w:r>
          </w:p>
        </w:tc>
        <w:tc>
          <w:tcPr>
            <w:tcW w:w="4358" w:type="dxa"/>
            <w:vAlign w:val="bottom"/>
          </w:tcPr>
          <w:p w14:paraId="6EBEB7A5"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488 806,00</w:t>
            </w:r>
          </w:p>
        </w:tc>
      </w:tr>
      <w:tr w:rsidR="00F853A2" w:rsidRPr="00E56406" w14:paraId="26E3012B" w14:textId="77777777" w:rsidTr="000803B3">
        <w:tc>
          <w:tcPr>
            <w:tcW w:w="4420" w:type="dxa"/>
            <w:vAlign w:val="center"/>
          </w:tcPr>
          <w:p w14:paraId="5736A36A"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&gt;=0,11 i &lt;0,115</w:t>
            </w:r>
          </w:p>
        </w:tc>
        <w:tc>
          <w:tcPr>
            <w:tcW w:w="4358" w:type="dxa"/>
            <w:vAlign w:val="bottom"/>
          </w:tcPr>
          <w:p w14:paraId="6627FB5D"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512 171,00</w:t>
            </w:r>
          </w:p>
        </w:tc>
      </w:tr>
      <w:tr w:rsidR="00F853A2" w:rsidRPr="00E56406" w14:paraId="4EB4CDEA" w14:textId="77777777" w:rsidTr="000803B3">
        <w:tc>
          <w:tcPr>
            <w:tcW w:w="4420" w:type="dxa"/>
            <w:vAlign w:val="center"/>
          </w:tcPr>
          <w:p w14:paraId="6DB0950D"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&gt;=0,115</w:t>
            </w:r>
          </w:p>
        </w:tc>
        <w:tc>
          <w:tcPr>
            <w:tcW w:w="4358" w:type="dxa"/>
            <w:vAlign w:val="bottom"/>
          </w:tcPr>
          <w:p w14:paraId="2A530A09" w14:textId="77777777" w:rsidR="00F853A2" w:rsidRPr="00E56406" w:rsidRDefault="00F853A2" w:rsidP="00F853A2">
            <w:pPr>
              <w:autoSpaceDE w:val="0"/>
              <w:autoSpaceDN w:val="0"/>
              <w:adjustRightInd w:val="0"/>
              <w:spacing w:after="0"/>
              <w:jc w:val="center"/>
              <w:rPr>
                <w:rFonts w:asciiTheme="minorHAnsi" w:hAnsiTheme="minorHAnsi" w:cstheme="minorHAnsi"/>
                <w:sz w:val="24"/>
                <w:szCs w:val="24"/>
              </w:rPr>
            </w:pPr>
            <w:r w:rsidRPr="00E56406">
              <w:rPr>
                <w:rFonts w:asciiTheme="minorHAnsi" w:hAnsiTheme="minorHAnsi" w:cstheme="minorHAnsi"/>
                <w:sz w:val="24"/>
                <w:szCs w:val="24"/>
              </w:rPr>
              <w:t>535 536,00</w:t>
            </w:r>
          </w:p>
        </w:tc>
      </w:tr>
    </w:tbl>
    <w:p w14:paraId="78E3CB21" w14:textId="401269EC" w:rsidR="00F853A2" w:rsidRPr="00E56406" w:rsidRDefault="009C4158" w:rsidP="009C4158">
      <w:pPr>
        <w:numPr>
          <w:ilvl w:val="0"/>
          <w:numId w:val="16"/>
        </w:numPr>
        <w:autoSpaceDE w:val="0"/>
        <w:autoSpaceDN w:val="0"/>
        <w:adjustRightInd w:val="0"/>
        <w:spacing w:after="0"/>
        <w:ind w:left="709"/>
        <w:jc w:val="both"/>
        <w:rPr>
          <w:rFonts w:asciiTheme="minorHAnsi" w:eastAsiaTheme="minorHAnsi" w:hAnsiTheme="minorHAnsi" w:cstheme="minorHAnsi"/>
          <w:sz w:val="24"/>
          <w:szCs w:val="24"/>
          <w:lang w:eastAsia="en-US"/>
        </w:rPr>
      </w:pPr>
      <w:r w:rsidRPr="009C4158">
        <w:rPr>
          <w:rFonts w:asciiTheme="minorHAnsi" w:eastAsiaTheme="minorEastAsia" w:hAnsiTheme="minorHAnsi" w:cstheme="minorHAnsi"/>
          <w:sz w:val="24"/>
          <w:szCs w:val="24"/>
          <w:lang w:eastAsia="en-US"/>
        </w:rPr>
        <w:t xml:space="preserve">Wysokość dostępnych środków </w:t>
      </w:r>
      <w:r>
        <w:rPr>
          <w:rFonts w:asciiTheme="minorHAnsi" w:eastAsiaTheme="minorEastAsia" w:hAnsiTheme="minorHAnsi" w:cstheme="minorHAnsi"/>
          <w:sz w:val="24"/>
          <w:szCs w:val="24"/>
          <w:lang w:eastAsia="en-US"/>
        </w:rPr>
        <w:t xml:space="preserve">na Zarządzanie </w:t>
      </w:r>
      <w:r w:rsidRPr="009C4158">
        <w:rPr>
          <w:rFonts w:asciiTheme="minorHAnsi" w:eastAsiaTheme="minorEastAsia" w:hAnsiTheme="minorHAnsi" w:cstheme="minorHAnsi"/>
          <w:sz w:val="24"/>
          <w:szCs w:val="24"/>
          <w:lang w:eastAsia="en-US"/>
        </w:rPr>
        <w:t xml:space="preserve">LSR w odniesieniu do pojedynczej LSR wyznacza się </w:t>
      </w:r>
      <w:r>
        <w:rPr>
          <w:rFonts w:asciiTheme="minorHAnsi" w:eastAsiaTheme="minorEastAsia" w:hAnsiTheme="minorHAnsi" w:cstheme="minorHAnsi"/>
          <w:sz w:val="24"/>
          <w:szCs w:val="24"/>
          <w:lang w:eastAsia="en-US"/>
        </w:rPr>
        <w:t>zgodnie z poniższym wzorem</w:t>
      </w:r>
      <w:r w:rsidR="00F853A2" w:rsidRPr="00E56406">
        <w:rPr>
          <w:rFonts w:asciiTheme="minorHAnsi" w:eastAsiaTheme="minorHAnsi" w:hAnsiTheme="minorHAnsi" w:cstheme="minorHAnsi"/>
          <w:sz w:val="24"/>
          <w:szCs w:val="24"/>
          <w:lang w:eastAsia="en-US"/>
        </w:rPr>
        <w:t>:</w:t>
      </w:r>
    </w:p>
    <w:p w14:paraId="63BFD774" w14:textId="3EDF0ADA" w:rsidR="009C4158" w:rsidRDefault="009C4158" w:rsidP="008D1812">
      <w:pPr>
        <w:autoSpaceDE w:val="0"/>
        <w:autoSpaceDN w:val="0"/>
        <w:adjustRightInd w:val="0"/>
        <w:spacing w:before="120" w:after="120"/>
        <w:ind w:left="1276" w:right="-284" w:hanging="425"/>
        <w:jc w:val="both"/>
        <w:rPr>
          <w:rFonts w:asciiTheme="minorHAnsi" w:eastAsiaTheme="minorEastAsia" w:hAnsiTheme="minorHAnsi" w:cstheme="minorHAnsi"/>
          <w:sz w:val="24"/>
          <w:szCs w:val="24"/>
          <w:lang w:eastAsia="en-US"/>
        </w:rPr>
      </w:pPr>
      <m:oMathPara>
        <m:oMath>
          <m:r>
            <w:rPr>
              <w:rFonts w:ascii="Cambria Math" w:eastAsiaTheme="minorHAnsi" w:hAnsi="Cambria Math" w:cstheme="minorHAnsi"/>
              <w:sz w:val="24"/>
              <w:szCs w:val="24"/>
              <w:lang w:eastAsia="en-US"/>
            </w:rPr>
            <m:t xml:space="preserve">kwota na Zarządzanie daną LSR </m:t>
          </m:r>
          <m:r>
            <m:rPr>
              <m:sty m:val="p"/>
            </m:rPr>
            <w:rPr>
              <w:rFonts w:ascii="Cambria Math" w:eastAsiaTheme="minorHAnsi" w:hAnsi="Cambria Math" w:cstheme="minorHAnsi"/>
              <w:sz w:val="24"/>
              <w:szCs w:val="24"/>
              <w:lang w:eastAsia="en-US"/>
            </w:rPr>
            <m:t>=</m:t>
          </m:r>
          <m:f>
            <m:fPr>
              <m:ctrlPr>
                <w:rPr>
                  <w:rFonts w:ascii="Cambria Math" w:eastAsiaTheme="minorHAnsi" w:hAnsi="Cambria Math" w:cstheme="minorHAnsi"/>
                  <w:sz w:val="24"/>
                  <w:szCs w:val="24"/>
                  <w:lang w:eastAsia="en-US"/>
                </w:rPr>
              </m:ctrlPr>
            </m:fPr>
            <m:num>
              <m:r>
                <m:rPr>
                  <m:sty m:val="p"/>
                </m:rPr>
                <w:rPr>
                  <w:rFonts w:ascii="Cambria Math" w:eastAsiaTheme="minorHAnsi" w:hAnsi="Cambria Math" w:cstheme="minorHAnsi"/>
                  <w:sz w:val="24"/>
                  <w:szCs w:val="24"/>
                  <w:lang w:eastAsia="en-US"/>
                </w:rPr>
                <m:t xml:space="preserve">kwota na Wdrażanie danej LSR </m:t>
              </m:r>
              <m:r>
                <w:rPr>
                  <w:rFonts w:ascii="Cambria Math" w:eastAsiaTheme="minorHAnsi" w:hAnsi="Cambria Math" w:cstheme="minorHAnsi"/>
                  <w:sz w:val="24"/>
                  <w:szCs w:val="24"/>
                  <w:lang w:eastAsia="en-US"/>
                </w:rPr>
                <m:t>(pkt II)</m:t>
              </m:r>
            </m:num>
            <m:den>
              <m:r>
                <w:rPr>
                  <w:rFonts w:ascii="Cambria Math" w:eastAsiaTheme="minorHAnsi" w:hAnsi="Cambria Math" w:cstheme="minorHAnsi"/>
                  <w:sz w:val="24"/>
                  <w:szCs w:val="24"/>
                  <w:lang w:eastAsia="en-US"/>
                </w:rPr>
                <m:t xml:space="preserve">24 450 </m:t>
              </m:r>
            </m:den>
          </m:f>
          <m:r>
            <w:rPr>
              <w:rFonts w:ascii="Cambria Math" w:eastAsiaTheme="minorHAnsi" w:hAnsi="Cambria Math" w:cstheme="minorHAnsi"/>
              <w:sz w:val="24"/>
              <w:szCs w:val="24"/>
              <w:lang w:eastAsia="en-US"/>
            </w:rPr>
            <m:t xml:space="preserve">x5 500 </m:t>
          </m:r>
        </m:oMath>
      </m:oMathPara>
    </w:p>
    <w:p w14:paraId="2866894E" w14:textId="345D5AE8" w:rsidR="00F853A2" w:rsidRPr="008D1812" w:rsidRDefault="009C4158" w:rsidP="008D1812">
      <w:pPr>
        <w:autoSpaceDE w:val="0"/>
        <w:autoSpaceDN w:val="0"/>
        <w:adjustRightInd w:val="0"/>
        <w:spacing w:after="0"/>
        <w:ind w:left="709"/>
        <w:jc w:val="both"/>
        <w:rPr>
          <w:rFonts w:asciiTheme="minorHAnsi" w:eastAsiaTheme="minorEastAsia" w:hAnsiTheme="minorHAnsi" w:cstheme="minorHAnsi"/>
          <w:sz w:val="24"/>
          <w:szCs w:val="24"/>
          <w:lang w:eastAsia="en-US"/>
        </w:rPr>
      </w:pPr>
      <w:r>
        <w:rPr>
          <w:rFonts w:asciiTheme="minorHAnsi" w:eastAsiaTheme="minorEastAsia" w:hAnsiTheme="minorHAnsi" w:cstheme="minorHAnsi"/>
          <w:sz w:val="24"/>
          <w:szCs w:val="24"/>
          <w:lang w:eastAsia="en-US"/>
        </w:rPr>
        <w:t xml:space="preserve">i zaokrągla się </w:t>
      </w:r>
      <w:r w:rsidR="00F853A2" w:rsidRPr="00E56406">
        <w:rPr>
          <w:rFonts w:asciiTheme="minorHAnsi" w:eastAsiaTheme="minorEastAsia" w:hAnsiTheme="minorHAnsi" w:cstheme="minorHAnsi"/>
          <w:sz w:val="24"/>
          <w:szCs w:val="24"/>
          <w:lang w:eastAsia="en-US"/>
        </w:rPr>
        <w:t>do dwóch miejsc po przecinku.</w:t>
      </w:r>
    </w:p>
    <w:p w14:paraId="4852F61D" w14:textId="52CD05F0" w:rsidR="004A729E" w:rsidRDefault="00F853A2" w:rsidP="00F853A2">
      <w:pPr>
        <w:numPr>
          <w:ilvl w:val="0"/>
          <w:numId w:val="16"/>
        </w:numPr>
        <w:autoSpaceDE w:val="0"/>
        <w:autoSpaceDN w:val="0"/>
        <w:adjustRightInd w:val="0"/>
        <w:spacing w:after="0"/>
        <w:ind w:left="709"/>
        <w:jc w:val="both"/>
        <w:rPr>
          <w:rFonts w:asciiTheme="minorHAnsi" w:eastAsiaTheme="minorHAnsi" w:hAnsiTheme="minorHAnsi" w:cstheme="minorHAnsi"/>
          <w:sz w:val="24"/>
          <w:szCs w:val="24"/>
          <w:lang w:eastAsia="en-US"/>
        </w:rPr>
      </w:pPr>
      <w:r w:rsidRPr="00E56406">
        <w:rPr>
          <w:rFonts w:asciiTheme="minorHAnsi" w:eastAsiaTheme="minorHAnsi" w:hAnsiTheme="minorHAnsi" w:cstheme="minorHAnsi"/>
          <w:sz w:val="24"/>
          <w:szCs w:val="24"/>
          <w:lang w:eastAsia="en-US"/>
        </w:rPr>
        <w:lastRenderedPageBreak/>
        <w:t>W przypadku, kiedy na etapie ustalania listy LSR spełniających warunki wyboru okaże się, że wysokość dostępnych środków będzie niewystarczająca do wyboru wszystkich LSR spełniających warunki wyboru, Zarząd Województwa Podkarpackiego obniży kwoty w ramach LSR. Natomiast, w przypadku kiedy na etapie ustalania listy LSR spełniających warunki wyboru okaże się, że dostępne środki nie zostały w całości rozdysponowane - powstałe oszczędności mogą zostać podzielone proporcjonalnie pomiędzy te LSR, które zostaną wybrane do realizacji z zastrzeżeniem, że procentowy udział kwoty na zarządzanie w stosunku do kwoty przeznaczonej na wdrażanie LSR pozostanie na tym samym poziomie.</w:t>
      </w:r>
    </w:p>
    <w:p w14:paraId="1E69BCA1" w14:textId="77777777" w:rsidR="004A729E" w:rsidRDefault="004A729E">
      <w:pPr>
        <w:spacing w:after="160" w:line="259"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br w:type="page"/>
      </w:r>
    </w:p>
    <w:p w14:paraId="3B1ED7E0" w14:textId="39F11C29" w:rsidR="009D6C98" w:rsidRPr="00E56406" w:rsidRDefault="009D6C98" w:rsidP="009D6C98">
      <w:pPr>
        <w:pStyle w:val="Nagwek1"/>
        <w:spacing w:line="276" w:lineRule="auto"/>
        <w:jc w:val="both"/>
        <w:rPr>
          <w:szCs w:val="32"/>
        </w:rPr>
      </w:pPr>
      <w:bookmarkStart w:id="5" w:name="_Toc117597602"/>
      <w:r w:rsidRPr="00E56406">
        <w:rPr>
          <w:szCs w:val="32"/>
        </w:rPr>
        <w:lastRenderedPageBreak/>
        <w:t>F. Wysokość dostępnych środków przeznaczonych na realizację LSR w ramach programu Fundusze Europejskie dla Podlaskiego 2021-2027</w:t>
      </w:r>
      <w:bookmarkEnd w:id="5"/>
    </w:p>
    <w:p w14:paraId="294C7CA0" w14:textId="77777777" w:rsidR="009D6C98" w:rsidRPr="00E56406" w:rsidRDefault="009D6C98" w:rsidP="009D6C98">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przeznaczonych na realizację LSR w ramach programu Fundusze Europejskie dla Podlaskiego 2021-2027 wynosi 60 000 000 EUR, z czego 30 000 000 EUR to środki EFS+, a 30 000 000 EUR to środki EFRR.</w:t>
      </w:r>
    </w:p>
    <w:p w14:paraId="7655CE34" w14:textId="77777777" w:rsidR="009D6C98" w:rsidRPr="00E56406" w:rsidRDefault="009D6C98" w:rsidP="009D6C98">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Kwotę środków przewidzianą w LSR w ramach programu Fundusze Europejskie dla Podlaskiego 2021-2027 ustala się dla każdej LSR zgodnie z poniższymi zasadami:</w:t>
      </w:r>
    </w:p>
    <w:p w14:paraId="54D4970D" w14:textId="422EA7D5" w:rsidR="009D6C98" w:rsidRPr="00E56406" w:rsidRDefault="009D6C98" w:rsidP="009D6C98">
      <w:pPr>
        <w:pStyle w:val="Akapitzlist"/>
        <w:numPr>
          <w:ilvl w:val="0"/>
          <w:numId w:val="51"/>
        </w:numPr>
        <w:spacing w:before="100" w:beforeAutospacing="1" w:after="100" w:afterAutospacing="1"/>
        <w:ind w:left="426" w:hanging="437"/>
        <w:contextualSpacing w:val="0"/>
        <w:jc w:val="both"/>
        <w:rPr>
          <w:rFonts w:cstheme="minorHAnsi"/>
          <w:sz w:val="24"/>
          <w:szCs w:val="24"/>
        </w:rPr>
      </w:pPr>
      <w:r w:rsidRPr="00E56406">
        <w:rPr>
          <w:rFonts w:cstheme="minorHAnsi"/>
          <w:sz w:val="24"/>
          <w:szCs w:val="24"/>
        </w:rPr>
        <w:t xml:space="preserve">Maksymalna wartość środków EFS+ na realizację LSR w ramach </w:t>
      </w:r>
      <w:r w:rsidRPr="00E56406">
        <w:rPr>
          <w:rFonts w:cstheme="minorHAnsi"/>
          <w:bCs/>
          <w:sz w:val="24"/>
          <w:szCs w:val="24"/>
        </w:rPr>
        <w:t>Fundusze Europejskie dla Podlaskiego 2021-2027 wynosi 30 000 000</w:t>
      </w:r>
      <w:r w:rsidRPr="00E56406">
        <w:rPr>
          <w:rFonts w:cstheme="minorHAnsi"/>
          <w:sz w:val="24"/>
          <w:szCs w:val="24"/>
        </w:rPr>
        <w:t xml:space="preserve"> EUR, przy czym ze względu na wydzielenie </w:t>
      </w:r>
      <w:r w:rsidR="00821112">
        <w:rPr>
          <w:rFonts w:cstheme="minorHAnsi"/>
          <w:sz w:val="24"/>
          <w:szCs w:val="24"/>
        </w:rPr>
        <w:t>środków</w:t>
      </w:r>
      <w:r w:rsidRPr="00E56406">
        <w:rPr>
          <w:rFonts w:cstheme="minorHAnsi"/>
          <w:sz w:val="24"/>
          <w:szCs w:val="24"/>
        </w:rPr>
        <w:t xml:space="preserve"> na komponent zarządzanie LSR w ramach FEdP oraz rezerwę programową w wysokości 10,00%, wartość dzielonej algorytmem alokacji w ramach naboru LSR nie może przekroczyć kwoty </w:t>
      </w:r>
      <w:r w:rsidRPr="00E56406">
        <w:rPr>
          <w:rFonts w:cstheme="minorHAnsi"/>
          <w:b/>
          <w:sz w:val="24"/>
          <w:szCs w:val="24"/>
        </w:rPr>
        <w:t>20 000 000 EUR</w:t>
      </w:r>
      <w:r w:rsidRPr="00E56406">
        <w:rPr>
          <w:rFonts w:cstheme="minorHAnsi"/>
          <w:sz w:val="24"/>
          <w:szCs w:val="24"/>
        </w:rPr>
        <w:t>.</w:t>
      </w:r>
    </w:p>
    <w:p w14:paraId="7AB3B8CB" w14:textId="77777777" w:rsidR="009D6C98" w:rsidRPr="00E56406" w:rsidRDefault="009D6C98" w:rsidP="009D6C98">
      <w:pPr>
        <w:pStyle w:val="Akapitzlist"/>
        <w:spacing w:before="100" w:beforeAutospacing="1" w:after="100" w:afterAutospacing="1"/>
        <w:ind w:left="426"/>
        <w:jc w:val="both"/>
        <w:rPr>
          <w:rFonts w:cstheme="minorHAnsi"/>
          <w:sz w:val="24"/>
          <w:szCs w:val="24"/>
        </w:rPr>
      </w:pPr>
      <w:r w:rsidRPr="00E56406">
        <w:rPr>
          <w:rFonts w:cstheme="minorHAnsi"/>
          <w:sz w:val="24"/>
          <w:szCs w:val="24"/>
        </w:rPr>
        <w:t xml:space="preserve">Maksymalne kwoty na realizację poszczególnych LSR uzależnione są od następujących wskaźników, przy czym z uwagi na ukierunkowanie w FEdP interwencji instrumentu RLKS na obszary wiejskie przy podziale środków </w:t>
      </w:r>
      <w:r w:rsidRPr="00E56406">
        <w:rPr>
          <w:rFonts w:cstheme="minorHAnsi"/>
          <w:sz w:val="24"/>
          <w:szCs w:val="24"/>
          <w:u w:val="single"/>
        </w:rPr>
        <w:t>nie uwzględnia się</w:t>
      </w:r>
      <w:r w:rsidRPr="00E56406">
        <w:rPr>
          <w:rFonts w:cstheme="minorHAnsi"/>
          <w:sz w:val="24"/>
          <w:szCs w:val="24"/>
        </w:rPr>
        <w:t xml:space="preserve"> wskaźników odnoszących się do miasta wojewódzkiego (Białystok) oraz ośrodków subregionalnych wskazanych w Strategii Rozwoju Województwa Podlaskiego 2030, tj. miast: Suwałki, Łomża oraz Bielsk Podlaski :</w:t>
      </w:r>
    </w:p>
    <w:p w14:paraId="5BC5333D" w14:textId="77777777" w:rsidR="009D6C98" w:rsidRPr="00E56406" w:rsidRDefault="009D6C98" w:rsidP="009D6C98">
      <w:pPr>
        <w:numPr>
          <w:ilvl w:val="0"/>
          <w:numId w:val="45"/>
        </w:numPr>
        <w:spacing w:before="100" w:beforeAutospacing="1" w:after="100" w:afterAutospacing="1"/>
        <w:ind w:left="851"/>
        <w:jc w:val="both"/>
        <w:rPr>
          <w:rFonts w:asciiTheme="minorHAnsi" w:hAnsiTheme="minorHAnsi" w:cstheme="minorHAnsi"/>
          <w:sz w:val="24"/>
          <w:szCs w:val="24"/>
        </w:rPr>
      </w:pPr>
      <w:r w:rsidRPr="00E56406">
        <w:rPr>
          <w:rFonts w:asciiTheme="minorHAnsi" w:hAnsiTheme="minorHAnsi" w:cstheme="minorHAnsi"/>
          <w:i/>
          <w:sz w:val="24"/>
          <w:szCs w:val="24"/>
        </w:rPr>
        <w:t>liczba ludności zamieszkującej obszar objęty daną lokalną strategią rozwoju</w:t>
      </w:r>
      <w:r w:rsidRPr="00E56406">
        <w:rPr>
          <w:rFonts w:asciiTheme="minorHAnsi" w:hAnsiTheme="minorHAnsi" w:cstheme="minorHAnsi"/>
          <w:i/>
          <w:sz w:val="24"/>
          <w:szCs w:val="24"/>
          <w:vertAlign w:val="superscript"/>
        </w:rPr>
        <w:t>*</w:t>
      </w:r>
      <w:r w:rsidRPr="00E56406">
        <w:rPr>
          <w:rFonts w:asciiTheme="minorHAnsi" w:hAnsiTheme="minorHAnsi" w:cstheme="minorHAnsi"/>
          <w:sz w:val="24"/>
          <w:szCs w:val="24"/>
        </w:rPr>
        <w:t xml:space="preserve"> – </w:t>
      </w:r>
      <w:r w:rsidRPr="00E56406">
        <w:rPr>
          <w:rFonts w:asciiTheme="minorHAnsi" w:hAnsiTheme="minorHAnsi" w:cstheme="minorHAnsi"/>
          <w:b/>
          <w:sz w:val="24"/>
          <w:szCs w:val="24"/>
        </w:rPr>
        <w:t>waga 30%</w:t>
      </w:r>
      <w:r w:rsidRPr="00E56406">
        <w:rPr>
          <w:rFonts w:asciiTheme="minorHAnsi" w:hAnsiTheme="minorHAnsi" w:cstheme="minorHAnsi"/>
          <w:sz w:val="24"/>
          <w:szCs w:val="24"/>
        </w:rPr>
        <w:t>,</w:t>
      </w:r>
    </w:p>
    <w:p w14:paraId="374B8FCA" w14:textId="77777777" w:rsidR="009D6C98" w:rsidRPr="00E56406" w:rsidRDefault="009D6C98" w:rsidP="009D6C98">
      <w:pPr>
        <w:numPr>
          <w:ilvl w:val="0"/>
          <w:numId w:val="45"/>
        </w:numPr>
        <w:spacing w:before="100" w:beforeAutospacing="1" w:after="100" w:afterAutospacing="1"/>
        <w:ind w:left="851"/>
        <w:jc w:val="both"/>
        <w:rPr>
          <w:rFonts w:asciiTheme="minorHAnsi" w:hAnsiTheme="minorHAnsi" w:cstheme="minorHAnsi"/>
          <w:sz w:val="24"/>
          <w:szCs w:val="24"/>
        </w:rPr>
      </w:pPr>
      <w:r w:rsidRPr="00E56406">
        <w:rPr>
          <w:rFonts w:asciiTheme="minorHAnsi" w:hAnsiTheme="minorHAnsi" w:cstheme="minorHAnsi"/>
          <w:i/>
          <w:sz w:val="24"/>
          <w:szCs w:val="24"/>
        </w:rPr>
        <w:t>odsetek osób objętych pomocą społeczną na obszarze LSR</w:t>
      </w:r>
      <w:r w:rsidRPr="00E56406">
        <w:rPr>
          <w:rFonts w:asciiTheme="minorHAnsi" w:hAnsiTheme="minorHAnsi" w:cstheme="minorHAnsi"/>
          <w:sz w:val="24"/>
          <w:szCs w:val="24"/>
        </w:rPr>
        <w:t xml:space="preserve"> – </w:t>
      </w:r>
      <w:r w:rsidRPr="00E56406">
        <w:rPr>
          <w:rFonts w:asciiTheme="minorHAnsi" w:hAnsiTheme="minorHAnsi" w:cstheme="minorHAnsi"/>
          <w:b/>
          <w:sz w:val="24"/>
          <w:szCs w:val="24"/>
        </w:rPr>
        <w:t>waga 30%</w:t>
      </w:r>
    </w:p>
    <w:p w14:paraId="68D8100C" w14:textId="77777777" w:rsidR="009D6C98" w:rsidRPr="00E56406" w:rsidRDefault="009D6C98" w:rsidP="009D6C98">
      <w:pPr>
        <w:numPr>
          <w:ilvl w:val="0"/>
          <w:numId w:val="45"/>
        </w:numPr>
        <w:spacing w:before="100" w:beforeAutospacing="1" w:after="100" w:afterAutospacing="1"/>
        <w:ind w:left="851"/>
        <w:jc w:val="both"/>
        <w:rPr>
          <w:rFonts w:asciiTheme="minorHAnsi" w:hAnsiTheme="minorHAnsi" w:cstheme="minorHAnsi"/>
          <w:sz w:val="24"/>
          <w:szCs w:val="24"/>
        </w:rPr>
      </w:pPr>
      <w:r w:rsidRPr="00E56406">
        <w:rPr>
          <w:rFonts w:asciiTheme="minorHAnsi" w:hAnsiTheme="minorHAnsi" w:cstheme="minorHAnsi"/>
          <w:i/>
          <w:iCs/>
          <w:sz w:val="24"/>
          <w:szCs w:val="24"/>
        </w:rPr>
        <w:t xml:space="preserve">liczba ludności w wieku przedprodukcyjnym na obszarze LSR - </w:t>
      </w:r>
      <w:r w:rsidRPr="00E56406">
        <w:rPr>
          <w:rFonts w:asciiTheme="minorHAnsi" w:hAnsiTheme="minorHAnsi" w:cstheme="minorHAnsi"/>
          <w:b/>
          <w:sz w:val="24"/>
          <w:szCs w:val="24"/>
        </w:rPr>
        <w:t>waga 20%</w:t>
      </w:r>
    </w:p>
    <w:p w14:paraId="43EC8A21" w14:textId="77777777" w:rsidR="009D6C98" w:rsidRPr="00E56406" w:rsidRDefault="009D6C98" w:rsidP="009D6C98">
      <w:pPr>
        <w:numPr>
          <w:ilvl w:val="0"/>
          <w:numId w:val="45"/>
        </w:numPr>
        <w:spacing w:before="100" w:beforeAutospacing="1" w:after="100" w:afterAutospacing="1"/>
        <w:ind w:left="851"/>
        <w:jc w:val="both"/>
        <w:rPr>
          <w:rFonts w:asciiTheme="minorHAnsi" w:hAnsiTheme="minorHAnsi" w:cstheme="minorHAnsi"/>
          <w:sz w:val="24"/>
          <w:szCs w:val="24"/>
        </w:rPr>
      </w:pPr>
      <w:r w:rsidRPr="00E56406">
        <w:rPr>
          <w:rFonts w:asciiTheme="minorHAnsi" w:hAnsiTheme="minorHAnsi" w:cstheme="minorHAnsi"/>
          <w:i/>
          <w:iCs/>
          <w:sz w:val="24"/>
          <w:szCs w:val="24"/>
        </w:rPr>
        <w:t xml:space="preserve">liczba ludności w wieku poprodukcyjnym na obszarze LSR - </w:t>
      </w:r>
      <w:r w:rsidRPr="00E56406">
        <w:rPr>
          <w:rFonts w:asciiTheme="minorHAnsi" w:hAnsiTheme="minorHAnsi" w:cstheme="minorHAnsi"/>
          <w:b/>
          <w:sz w:val="24"/>
          <w:szCs w:val="24"/>
        </w:rPr>
        <w:t>waga 20%</w:t>
      </w:r>
    </w:p>
    <w:p w14:paraId="647BF1CC" w14:textId="77777777" w:rsidR="009D6C98" w:rsidRPr="00E56406" w:rsidRDefault="009D6C98" w:rsidP="009D6C98">
      <w:pPr>
        <w:pStyle w:val="Akapitzlist"/>
        <w:spacing w:before="100" w:beforeAutospacing="1" w:after="100" w:afterAutospacing="1"/>
        <w:ind w:left="425"/>
        <w:contextualSpacing w:val="0"/>
        <w:jc w:val="both"/>
        <w:rPr>
          <w:rFonts w:cstheme="minorHAnsi"/>
          <w:sz w:val="24"/>
          <w:szCs w:val="24"/>
        </w:rPr>
      </w:pPr>
      <w:r w:rsidRPr="00E56406">
        <w:rPr>
          <w:rFonts w:cstheme="minorHAnsi"/>
          <w:sz w:val="24"/>
          <w:szCs w:val="24"/>
        </w:rPr>
        <w:t>Podziału kwot wsparcia na poszczególne LSR dokonuje się odnosząc wartość wskaźnika dla obszaru danej LSR</w:t>
      </w:r>
      <w:r w:rsidRPr="00E56406">
        <w:rPr>
          <w:rFonts w:cstheme="minorHAnsi"/>
          <w:b/>
          <w:sz w:val="24"/>
          <w:szCs w:val="24"/>
        </w:rPr>
        <w:t xml:space="preserve"> </w:t>
      </w:r>
      <w:r w:rsidRPr="00E56406">
        <w:rPr>
          <w:rFonts w:cstheme="minorHAnsi"/>
          <w:sz w:val="24"/>
          <w:szCs w:val="24"/>
        </w:rPr>
        <w:t>(gminy z woj. podlaskiego) do sumy wszystkich obszarów, które mogą zostać objęte  LSR. Uzyskane wyniki poszczególnych LSR są następnie przemnażane przez część alokacji odpowiadającej w/w wagom dla każdego ze wskaźników.</w:t>
      </w:r>
    </w:p>
    <w:p w14:paraId="01F808D6" w14:textId="77777777" w:rsidR="009D6C98" w:rsidRPr="00E56406" w:rsidRDefault="009D6C98" w:rsidP="009D6C98">
      <w:pPr>
        <w:pStyle w:val="Akapitzlist"/>
        <w:numPr>
          <w:ilvl w:val="0"/>
          <w:numId w:val="51"/>
        </w:numPr>
        <w:spacing w:before="100" w:beforeAutospacing="1" w:after="100" w:afterAutospacing="1"/>
        <w:ind w:left="425" w:hanging="437"/>
        <w:contextualSpacing w:val="0"/>
        <w:jc w:val="both"/>
        <w:rPr>
          <w:rFonts w:cstheme="minorHAnsi"/>
          <w:sz w:val="24"/>
          <w:szCs w:val="24"/>
        </w:rPr>
      </w:pPr>
      <w:r w:rsidRPr="00E56406">
        <w:rPr>
          <w:rFonts w:cstheme="minorHAnsi"/>
          <w:sz w:val="24"/>
          <w:szCs w:val="24"/>
        </w:rPr>
        <w:t xml:space="preserve">Maksymalna wartość środków EFRR na realizację LSR w ramach programu </w:t>
      </w:r>
      <w:r w:rsidRPr="00E56406">
        <w:rPr>
          <w:rFonts w:cstheme="minorHAnsi"/>
          <w:bCs/>
          <w:sz w:val="24"/>
          <w:szCs w:val="24"/>
        </w:rPr>
        <w:t>Fundusze Europejskie dla Podlaskiego 2021-2027 wynosi 30 000 000</w:t>
      </w:r>
      <w:r w:rsidRPr="00E56406">
        <w:rPr>
          <w:rFonts w:cstheme="minorHAnsi"/>
          <w:sz w:val="24"/>
          <w:szCs w:val="24"/>
        </w:rPr>
        <w:t xml:space="preserve"> EUR, przy czym ze względu na rezerwę programową w wysokości 10,00%, wartość dzielonej algorytmem alokacji w ramach pierwszego naboru LSR nie może przekroczyć kwoty </w:t>
      </w:r>
      <w:r w:rsidRPr="00E56406">
        <w:rPr>
          <w:rFonts w:cstheme="minorHAnsi"/>
          <w:b/>
          <w:sz w:val="24"/>
          <w:szCs w:val="24"/>
        </w:rPr>
        <w:t>27 000 000 EUR</w:t>
      </w:r>
      <w:r w:rsidRPr="00E56406">
        <w:rPr>
          <w:rFonts w:cstheme="minorHAnsi"/>
          <w:sz w:val="24"/>
          <w:szCs w:val="24"/>
        </w:rPr>
        <w:t>.</w:t>
      </w:r>
    </w:p>
    <w:p w14:paraId="2377B889" w14:textId="77777777" w:rsidR="009D6C98" w:rsidRPr="00E56406" w:rsidRDefault="009D6C98" w:rsidP="009D6C98">
      <w:pPr>
        <w:pStyle w:val="Stopka"/>
        <w:rPr>
          <w:rFonts w:asciiTheme="minorHAnsi" w:hAnsiTheme="minorHAnsi" w:cstheme="minorHAnsi"/>
          <w:i/>
          <w:sz w:val="18"/>
        </w:rPr>
      </w:pPr>
      <w:r w:rsidRPr="00E56406">
        <w:rPr>
          <w:rFonts w:asciiTheme="minorHAnsi" w:hAnsiTheme="minorHAnsi" w:cstheme="minorHAnsi"/>
          <w:i/>
          <w:sz w:val="18"/>
        </w:rPr>
        <w:t>*wskaźnik obejmuje całą ludność zamieszkującą obszar objęty daną lokalną strategią rozwoju, w tym miasta powyżej 20 tys. mieszkańców</w:t>
      </w:r>
    </w:p>
    <w:p w14:paraId="42EF1B7D" w14:textId="77777777" w:rsidR="009D6C98" w:rsidRPr="00E56406" w:rsidRDefault="009D6C98" w:rsidP="009D6C98">
      <w:pPr>
        <w:pStyle w:val="Akapitzlist"/>
        <w:spacing w:before="100" w:beforeAutospacing="1" w:after="100" w:afterAutospacing="1"/>
        <w:ind w:left="425"/>
        <w:contextualSpacing w:val="0"/>
        <w:jc w:val="both"/>
        <w:rPr>
          <w:rFonts w:cstheme="minorHAnsi"/>
          <w:sz w:val="24"/>
          <w:szCs w:val="24"/>
        </w:rPr>
      </w:pPr>
      <w:r w:rsidRPr="00E56406">
        <w:rPr>
          <w:rFonts w:cstheme="minorHAnsi"/>
          <w:sz w:val="24"/>
          <w:szCs w:val="24"/>
        </w:rPr>
        <w:lastRenderedPageBreak/>
        <w:t xml:space="preserve">Maksymalne kwoty na realizację poszczególnych LSR uzależnione są od następujących wskaźników, przy czym z uwagi na ukierunkowanie w FEdP interwencji instrumentu RLKS </w:t>
      </w:r>
    </w:p>
    <w:p w14:paraId="69FE7255" w14:textId="77777777" w:rsidR="009D6C98" w:rsidRPr="00E56406" w:rsidRDefault="009D6C98" w:rsidP="009D6C98">
      <w:pPr>
        <w:pStyle w:val="Akapitzlist"/>
        <w:spacing w:before="100" w:beforeAutospacing="1" w:after="100" w:afterAutospacing="1"/>
        <w:ind w:left="425"/>
        <w:contextualSpacing w:val="0"/>
        <w:jc w:val="both"/>
        <w:rPr>
          <w:rFonts w:cstheme="minorHAnsi"/>
          <w:sz w:val="24"/>
          <w:szCs w:val="24"/>
        </w:rPr>
      </w:pPr>
      <w:r w:rsidRPr="00E56406">
        <w:rPr>
          <w:rFonts w:cstheme="minorHAnsi"/>
          <w:sz w:val="24"/>
          <w:szCs w:val="24"/>
        </w:rPr>
        <w:t xml:space="preserve">na obszary wiejskie przy podziale środków </w:t>
      </w:r>
      <w:r w:rsidRPr="00E56406">
        <w:rPr>
          <w:rFonts w:cstheme="minorHAnsi"/>
          <w:sz w:val="24"/>
          <w:szCs w:val="24"/>
          <w:u w:val="single"/>
        </w:rPr>
        <w:t>nie uwzględnia się</w:t>
      </w:r>
      <w:r w:rsidRPr="00E56406">
        <w:rPr>
          <w:rFonts w:cstheme="minorHAnsi"/>
          <w:sz w:val="24"/>
          <w:szCs w:val="24"/>
        </w:rPr>
        <w:t xml:space="preserve"> wskaźników odnoszących się do miasta wojewódzkiego (Białystok) oraz ośrodków subregionalnych wskazanych w Strategii Rozwoju Województwa Podlaskiego 2030, tj. miast: Suwałki, Łomża oraz Bielsk Podlaski:</w:t>
      </w:r>
    </w:p>
    <w:p w14:paraId="6175249B" w14:textId="77777777" w:rsidR="009D6C98" w:rsidRPr="00E56406" w:rsidRDefault="009D6C98" w:rsidP="009D6C98">
      <w:pPr>
        <w:numPr>
          <w:ilvl w:val="0"/>
          <w:numId w:val="46"/>
        </w:numPr>
        <w:spacing w:before="100" w:beforeAutospacing="1" w:after="100" w:afterAutospacing="1"/>
        <w:ind w:left="851"/>
        <w:jc w:val="both"/>
        <w:rPr>
          <w:rFonts w:asciiTheme="minorHAnsi" w:hAnsiTheme="minorHAnsi" w:cstheme="minorHAnsi"/>
          <w:i/>
          <w:sz w:val="24"/>
          <w:szCs w:val="24"/>
        </w:rPr>
      </w:pPr>
      <w:r w:rsidRPr="00E56406">
        <w:rPr>
          <w:rFonts w:asciiTheme="minorHAnsi" w:hAnsiTheme="minorHAnsi" w:cstheme="minorHAnsi"/>
          <w:i/>
          <w:sz w:val="24"/>
          <w:szCs w:val="24"/>
        </w:rPr>
        <w:t>liczba ludności zamieszkującej obszar objęty daną lokalną strategią rozwoju</w:t>
      </w:r>
      <w:r w:rsidRPr="00E56406">
        <w:rPr>
          <w:rFonts w:asciiTheme="minorHAnsi" w:hAnsiTheme="minorHAnsi" w:cstheme="minorHAnsi"/>
          <w:i/>
          <w:sz w:val="24"/>
          <w:szCs w:val="24"/>
          <w:vertAlign w:val="superscript"/>
        </w:rPr>
        <w:t>*</w:t>
      </w:r>
      <w:r w:rsidRPr="00E56406">
        <w:rPr>
          <w:rFonts w:asciiTheme="minorHAnsi" w:hAnsiTheme="minorHAnsi" w:cstheme="minorHAnsi"/>
          <w:i/>
          <w:sz w:val="24"/>
          <w:szCs w:val="24"/>
        </w:rPr>
        <w:t xml:space="preserve"> – </w:t>
      </w:r>
      <w:r w:rsidRPr="00E56406">
        <w:rPr>
          <w:rFonts w:asciiTheme="minorHAnsi" w:hAnsiTheme="minorHAnsi" w:cstheme="minorHAnsi"/>
          <w:b/>
          <w:i/>
          <w:sz w:val="24"/>
          <w:szCs w:val="24"/>
        </w:rPr>
        <w:t>waga 30%</w:t>
      </w:r>
      <w:r w:rsidRPr="00E56406">
        <w:rPr>
          <w:rFonts w:asciiTheme="minorHAnsi" w:hAnsiTheme="minorHAnsi" w:cstheme="minorHAnsi"/>
          <w:i/>
          <w:sz w:val="24"/>
          <w:szCs w:val="24"/>
        </w:rPr>
        <w:t>,</w:t>
      </w:r>
    </w:p>
    <w:p w14:paraId="660A4691" w14:textId="77777777" w:rsidR="009D6C98" w:rsidRPr="00E56406" w:rsidRDefault="009D6C98" w:rsidP="009D6C98">
      <w:pPr>
        <w:numPr>
          <w:ilvl w:val="0"/>
          <w:numId w:val="46"/>
        </w:numPr>
        <w:spacing w:before="100" w:beforeAutospacing="1" w:after="100" w:afterAutospacing="1"/>
        <w:ind w:left="851"/>
        <w:jc w:val="both"/>
        <w:rPr>
          <w:rFonts w:asciiTheme="minorHAnsi" w:hAnsiTheme="minorHAnsi" w:cstheme="minorHAnsi"/>
          <w:i/>
          <w:sz w:val="24"/>
          <w:szCs w:val="24"/>
        </w:rPr>
      </w:pPr>
      <w:r w:rsidRPr="00E56406">
        <w:rPr>
          <w:rFonts w:asciiTheme="minorHAnsi" w:hAnsiTheme="minorHAnsi" w:cstheme="minorHAnsi"/>
          <w:i/>
          <w:sz w:val="24"/>
          <w:szCs w:val="24"/>
        </w:rPr>
        <w:t xml:space="preserve">powierzchnia objęta daną LSR – </w:t>
      </w:r>
      <w:r w:rsidRPr="00E56406">
        <w:rPr>
          <w:rFonts w:asciiTheme="minorHAnsi" w:hAnsiTheme="minorHAnsi" w:cstheme="minorHAnsi"/>
          <w:b/>
          <w:bCs/>
          <w:i/>
          <w:sz w:val="24"/>
          <w:szCs w:val="24"/>
        </w:rPr>
        <w:t>waga</w:t>
      </w:r>
      <w:r w:rsidRPr="00E56406">
        <w:rPr>
          <w:rFonts w:asciiTheme="minorHAnsi" w:hAnsiTheme="minorHAnsi" w:cstheme="minorHAnsi"/>
          <w:i/>
          <w:sz w:val="24"/>
          <w:szCs w:val="24"/>
        </w:rPr>
        <w:t xml:space="preserve"> </w:t>
      </w:r>
      <w:r w:rsidRPr="00E56406">
        <w:rPr>
          <w:rFonts w:asciiTheme="minorHAnsi" w:hAnsiTheme="minorHAnsi" w:cstheme="minorHAnsi"/>
          <w:b/>
          <w:i/>
          <w:sz w:val="24"/>
          <w:szCs w:val="24"/>
        </w:rPr>
        <w:t>40%</w:t>
      </w:r>
      <w:r w:rsidRPr="00E56406">
        <w:rPr>
          <w:rFonts w:asciiTheme="minorHAnsi" w:hAnsiTheme="minorHAnsi" w:cstheme="minorHAnsi"/>
          <w:i/>
          <w:sz w:val="24"/>
          <w:szCs w:val="24"/>
        </w:rPr>
        <w:t>,</w:t>
      </w:r>
    </w:p>
    <w:p w14:paraId="334216F9" w14:textId="77777777" w:rsidR="009D6C98" w:rsidRPr="00E56406" w:rsidRDefault="009D6C98" w:rsidP="009D6C98">
      <w:pPr>
        <w:numPr>
          <w:ilvl w:val="0"/>
          <w:numId w:val="46"/>
        </w:numPr>
        <w:spacing w:before="100" w:beforeAutospacing="1" w:after="100" w:afterAutospacing="1"/>
        <w:ind w:left="851"/>
        <w:jc w:val="both"/>
        <w:rPr>
          <w:rFonts w:asciiTheme="minorHAnsi" w:hAnsiTheme="minorHAnsi" w:cstheme="minorHAnsi"/>
          <w:i/>
          <w:sz w:val="24"/>
          <w:szCs w:val="24"/>
        </w:rPr>
      </w:pPr>
      <w:r w:rsidRPr="00E56406">
        <w:rPr>
          <w:rFonts w:asciiTheme="minorHAnsi" w:hAnsiTheme="minorHAnsi" w:cstheme="minorHAnsi"/>
          <w:i/>
          <w:iCs/>
        </w:rPr>
        <w:t>dochód podatkowy gminy na 1 mieszkańca na obszarze LSR</w:t>
      </w:r>
      <w:r w:rsidRPr="00E56406">
        <w:rPr>
          <w:rFonts w:asciiTheme="minorHAnsi" w:hAnsiTheme="minorHAnsi" w:cstheme="minorHAnsi"/>
          <w:i/>
          <w:sz w:val="24"/>
          <w:szCs w:val="24"/>
        </w:rPr>
        <w:t xml:space="preserve"> – </w:t>
      </w:r>
      <w:r w:rsidRPr="00E56406">
        <w:rPr>
          <w:rFonts w:asciiTheme="minorHAnsi" w:hAnsiTheme="minorHAnsi" w:cstheme="minorHAnsi"/>
          <w:b/>
          <w:bCs/>
          <w:i/>
          <w:sz w:val="24"/>
          <w:szCs w:val="24"/>
        </w:rPr>
        <w:t>waga</w:t>
      </w:r>
      <w:r w:rsidRPr="00E56406">
        <w:rPr>
          <w:rFonts w:asciiTheme="minorHAnsi" w:hAnsiTheme="minorHAnsi" w:cstheme="minorHAnsi"/>
          <w:i/>
          <w:sz w:val="24"/>
          <w:szCs w:val="24"/>
        </w:rPr>
        <w:t xml:space="preserve"> </w:t>
      </w:r>
      <w:r w:rsidRPr="00E56406">
        <w:rPr>
          <w:rFonts w:asciiTheme="minorHAnsi" w:hAnsiTheme="minorHAnsi" w:cstheme="minorHAnsi"/>
          <w:b/>
          <w:bCs/>
          <w:i/>
          <w:sz w:val="24"/>
          <w:szCs w:val="24"/>
        </w:rPr>
        <w:t>30%</w:t>
      </w:r>
    </w:p>
    <w:p w14:paraId="09781053" w14:textId="77777777" w:rsidR="009D6C98" w:rsidRPr="00E56406" w:rsidRDefault="009D6C98" w:rsidP="009D6C98">
      <w:pPr>
        <w:pStyle w:val="Akapitzlist"/>
        <w:spacing w:before="100" w:beforeAutospacing="1" w:after="100" w:afterAutospacing="1"/>
        <w:ind w:left="425"/>
        <w:contextualSpacing w:val="0"/>
        <w:jc w:val="both"/>
        <w:rPr>
          <w:rFonts w:cstheme="minorHAnsi"/>
          <w:sz w:val="24"/>
          <w:szCs w:val="24"/>
        </w:rPr>
      </w:pPr>
      <w:r w:rsidRPr="00E56406">
        <w:rPr>
          <w:rFonts w:cstheme="minorHAnsi"/>
          <w:sz w:val="24"/>
          <w:szCs w:val="24"/>
        </w:rPr>
        <w:t>Podziału kwot wsparcia na poszczególne LSR dokonuje się odnosząc wartość wskaźnika dla obszaru danej LSR do sumy wszystkich obszarów, które mogą zostać objęte LSR. Uzyskane wyniki poszczególnych LSR są następnie przemnażane przez część alokacji odpowiadającej w/w wagom dla każdego ze wskaźników.</w:t>
      </w:r>
    </w:p>
    <w:p w14:paraId="27DDB8BC" w14:textId="1EC3E722" w:rsidR="009D6C98" w:rsidRPr="00E56406" w:rsidRDefault="009D6C98" w:rsidP="00CF4CAA">
      <w:pPr>
        <w:pStyle w:val="Akapitzlist"/>
        <w:numPr>
          <w:ilvl w:val="0"/>
          <w:numId w:val="51"/>
        </w:numPr>
        <w:spacing w:before="100" w:beforeAutospacing="1" w:after="100" w:afterAutospacing="1"/>
        <w:ind w:left="425" w:hanging="437"/>
        <w:contextualSpacing w:val="0"/>
        <w:jc w:val="both"/>
        <w:rPr>
          <w:rFonts w:cstheme="minorHAnsi"/>
          <w:sz w:val="24"/>
          <w:szCs w:val="24"/>
        </w:rPr>
      </w:pPr>
      <w:r w:rsidRPr="00E56406">
        <w:rPr>
          <w:rFonts w:cstheme="minorHAnsi"/>
          <w:sz w:val="24"/>
          <w:szCs w:val="24"/>
        </w:rPr>
        <w:t xml:space="preserve">Kwotę przewidzianą na komponent </w:t>
      </w:r>
      <w:r w:rsidR="009C4158">
        <w:rPr>
          <w:rFonts w:cstheme="minorHAnsi"/>
          <w:sz w:val="24"/>
          <w:szCs w:val="24"/>
        </w:rPr>
        <w:t>Z</w:t>
      </w:r>
      <w:r w:rsidRPr="00E56406">
        <w:rPr>
          <w:rFonts w:cstheme="minorHAnsi"/>
          <w:sz w:val="24"/>
          <w:szCs w:val="24"/>
        </w:rPr>
        <w:t xml:space="preserve">arządzanie LSR ustala się w wysokości </w:t>
      </w:r>
      <w:r w:rsidR="007E40F4">
        <w:rPr>
          <w:rFonts w:cstheme="minorHAnsi"/>
          <w:sz w:val="24"/>
          <w:szCs w:val="24"/>
        </w:rPr>
        <w:t>min. 10</w:t>
      </w:r>
      <w:r w:rsidRPr="00E56406">
        <w:rPr>
          <w:rFonts w:cstheme="minorHAnsi"/>
          <w:sz w:val="24"/>
          <w:szCs w:val="24"/>
        </w:rPr>
        <w:t xml:space="preserve">% łącznego budżetu przewidzianego na </w:t>
      </w:r>
      <w:r w:rsidR="009C4158">
        <w:rPr>
          <w:rFonts w:cstheme="minorHAnsi"/>
          <w:sz w:val="24"/>
          <w:szCs w:val="24"/>
        </w:rPr>
        <w:t>W</w:t>
      </w:r>
      <w:r w:rsidRPr="00E56406">
        <w:rPr>
          <w:rFonts w:cstheme="minorHAnsi"/>
          <w:sz w:val="24"/>
          <w:szCs w:val="24"/>
        </w:rPr>
        <w:t xml:space="preserve">drażanie LSR w ramach EFS+ oraz EFRR. W przypadku, gdy LSR nie będzie współfinansowana ze środków EFFROW, kwotę przewidzianą na komponent </w:t>
      </w:r>
      <w:r w:rsidR="009C4158">
        <w:rPr>
          <w:rFonts w:cstheme="minorHAnsi"/>
          <w:sz w:val="24"/>
          <w:szCs w:val="24"/>
        </w:rPr>
        <w:t>Z</w:t>
      </w:r>
      <w:r w:rsidRPr="00E56406">
        <w:rPr>
          <w:rFonts w:cstheme="minorHAnsi"/>
          <w:sz w:val="24"/>
          <w:szCs w:val="24"/>
        </w:rPr>
        <w:t xml:space="preserve">arządzanie LSR ustala się w wysokości </w:t>
      </w:r>
      <w:r w:rsidR="007E40F4">
        <w:rPr>
          <w:rFonts w:cstheme="minorHAnsi"/>
          <w:sz w:val="24"/>
          <w:szCs w:val="24"/>
        </w:rPr>
        <w:t>min. 15</w:t>
      </w:r>
      <w:r w:rsidRPr="00E56406">
        <w:rPr>
          <w:rFonts w:cstheme="minorHAnsi"/>
          <w:sz w:val="24"/>
          <w:szCs w:val="24"/>
        </w:rPr>
        <w:t xml:space="preserve">% łącznego budżetu przewidzianego na </w:t>
      </w:r>
      <w:r w:rsidR="009C4158">
        <w:rPr>
          <w:rFonts w:cstheme="minorHAnsi"/>
          <w:sz w:val="24"/>
          <w:szCs w:val="24"/>
        </w:rPr>
        <w:t>W</w:t>
      </w:r>
      <w:r w:rsidRPr="00E56406">
        <w:rPr>
          <w:rFonts w:cstheme="minorHAnsi"/>
          <w:sz w:val="24"/>
          <w:szCs w:val="24"/>
        </w:rPr>
        <w:t>drażanie LSR w ramach EFS+ oraz EFRR.</w:t>
      </w:r>
    </w:p>
    <w:p w14:paraId="06845D21" w14:textId="5851567B" w:rsidR="00417078" w:rsidRPr="00E56406" w:rsidRDefault="009D6C98" w:rsidP="0021506C">
      <w:pPr>
        <w:pStyle w:val="Stopka"/>
        <w:rPr>
          <w:rFonts w:asciiTheme="minorHAnsi" w:hAnsiTheme="minorHAnsi" w:cstheme="minorHAnsi"/>
          <w:i/>
          <w:sz w:val="18"/>
        </w:rPr>
      </w:pPr>
      <w:r w:rsidRPr="00E56406">
        <w:rPr>
          <w:rFonts w:asciiTheme="minorHAnsi" w:hAnsiTheme="minorHAnsi" w:cstheme="minorHAnsi"/>
          <w:i/>
          <w:sz w:val="18"/>
        </w:rPr>
        <w:t>*wskaźnik obejmuje całą ludność zamieszkującą obszar objęty daną lokalną strategią rozwoju, w tym miasta powyżej 20 tys. mieszkańców</w:t>
      </w:r>
    </w:p>
    <w:p w14:paraId="56F28998" w14:textId="16C45F2F" w:rsidR="009D6C98" w:rsidRPr="00E56406" w:rsidRDefault="009D6C98" w:rsidP="009D6C98">
      <w:pPr>
        <w:spacing w:before="100" w:beforeAutospacing="1" w:after="100" w:afterAutospacing="1" w:line="23" w:lineRule="atLeast"/>
        <w:rPr>
          <w:rFonts w:asciiTheme="minorHAnsi" w:hAnsiTheme="minorHAnsi" w:cstheme="minorHAnsi"/>
          <w:sz w:val="24"/>
          <w:szCs w:val="24"/>
        </w:rPr>
      </w:pPr>
      <w:r w:rsidRPr="00E56406">
        <w:rPr>
          <w:rFonts w:asciiTheme="minorHAnsi" w:hAnsiTheme="minorHAnsi" w:cstheme="minorHAnsi"/>
          <w:sz w:val="24"/>
          <w:szCs w:val="24"/>
        </w:rPr>
        <w:t>Prognozowana wysokość środków finansowych na wdrażanie LSR w podziale na gminy województwa podlaskiego:</w:t>
      </w:r>
    </w:p>
    <w:tbl>
      <w:tblPr>
        <w:tblW w:w="5000" w:type="pct"/>
        <w:tblCellMar>
          <w:left w:w="70" w:type="dxa"/>
          <w:right w:w="70" w:type="dxa"/>
        </w:tblCellMar>
        <w:tblLook w:val="04A0" w:firstRow="1" w:lastRow="0" w:firstColumn="1" w:lastColumn="0" w:noHBand="0" w:noVBand="1"/>
      </w:tblPr>
      <w:tblGrid>
        <w:gridCol w:w="2953"/>
        <w:gridCol w:w="2169"/>
        <w:gridCol w:w="1970"/>
        <w:gridCol w:w="1970"/>
      </w:tblGrid>
      <w:tr w:rsidR="0021506C" w:rsidRPr="00E56406" w14:paraId="548D4D74" w14:textId="77777777" w:rsidTr="008D1812">
        <w:trPr>
          <w:trHeight w:val="949"/>
        </w:trPr>
        <w:tc>
          <w:tcPr>
            <w:tcW w:w="1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578A4" w14:textId="77777777" w:rsidR="009D6C98" w:rsidRPr="00E56406" w:rsidRDefault="009D6C98" w:rsidP="000803B3">
            <w:pPr>
              <w:spacing w:line="240" w:lineRule="auto"/>
              <w:jc w:val="center"/>
              <w:rPr>
                <w:rFonts w:asciiTheme="minorHAnsi" w:hAnsiTheme="minorHAnsi" w:cstheme="minorHAnsi"/>
                <w:b/>
                <w:bCs/>
                <w:sz w:val="20"/>
                <w:szCs w:val="20"/>
              </w:rPr>
            </w:pPr>
            <w:r w:rsidRPr="00E56406">
              <w:rPr>
                <w:rFonts w:asciiTheme="minorHAnsi" w:hAnsiTheme="minorHAnsi" w:cstheme="minorHAnsi"/>
                <w:b/>
                <w:bCs/>
                <w:sz w:val="20"/>
                <w:szCs w:val="20"/>
              </w:rPr>
              <w:t>Nazwa gminy</w:t>
            </w:r>
          </w:p>
        </w:tc>
        <w:tc>
          <w:tcPr>
            <w:tcW w:w="11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FF0C" w14:textId="77777777" w:rsidR="009D6C98" w:rsidRPr="00E56406" w:rsidRDefault="009D6C98" w:rsidP="000803B3">
            <w:pPr>
              <w:spacing w:line="240" w:lineRule="auto"/>
              <w:jc w:val="center"/>
              <w:rPr>
                <w:rFonts w:asciiTheme="minorHAnsi" w:hAnsiTheme="minorHAnsi" w:cstheme="minorHAnsi"/>
                <w:b/>
                <w:bCs/>
                <w:sz w:val="20"/>
                <w:szCs w:val="20"/>
              </w:rPr>
            </w:pPr>
            <w:r w:rsidRPr="00E56406">
              <w:rPr>
                <w:rFonts w:asciiTheme="minorHAnsi" w:hAnsiTheme="minorHAnsi" w:cstheme="minorHAnsi"/>
                <w:b/>
                <w:bCs/>
                <w:sz w:val="20"/>
                <w:szCs w:val="20"/>
              </w:rPr>
              <w:t>Powiat</w:t>
            </w:r>
          </w:p>
        </w:tc>
        <w:tc>
          <w:tcPr>
            <w:tcW w:w="108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25689" w14:textId="53BFFFB7" w:rsidR="009D6C98" w:rsidRPr="00E56406" w:rsidRDefault="009D6C98" w:rsidP="000803B3">
            <w:pPr>
              <w:spacing w:line="240" w:lineRule="auto"/>
              <w:jc w:val="center"/>
              <w:rPr>
                <w:rFonts w:asciiTheme="minorHAnsi" w:hAnsiTheme="minorHAnsi" w:cstheme="minorHAnsi"/>
                <w:b/>
                <w:bCs/>
                <w:sz w:val="20"/>
                <w:szCs w:val="20"/>
              </w:rPr>
            </w:pPr>
            <w:r w:rsidRPr="00E56406">
              <w:rPr>
                <w:rFonts w:asciiTheme="minorHAnsi" w:hAnsiTheme="minorHAnsi" w:cstheme="minorHAnsi"/>
                <w:b/>
                <w:bCs/>
                <w:sz w:val="20"/>
                <w:szCs w:val="20"/>
              </w:rPr>
              <w:t>ogólna wartość alokacji EFRR</w:t>
            </w:r>
            <w:r w:rsidR="002E5BCA" w:rsidRPr="00E56406">
              <w:rPr>
                <w:rFonts w:asciiTheme="minorHAnsi" w:hAnsiTheme="minorHAnsi" w:cstheme="minorHAnsi"/>
                <w:b/>
                <w:bCs/>
                <w:sz w:val="20"/>
                <w:szCs w:val="20"/>
              </w:rPr>
              <w:br/>
              <w:t>[EUR]</w:t>
            </w:r>
          </w:p>
        </w:tc>
        <w:tc>
          <w:tcPr>
            <w:tcW w:w="108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1EA42F" w14:textId="7A0B39FD" w:rsidR="009D6C98" w:rsidRPr="00E56406" w:rsidRDefault="002E5BCA" w:rsidP="000803B3">
            <w:pPr>
              <w:spacing w:line="240" w:lineRule="auto"/>
              <w:jc w:val="center"/>
              <w:rPr>
                <w:rFonts w:asciiTheme="minorHAnsi" w:hAnsiTheme="minorHAnsi" w:cstheme="minorHAnsi"/>
                <w:b/>
                <w:bCs/>
                <w:sz w:val="20"/>
                <w:szCs w:val="20"/>
              </w:rPr>
            </w:pPr>
            <w:r w:rsidRPr="00E56406">
              <w:rPr>
                <w:rFonts w:asciiTheme="minorHAnsi" w:hAnsiTheme="minorHAnsi" w:cstheme="minorHAnsi"/>
                <w:b/>
                <w:bCs/>
                <w:sz w:val="20"/>
                <w:szCs w:val="20"/>
              </w:rPr>
              <w:t>ogólna wartość alokacji EFS +</w:t>
            </w:r>
            <w:r w:rsidRPr="00E56406">
              <w:rPr>
                <w:rFonts w:asciiTheme="minorHAnsi" w:hAnsiTheme="minorHAnsi" w:cstheme="minorHAnsi"/>
                <w:b/>
                <w:bCs/>
                <w:sz w:val="20"/>
                <w:szCs w:val="20"/>
              </w:rPr>
              <w:br/>
              <w:t>[EUR]</w:t>
            </w:r>
          </w:p>
        </w:tc>
      </w:tr>
      <w:tr w:rsidR="009D6C98" w:rsidRPr="00E56406" w14:paraId="1A7D27E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BE145B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Augustów (M)</w:t>
            </w:r>
          </w:p>
        </w:tc>
        <w:tc>
          <w:tcPr>
            <w:tcW w:w="1197" w:type="pct"/>
            <w:tcBorders>
              <w:top w:val="nil"/>
              <w:left w:val="nil"/>
              <w:bottom w:val="single" w:sz="4" w:space="0" w:color="auto"/>
              <w:right w:val="single" w:sz="4" w:space="0" w:color="auto"/>
            </w:tcBorders>
            <w:shd w:val="clear" w:color="auto" w:fill="auto"/>
            <w:noWrap/>
            <w:hideMark/>
          </w:tcPr>
          <w:p w14:paraId="1C3B560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2B5FB29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440 703,79</w:t>
            </w:r>
          </w:p>
        </w:tc>
        <w:tc>
          <w:tcPr>
            <w:tcW w:w="1087" w:type="pct"/>
            <w:tcBorders>
              <w:top w:val="nil"/>
              <w:left w:val="nil"/>
              <w:bottom w:val="single" w:sz="4" w:space="0" w:color="auto"/>
              <w:right w:val="single" w:sz="4" w:space="0" w:color="auto"/>
            </w:tcBorders>
            <w:shd w:val="clear" w:color="auto" w:fill="auto"/>
            <w:noWrap/>
            <w:vAlign w:val="bottom"/>
            <w:hideMark/>
          </w:tcPr>
          <w:p w14:paraId="115239B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613 626,23</w:t>
            </w:r>
          </w:p>
        </w:tc>
      </w:tr>
      <w:tr w:rsidR="009D6C98" w:rsidRPr="00E56406" w14:paraId="150A5941"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E709D8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Augustów (W)</w:t>
            </w:r>
          </w:p>
        </w:tc>
        <w:tc>
          <w:tcPr>
            <w:tcW w:w="1197" w:type="pct"/>
            <w:tcBorders>
              <w:top w:val="nil"/>
              <w:left w:val="nil"/>
              <w:bottom w:val="single" w:sz="4" w:space="0" w:color="auto"/>
              <w:right w:val="single" w:sz="4" w:space="0" w:color="auto"/>
            </w:tcBorders>
            <w:shd w:val="clear" w:color="auto" w:fill="auto"/>
            <w:noWrap/>
            <w:hideMark/>
          </w:tcPr>
          <w:p w14:paraId="5157873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25EA9CD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302 298,22</w:t>
            </w:r>
          </w:p>
        </w:tc>
        <w:tc>
          <w:tcPr>
            <w:tcW w:w="1087" w:type="pct"/>
            <w:tcBorders>
              <w:top w:val="nil"/>
              <w:left w:val="nil"/>
              <w:bottom w:val="single" w:sz="4" w:space="0" w:color="auto"/>
              <w:right w:val="single" w:sz="4" w:space="0" w:color="auto"/>
            </w:tcBorders>
            <w:shd w:val="clear" w:color="auto" w:fill="auto"/>
            <w:noWrap/>
            <w:vAlign w:val="bottom"/>
            <w:hideMark/>
          </w:tcPr>
          <w:p w14:paraId="34900B3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147 845,57</w:t>
            </w:r>
          </w:p>
        </w:tc>
      </w:tr>
      <w:tr w:rsidR="009D6C98" w:rsidRPr="00E56406" w14:paraId="4F7D143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90ECF2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Bakałarzewo</w:t>
            </w:r>
          </w:p>
        </w:tc>
        <w:tc>
          <w:tcPr>
            <w:tcW w:w="1197" w:type="pct"/>
            <w:tcBorders>
              <w:top w:val="nil"/>
              <w:left w:val="nil"/>
              <w:bottom w:val="single" w:sz="4" w:space="0" w:color="auto"/>
              <w:right w:val="single" w:sz="4" w:space="0" w:color="auto"/>
            </w:tcBorders>
            <w:shd w:val="clear" w:color="auto" w:fill="auto"/>
            <w:noWrap/>
            <w:hideMark/>
          </w:tcPr>
          <w:p w14:paraId="582E026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781E1CB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136 937,66</w:t>
            </w:r>
          </w:p>
        </w:tc>
        <w:tc>
          <w:tcPr>
            <w:tcW w:w="1087" w:type="pct"/>
            <w:tcBorders>
              <w:top w:val="nil"/>
              <w:left w:val="nil"/>
              <w:bottom w:val="single" w:sz="4" w:space="0" w:color="auto"/>
              <w:right w:val="single" w:sz="4" w:space="0" w:color="auto"/>
            </w:tcBorders>
            <w:shd w:val="clear" w:color="auto" w:fill="auto"/>
            <w:noWrap/>
            <w:vAlign w:val="bottom"/>
            <w:hideMark/>
          </w:tcPr>
          <w:p w14:paraId="363FFA9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98 449,60</w:t>
            </w:r>
          </w:p>
        </w:tc>
      </w:tr>
      <w:tr w:rsidR="009D6C98" w:rsidRPr="00E56406" w14:paraId="0E799E57"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C7CBBD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Bargłów Kościelny</w:t>
            </w:r>
          </w:p>
        </w:tc>
        <w:tc>
          <w:tcPr>
            <w:tcW w:w="1197" w:type="pct"/>
            <w:tcBorders>
              <w:top w:val="nil"/>
              <w:left w:val="nil"/>
              <w:bottom w:val="single" w:sz="4" w:space="0" w:color="auto"/>
              <w:right w:val="single" w:sz="4" w:space="0" w:color="auto"/>
            </w:tcBorders>
            <w:shd w:val="clear" w:color="auto" w:fill="auto"/>
            <w:noWrap/>
            <w:hideMark/>
          </w:tcPr>
          <w:p w14:paraId="283F4D1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1F7C923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261 593,89</w:t>
            </w:r>
          </w:p>
        </w:tc>
        <w:tc>
          <w:tcPr>
            <w:tcW w:w="1087" w:type="pct"/>
            <w:tcBorders>
              <w:top w:val="nil"/>
              <w:left w:val="nil"/>
              <w:bottom w:val="single" w:sz="4" w:space="0" w:color="auto"/>
              <w:right w:val="single" w:sz="4" w:space="0" w:color="auto"/>
            </w:tcBorders>
            <w:shd w:val="clear" w:color="auto" w:fill="auto"/>
            <w:noWrap/>
            <w:vAlign w:val="bottom"/>
            <w:hideMark/>
          </w:tcPr>
          <w:p w14:paraId="090135C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168 689,91</w:t>
            </w:r>
          </w:p>
        </w:tc>
      </w:tr>
      <w:tr w:rsidR="009D6C98" w:rsidRPr="00E56406" w14:paraId="39488F37"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ABC312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Białowieża</w:t>
            </w:r>
          </w:p>
        </w:tc>
        <w:tc>
          <w:tcPr>
            <w:tcW w:w="1197" w:type="pct"/>
            <w:tcBorders>
              <w:top w:val="nil"/>
              <w:left w:val="nil"/>
              <w:bottom w:val="single" w:sz="4" w:space="0" w:color="auto"/>
              <w:right w:val="single" w:sz="4" w:space="0" w:color="auto"/>
            </w:tcBorders>
            <w:shd w:val="clear" w:color="auto" w:fill="auto"/>
            <w:noWrap/>
            <w:hideMark/>
          </w:tcPr>
          <w:p w14:paraId="50B715F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1AD35CC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162 784,90</w:t>
            </w:r>
          </w:p>
        </w:tc>
        <w:tc>
          <w:tcPr>
            <w:tcW w:w="1087" w:type="pct"/>
            <w:tcBorders>
              <w:top w:val="nil"/>
              <w:left w:val="nil"/>
              <w:bottom w:val="single" w:sz="4" w:space="0" w:color="auto"/>
              <w:right w:val="single" w:sz="4" w:space="0" w:color="auto"/>
            </w:tcBorders>
            <w:shd w:val="clear" w:color="auto" w:fill="auto"/>
            <w:noWrap/>
            <w:vAlign w:val="bottom"/>
            <w:hideMark/>
          </w:tcPr>
          <w:p w14:paraId="399C392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95 566,62</w:t>
            </w:r>
          </w:p>
        </w:tc>
      </w:tr>
      <w:tr w:rsidR="009D6C98" w:rsidRPr="00E56406" w14:paraId="54E1174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FAAFDD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 Podlaski (W)</w:t>
            </w:r>
          </w:p>
        </w:tc>
        <w:tc>
          <w:tcPr>
            <w:tcW w:w="1197" w:type="pct"/>
            <w:tcBorders>
              <w:top w:val="nil"/>
              <w:left w:val="nil"/>
              <w:bottom w:val="single" w:sz="4" w:space="0" w:color="auto"/>
              <w:right w:val="single" w:sz="4" w:space="0" w:color="auto"/>
            </w:tcBorders>
            <w:shd w:val="clear" w:color="auto" w:fill="auto"/>
            <w:noWrap/>
            <w:hideMark/>
          </w:tcPr>
          <w:p w14:paraId="4DD9A25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313586A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350 281,69</w:t>
            </w:r>
          </w:p>
        </w:tc>
        <w:tc>
          <w:tcPr>
            <w:tcW w:w="1087" w:type="pct"/>
            <w:tcBorders>
              <w:top w:val="nil"/>
              <w:left w:val="nil"/>
              <w:bottom w:val="single" w:sz="4" w:space="0" w:color="auto"/>
              <w:right w:val="single" w:sz="4" w:space="0" w:color="auto"/>
            </w:tcBorders>
            <w:shd w:val="clear" w:color="auto" w:fill="auto"/>
            <w:noWrap/>
            <w:vAlign w:val="bottom"/>
            <w:hideMark/>
          </w:tcPr>
          <w:p w14:paraId="6D7C4E9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208 636,45</w:t>
            </w:r>
          </w:p>
        </w:tc>
      </w:tr>
      <w:tr w:rsidR="009D6C98" w:rsidRPr="00E56406" w14:paraId="2B4DCDB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A47FAC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Boćki</w:t>
            </w:r>
          </w:p>
        </w:tc>
        <w:tc>
          <w:tcPr>
            <w:tcW w:w="1197" w:type="pct"/>
            <w:tcBorders>
              <w:top w:val="nil"/>
              <w:left w:val="nil"/>
              <w:bottom w:val="single" w:sz="4" w:space="0" w:color="auto"/>
              <w:right w:val="single" w:sz="4" w:space="0" w:color="auto"/>
            </w:tcBorders>
            <w:shd w:val="clear" w:color="auto" w:fill="auto"/>
            <w:noWrap/>
            <w:hideMark/>
          </w:tcPr>
          <w:p w14:paraId="166B9BC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3943D6B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249 452,09</w:t>
            </w:r>
          </w:p>
        </w:tc>
        <w:tc>
          <w:tcPr>
            <w:tcW w:w="1087" w:type="pct"/>
            <w:tcBorders>
              <w:top w:val="nil"/>
              <w:left w:val="nil"/>
              <w:bottom w:val="single" w:sz="4" w:space="0" w:color="auto"/>
              <w:right w:val="single" w:sz="4" w:space="0" w:color="auto"/>
            </w:tcBorders>
            <w:shd w:val="clear" w:color="auto" w:fill="auto"/>
            <w:noWrap/>
            <w:vAlign w:val="bottom"/>
            <w:hideMark/>
          </w:tcPr>
          <w:p w14:paraId="7A9117D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123 409,54</w:t>
            </w:r>
          </w:p>
        </w:tc>
      </w:tr>
      <w:tr w:rsidR="009D6C98" w:rsidRPr="00E56406" w14:paraId="10E1D3F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2D970C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Brańsk (M)</w:t>
            </w:r>
          </w:p>
        </w:tc>
        <w:tc>
          <w:tcPr>
            <w:tcW w:w="1197" w:type="pct"/>
            <w:tcBorders>
              <w:top w:val="nil"/>
              <w:left w:val="nil"/>
              <w:bottom w:val="single" w:sz="4" w:space="0" w:color="auto"/>
              <w:right w:val="single" w:sz="4" w:space="0" w:color="auto"/>
            </w:tcBorders>
            <w:shd w:val="clear" w:color="auto" w:fill="auto"/>
            <w:noWrap/>
            <w:hideMark/>
          </w:tcPr>
          <w:p w14:paraId="4AC905F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1CF7D0D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110 202,92</w:t>
            </w:r>
          </w:p>
        </w:tc>
        <w:tc>
          <w:tcPr>
            <w:tcW w:w="1087" w:type="pct"/>
            <w:tcBorders>
              <w:top w:val="nil"/>
              <w:left w:val="nil"/>
              <w:bottom w:val="single" w:sz="4" w:space="0" w:color="auto"/>
              <w:right w:val="single" w:sz="4" w:space="0" w:color="auto"/>
            </w:tcBorders>
            <w:shd w:val="clear" w:color="auto" w:fill="auto"/>
            <w:noWrap/>
            <w:vAlign w:val="bottom"/>
            <w:hideMark/>
          </w:tcPr>
          <w:p w14:paraId="6A13B3B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110 004,47</w:t>
            </w:r>
          </w:p>
        </w:tc>
      </w:tr>
      <w:tr w:rsidR="009D6C98" w:rsidRPr="00E56406" w14:paraId="68425D7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28C65F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Brańsk (W)</w:t>
            </w:r>
          </w:p>
        </w:tc>
        <w:tc>
          <w:tcPr>
            <w:tcW w:w="1197" w:type="pct"/>
            <w:tcBorders>
              <w:top w:val="nil"/>
              <w:left w:val="nil"/>
              <w:bottom w:val="single" w:sz="4" w:space="0" w:color="auto"/>
              <w:right w:val="single" w:sz="4" w:space="0" w:color="auto"/>
            </w:tcBorders>
            <w:shd w:val="clear" w:color="auto" w:fill="auto"/>
            <w:noWrap/>
            <w:hideMark/>
          </w:tcPr>
          <w:p w14:paraId="1F30B56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2AAB45B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270 714,92</w:t>
            </w:r>
          </w:p>
        </w:tc>
        <w:tc>
          <w:tcPr>
            <w:tcW w:w="1087" w:type="pct"/>
            <w:tcBorders>
              <w:top w:val="nil"/>
              <w:left w:val="nil"/>
              <w:bottom w:val="single" w:sz="4" w:space="0" w:color="auto"/>
              <w:right w:val="single" w:sz="4" w:space="0" w:color="auto"/>
            </w:tcBorders>
            <w:shd w:val="clear" w:color="auto" w:fill="auto"/>
            <w:noWrap/>
            <w:vAlign w:val="bottom"/>
            <w:hideMark/>
          </w:tcPr>
          <w:p w14:paraId="079E8AE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156 368,31</w:t>
            </w:r>
          </w:p>
        </w:tc>
      </w:tr>
      <w:tr w:rsidR="009D6C98" w:rsidRPr="00E56406" w14:paraId="0E9A9986"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5093B0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Choroszcz</w:t>
            </w:r>
          </w:p>
        </w:tc>
        <w:tc>
          <w:tcPr>
            <w:tcW w:w="1197" w:type="pct"/>
            <w:tcBorders>
              <w:top w:val="nil"/>
              <w:left w:val="nil"/>
              <w:bottom w:val="single" w:sz="4" w:space="0" w:color="auto"/>
              <w:right w:val="single" w:sz="4" w:space="0" w:color="auto"/>
            </w:tcBorders>
            <w:shd w:val="clear" w:color="auto" w:fill="auto"/>
            <w:noWrap/>
            <w:hideMark/>
          </w:tcPr>
          <w:p w14:paraId="5E2A8BB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213E648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316 129,51</w:t>
            </w:r>
          </w:p>
        </w:tc>
        <w:tc>
          <w:tcPr>
            <w:tcW w:w="1087" w:type="pct"/>
            <w:tcBorders>
              <w:top w:val="nil"/>
              <w:left w:val="nil"/>
              <w:bottom w:val="single" w:sz="4" w:space="0" w:color="auto"/>
              <w:right w:val="single" w:sz="4" w:space="0" w:color="auto"/>
            </w:tcBorders>
            <w:shd w:val="clear" w:color="auto" w:fill="auto"/>
            <w:noWrap/>
            <w:vAlign w:val="bottom"/>
            <w:hideMark/>
          </w:tcPr>
          <w:p w14:paraId="71A2D38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320 719,15</w:t>
            </w:r>
          </w:p>
        </w:tc>
      </w:tr>
      <w:tr w:rsidR="009D6C98" w:rsidRPr="00E56406" w14:paraId="717EC9D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C00604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Ciechanowiec</w:t>
            </w:r>
          </w:p>
        </w:tc>
        <w:tc>
          <w:tcPr>
            <w:tcW w:w="1197" w:type="pct"/>
            <w:tcBorders>
              <w:top w:val="nil"/>
              <w:left w:val="nil"/>
              <w:bottom w:val="single" w:sz="4" w:space="0" w:color="auto"/>
              <w:right w:val="single" w:sz="4" w:space="0" w:color="auto"/>
            </w:tcBorders>
            <w:shd w:val="clear" w:color="auto" w:fill="auto"/>
            <w:noWrap/>
            <w:hideMark/>
          </w:tcPr>
          <w:p w14:paraId="157B53C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374998B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302 861,18</w:t>
            </w:r>
          </w:p>
        </w:tc>
        <w:tc>
          <w:tcPr>
            <w:tcW w:w="1087" w:type="pct"/>
            <w:tcBorders>
              <w:top w:val="nil"/>
              <w:left w:val="nil"/>
              <w:bottom w:val="single" w:sz="4" w:space="0" w:color="auto"/>
              <w:right w:val="single" w:sz="4" w:space="0" w:color="auto"/>
            </w:tcBorders>
            <w:shd w:val="clear" w:color="auto" w:fill="auto"/>
            <w:noWrap/>
            <w:vAlign w:val="bottom"/>
            <w:hideMark/>
          </w:tcPr>
          <w:p w14:paraId="1D7375E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204 201,34</w:t>
            </w:r>
          </w:p>
        </w:tc>
      </w:tr>
      <w:tr w:rsidR="009D6C98" w:rsidRPr="00E56406" w14:paraId="7A631D2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8128D1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Czarna Białostocka</w:t>
            </w:r>
          </w:p>
        </w:tc>
        <w:tc>
          <w:tcPr>
            <w:tcW w:w="1197" w:type="pct"/>
            <w:tcBorders>
              <w:top w:val="nil"/>
              <w:left w:val="nil"/>
              <w:bottom w:val="single" w:sz="4" w:space="0" w:color="auto"/>
              <w:right w:val="single" w:sz="4" w:space="0" w:color="auto"/>
            </w:tcBorders>
            <w:shd w:val="clear" w:color="auto" w:fill="auto"/>
            <w:noWrap/>
            <w:hideMark/>
          </w:tcPr>
          <w:p w14:paraId="6ABC27A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4F49887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316 323,54</w:t>
            </w:r>
          </w:p>
        </w:tc>
        <w:tc>
          <w:tcPr>
            <w:tcW w:w="1087" w:type="pct"/>
            <w:tcBorders>
              <w:top w:val="nil"/>
              <w:left w:val="nil"/>
              <w:bottom w:val="single" w:sz="4" w:space="0" w:color="auto"/>
              <w:right w:val="single" w:sz="4" w:space="0" w:color="auto"/>
            </w:tcBorders>
            <w:shd w:val="clear" w:color="auto" w:fill="auto"/>
            <w:noWrap/>
            <w:vAlign w:val="bottom"/>
            <w:hideMark/>
          </w:tcPr>
          <w:p w14:paraId="5304CE1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247 775,45</w:t>
            </w:r>
          </w:p>
        </w:tc>
      </w:tr>
      <w:tr w:rsidR="009D6C98" w:rsidRPr="00E56406" w14:paraId="78C422C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763128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Czeremcha</w:t>
            </w:r>
          </w:p>
        </w:tc>
        <w:tc>
          <w:tcPr>
            <w:tcW w:w="1197" w:type="pct"/>
            <w:tcBorders>
              <w:top w:val="nil"/>
              <w:left w:val="nil"/>
              <w:bottom w:val="single" w:sz="4" w:space="0" w:color="auto"/>
              <w:right w:val="single" w:sz="4" w:space="0" w:color="auto"/>
            </w:tcBorders>
            <w:shd w:val="clear" w:color="auto" w:fill="auto"/>
            <w:noWrap/>
            <w:hideMark/>
          </w:tcPr>
          <w:p w14:paraId="3EC9998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5713D8D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151 510,97</w:t>
            </w:r>
          </w:p>
        </w:tc>
        <w:tc>
          <w:tcPr>
            <w:tcW w:w="1087" w:type="pct"/>
            <w:tcBorders>
              <w:top w:val="nil"/>
              <w:left w:val="nil"/>
              <w:bottom w:val="single" w:sz="4" w:space="0" w:color="auto"/>
              <w:right w:val="single" w:sz="4" w:space="0" w:color="auto"/>
            </w:tcBorders>
            <w:shd w:val="clear" w:color="auto" w:fill="auto"/>
            <w:noWrap/>
            <w:vAlign w:val="bottom"/>
            <w:hideMark/>
          </w:tcPr>
          <w:p w14:paraId="2F7363B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131 567,26</w:t>
            </w:r>
          </w:p>
        </w:tc>
      </w:tr>
      <w:tr w:rsidR="009D6C98" w:rsidRPr="00E56406" w14:paraId="0DAAB1F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7768C2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Czyże</w:t>
            </w:r>
          </w:p>
        </w:tc>
        <w:tc>
          <w:tcPr>
            <w:tcW w:w="1197" w:type="pct"/>
            <w:tcBorders>
              <w:top w:val="nil"/>
              <w:left w:val="nil"/>
              <w:bottom w:val="single" w:sz="4" w:space="0" w:color="auto"/>
              <w:right w:val="single" w:sz="4" w:space="0" w:color="auto"/>
            </w:tcBorders>
            <w:shd w:val="clear" w:color="auto" w:fill="auto"/>
            <w:noWrap/>
            <w:hideMark/>
          </w:tcPr>
          <w:p w14:paraId="39EB6AA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1766F17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142 724,62</w:t>
            </w:r>
          </w:p>
        </w:tc>
        <w:tc>
          <w:tcPr>
            <w:tcW w:w="1087" w:type="pct"/>
            <w:tcBorders>
              <w:top w:val="nil"/>
              <w:left w:val="nil"/>
              <w:bottom w:val="single" w:sz="4" w:space="0" w:color="auto"/>
              <w:right w:val="single" w:sz="4" w:space="0" w:color="auto"/>
            </w:tcBorders>
            <w:shd w:val="clear" w:color="auto" w:fill="auto"/>
            <w:noWrap/>
            <w:vAlign w:val="bottom"/>
            <w:hideMark/>
          </w:tcPr>
          <w:p w14:paraId="63494A0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87 315,37</w:t>
            </w:r>
          </w:p>
        </w:tc>
      </w:tr>
      <w:tr w:rsidR="009D6C98" w:rsidRPr="00E56406" w14:paraId="4C6B131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878F62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Czyżew</w:t>
            </w:r>
          </w:p>
        </w:tc>
        <w:tc>
          <w:tcPr>
            <w:tcW w:w="1197" w:type="pct"/>
            <w:tcBorders>
              <w:top w:val="nil"/>
              <w:left w:val="nil"/>
              <w:bottom w:val="single" w:sz="4" w:space="0" w:color="auto"/>
              <w:right w:val="single" w:sz="4" w:space="0" w:color="auto"/>
            </w:tcBorders>
            <w:shd w:val="clear" w:color="auto" w:fill="auto"/>
            <w:noWrap/>
            <w:hideMark/>
          </w:tcPr>
          <w:p w14:paraId="0388890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27FD3D8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193 616,76</w:t>
            </w:r>
          </w:p>
        </w:tc>
        <w:tc>
          <w:tcPr>
            <w:tcW w:w="1087" w:type="pct"/>
            <w:tcBorders>
              <w:top w:val="nil"/>
              <w:left w:val="nil"/>
              <w:bottom w:val="single" w:sz="4" w:space="0" w:color="auto"/>
              <w:right w:val="single" w:sz="4" w:space="0" w:color="auto"/>
            </w:tcBorders>
            <w:shd w:val="clear" w:color="auto" w:fill="auto"/>
            <w:noWrap/>
            <w:vAlign w:val="bottom"/>
            <w:hideMark/>
          </w:tcPr>
          <w:p w14:paraId="392E9DD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143 004,31</w:t>
            </w:r>
          </w:p>
        </w:tc>
      </w:tr>
      <w:tr w:rsidR="009D6C98" w:rsidRPr="00E56406" w14:paraId="74DE393F"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2C8DB4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Dąbrowa Białostocka</w:t>
            </w:r>
          </w:p>
        </w:tc>
        <w:tc>
          <w:tcPr>
            <w:tcW w:w="1197" w:type="pct"/>
            <w:tcBorders>
              <w:top w:val="nil"/>
              <w:left w:val="nil"/>
              <w:bottom w:val="single" w:sz="4" w:space="0" w:color="auto"/>
              <w:right w:val="single" w:sz="4" w:space="0" w:color="auto"/>
            </w:tcBorders>
            <w:shd w:val="clear" w:color="auto" w:fill="auto"/>
            <w:noWrap/>
            <w:hideMark/>
          </w:tcPr>
          <w:p w14:paraId="2E9054C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721071E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356 332,18</w:t>
            </w:r>
          </w:p>
        </w:tc>
        <w:tc>
          <w:tcPr>
            <w:tcW w:w="1087" w:type="pct"/>
            <w:tcBorders>
              <w:top w:val="nil"/>
              <w:left w:val="nil"/>
              <w:bottom w:val="single" w:sz="4" w:space="0" w:color="auto"/>
              <w:right w:val="single" w:sz="4" w:space="0" w:color="auto"/>
            </w:tcBorders>
            <w:shd w:val="clear" w:color="auto" w:fill="auto"/>
            <w:noWrap/>
            <w:vAlign w:val="bottom"/>
            <w:hideMark/>
          </w:tcPr>
          <w:p w14:paraId="7BEE026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260 979,10</w:t>
            </w:r>
          </w:p>
        </w:tc>
      </w:tr>
      <w:tr w:rsidR="009D6C98" w:rsidRPr="00E56406" w14:paraId="640EFCE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C47296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Dobrzyniewo Duże</w:t>
            </w:r>
          </w:p>
        </w:tc>
        <w:tc>
          <w:tcPr>
            <w:tcW w:w="1197" w:type="pct"/>
            <w:tcBorders>
              <w:top w:val="nil"/>
              <w:left w:val="nil"/>
              <w:bottom w:val="single" w:sz="4" w:space="0" w:color="auto"/>
              <w:right w:val="single" w:sz="4" w:space="0" w:color="auto"/>
            </w:tcBorders>
            <w:shd w:val="clear" w:color="auto" w:fill="auto"/>
            <w:noWrap/>
            <w:hideMark/>
          </w:tcPr>
          <w:p w14:paraId="210B8C6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31682F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269 078,29</w:t>
            </w:r>
          </w:p>
        </w:tc>
        <w:tc>
          <w:tcPr>
            <w:tcW w:w="1087" w:type="pct"/>
            <w:tcBorders>
              <w:top w:val="nil"/>
              <w:left w:val="nil"/>
              <w:bottom w:val="single" w:sz="4" w:space="0" w:color="auto"/>
              <w:right w:val="single" w:sz="4" w:space="0" w:color="auto"/>
            </w:tcBorders>
            <w:shd w:val="clear" w:color="auto" w:fill="auto"/>
            <w:noWrap/>
            <w:vAlign w:val="bottom"/>
            <w:hideMark/>
          </w:tcPr>
          <w:p w14:paraId="21AC24D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212 517,01</w:t>
            </w:r>
          </w:p>
        </w:tc>
      </w:tr>
      <w:tr w:rsidR="009D6C98" w:rsidRPr="00E56406" w14:paraId="00DAA0A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E09738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Drohiczyn</w:t>
            </w:r>
          </w:p>
        </w:tc>
        <w:tc>
          <w:tcPr>
            <w:tcW w:w="1197" w:type="pct"/>
            <w:tcBorders>
              <w:top w:val="nil"/>
              <w:left w:val="nil"/>
              <w:bottom w:val="single" w:sz="4" w:space="0" w:color="auto"/>
              <w:right w:val="single" w:sz="4" w:space="0" w:color="auto"/>
            </w:tcBorders>
            <w:shd w:val="clear" w:color="auto" w:fill="auto"/>
            <w:noWrap/>
            <w:hideMark/>
          </w:tcPr>
          <w:p w14:paraId="3BA2BA3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6CCDDF1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239 675,05</w:t>
            </w:r>
          </w:p>
        </w:tc>
        <w:tc>
          <w:tcPr>
            <w:tcW w:w="1087" w:type="pct"/>
            <w:tcBorders>
              <w:top w:val="nil"/>
              <w:left w:val="nil"/>
              <w:bottom w:val="single" w:sz="4" w:space="0" w:color="auto"/>
              <w:right w:val="single" w:sz="4" w:space="0" w:color="auto"/>
            </w:tcBorders>
            <w:shd w:val="clear" w:color="auto" w:fill="auto"/>
            <w:noWrap/>
            <w:vAlign w:val="bottom"/>
            <w:hideMark/>
          </w:tcPr>
          <w:p w14:paraId="30F34CE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180 567,76</w:t>
            </w:r>
          </w:p>
        </w:tc>
      </w:tr>
      <w:tr w:rsidR="009D6C98" w:rsidRPr="00E56406" w14:paraId="14AF58F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E50D80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Dubicze Cerkiewne</w:t>
            </w:r>
          </w:p>
        </w:tc>
        <w:tc>
          <w:tcPr>
            <w:tcW w:w="1197" w:type="pct"/>
            <w:tcBorders>
              <w:top w:val="nil"/>
              <w:left w:val="nil"/>
              <w:bottom w:val="single" w:sz="4" w:space="0" w:color="auto"/>
              <w:right w:val="single" w:sz="4" w:space="0" w:color="auto"/>
            </w:tcBorders>
            <w:shd w:val="clear" w:color="auto" w:fill="auto"/>
            <w:noWrap/>
            <w:hideMark/>
          </w:tcPr>
          <w:p w14:paraId="5E7BECA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5332370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144 990,66</w:t>
            </w:r>
          </w:p>
        </w:tc>
        <w:tc>
          <w:tcPr>
            <w:tcW w:w="1087" w:type="pct"/>
            <w:tcBorders>
              <w:top w:val="nil"/>
              <w:left w:val="nil"/>
              <w:bottom w:val="single" w:sz="4" w:space="0" w:color="auto"/>
              <w:right w:val="single" w:sz="4" w:space="0" w:color="auto"/>
            </w:tcBorders>
            <w:shd w:val="clear" w:color="auto" w:fill="auto"/>
            <w:noWrap/>
            <w:vAlign w:val="bottom"/>
            <w:hideMark/>
          </w:tcPr>
          <w:p w14:paraId="4876E80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98 839,63</w:t>
            </w:r>
          </w:p>
        </w:tc>
      </w:tr>
      <w:tr w:rsidR="009D6C98" w:rsidRPr="00E56406" w14:paraId="5D7A883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5F5A79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Dziadkowice</w:t>
            </w:r>
          </w:p>
        </w:tc>
        <w:tc>
          <w:tcPr>
            <w:tcW w:w="1197" w:type="pct"/>
            <w:tcBorders>
              <w:top w:val="nil"/>
              <w:left w:val="nil"/>
              <w:bottom w:val="single" w:sz="4" w:space="0" w:color="auto"/>
              <w:right w:val="single" w:sz="4" w:space="0" w:color="auto"/>
            </w:tcBorders>
            <w:shd w:val="clear" w:color="auto" w:fill="auto"/>
            <w:noWrap/>
            <w:hideMark/>
          </w:tcPr>
          <w:p w14:paraId="5C2B493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03A4720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183 194,73</w:t>
            </w:r>
          </w:p>
        </w:tc>
        <w:tc>
          <w:tcPr>
            <w:tcW w:w="1087" w:type="pct"/>
            <w:tcBorders>
              <w:top w:val="nil"/>
              <w:left w:val="nil"/>
              <w:bottom w:val="single" w:sz="4" w:space="0" w:color="auto"/>
              <w:right w:val="single" w:sz="4" w:space="0" w:color="auto"/>
            </w:tcBorders>
            <w:shd w:val="clear" w:color="auto" w:fill="auto"/>
            <w:noWrap/>
            <w:vAlign w:val="bottom"/>
            <w:hideMark/>
          </w:tcPr>
          <w:p w14:paraId="56B79FC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129 664,26</w:t>
            </w:r>
          </w:p>
        </w:tc>
      </w:tr>
      <w:tr w:rsidR="009D6C98" w:rsidRPr="00E56406" w14:paraId="11DF258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0C777E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Filipów</w:t>
            </w:r>
          </w:p>
        </w:tc>
        <w:tc>
          <w:tcPr>
            <w:tcW w:w="1197" w:type="pct"/>
            <w:tcBorders>
              <w:top w:val="nil"/>
              <w:left w:val="nil"/>
              <w:bottom w:val="single" w:sz="4" w:space="0" w:color="auto"/>
              <w:right w:val="single" w:sz="4" w:space="0" w:color="auto"/>
            </w:tcBorders>
            <w:shd w:val="clear" w:color="auto" w:fill="auto"/>
            <w:noWrap/>
            <w:hideMark/>
          </w:tcPr>
          <w:p w14:paraId="3F50747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0C901FD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197 797,72</w:t>
            </w:r>
          </w:p>
        </w:tc>
        <w:tc>
          <w:tcPr>
            <w:tcW w:w="1087" w:type="pct"/>
            <w:tcBorders>
              <w:top w:val="nil"/>
              <w:left w:val="nil"/>
              <w:bottom w:val="single" w:sz="4" w:space="0" w:color="auto"/>
              <w:right w:val="single" w:sz="4" w:space="0" w:color="auto"/>
            </w:tcBorders>
            <w:shd w:val="clear" w:color="auto" w:fill="auto"/>
            <w:noWrap/>
            <w:vAlign w:val="bottom"/>
            <w:hideMark/>
          </w:tcPr>
          <w:p w14:paraId="1022609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127 421,50</w:t>
            </w:r>
          </w:p>
        </w:tc>
      </w:tr>
      <w:tr w:rsidR="009D6C98" w:rsidRPr="00E56406" w14:paraId="237C4BD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8B005E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Giby</w:t>
            </w:r>
          </w:p>
        </w:tc>
        <w:tc>
          <w:tcPr>
            <w:tcW w:w="1197" w:type="pct"/>
            <w:tcBorders>
              <w:top w:val="nil"/>
              <w:left w:val="nil"/>
              <w:bottom w:val="single" w:sz="4" w:space="0" w:color="auto"/>
              <w:right w:val="single" w:sz="4" w:space="0" w:color="auto"/>
            </w:tcBorders>
            <w:shd w:val="clear" w:color="auto" w:fill="auto"/>
            <w:noWrap/>
            <w:hideMark/>
          </w:tcPr>
          <w:p w14:paraId="53E083C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sejneński</w:t>
            </w:r>
          </w:p>
        </w:tc>
        <w:tc>
          <w:tcPr>
            <w:tcW w:w="1087" w:type="pct"/>
            <w:tcBorders>
              <w:top w:val="nil"/>
              <w:left w:val="nil"/>
              <w:bottom w:val="single" w:sz="4" w:space="0" w:color="auto"/>
              <w:right w:val="single" w:sz="4" w:space="0" w:color="auto"/>
            </w:tcBorders>
            <w:shd w:val="clear" w:color="auto" w:fill="auto"/>
            <w:noWrap/>
            <w:vAlign w:val="bottom"/>
            <w:hideMark/>
          </w:tcPr>
          <w:p w14:paraId="672B6C7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252 164,64</w:t>
            </w:r>
          </w:p>
        </w:tc>
        <w:tc>
          <w:tcPr>
            <w:tcW w:w="1087" w:type="pct"/>
            <w:tcBorders>
              <w:top w:val="nil"/>
              <w:left w:val="nil"/>
              <w:bottom w:val="single" w:sz="4" w:space="0" w:color="auto"/>
              <w:right w:val="single" w:sz="4" w:space="0" w:color="auto"/>
            </w:tcBorders>
            <w:shd w:val="clear" w:color="auto" w:fill="auto"/>
            <w:noWrap/>
            <w:vAlign w:val="bottom"/>
            <w:hideMark/>
          </w:tcPr>
          <w:p w14:paraId="07ECD38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134 891,74</w:t>
            </w:r>
          </w:p>
        </w:tc>
      </w:tr>
      <w:tr w:rsidR="009D6C98" w:rsidRPr="00E56406" w14:paraId="4E67C04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275865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Goniądz</w:t>
            </w:r>
          </w:p>
        </w:tc>
        <w:tc>
          <w:tcPr>
            <w:tcW w:w="1197" w:type="pct"/>
            <w:tcBorders>
              <w:top w:val="nil"/>
              <w:left w:val="nil"/>
              <w:bottom w:val="single" w:sz="4" w:space="0" w:color="auto"/>
              <w:right w:val="single" w:sz="4" w:space="0" w:color="auto"/>
            </w:tcBorders>
            <w:shd w:val="clear" w:color="auto" w:fill="auto"/>
            <w:noWrap/>
            <w:hideMark/>
          </w:tcPr>
          <w:p w14:paraId="21AF834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654C4CA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326 977,58</w:t>
            </w:r>
          </w:p>
        </w:tc>
        <w:tc>
          <w:tcPr>
            <w:tcW w:w="1087" w:type="pct"/>
            <w:tcBorders>
              <w:top w:val="nil"/>
              <w:left w:val="nil"/>
              <w:bottom w:val="single" w:sz="4" w:space="0" w:color="auto"/>
              <w:right w:val="single" w:sz="4" w:space="0" w:color="auto"/>
            </w:tcBorders>
            <w:shd w:val="clear" w:color="auto" w:fill="auto"/>
            <w:noWrap/>
            <w:vAlign w:val="bottom"/>
            <w:hideMark/>
          </w:tcPr>
          <w:p w14:paraId="3B267BC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150 783,93</w:t>
            </w:r>
          </w:p>
        </w:tc>
      </w:tr>
      <w:tr w:rsidR="009D6C98" w:rsidRPr="00E56406" w14:paraId="269F891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D488A6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Grabowo</w:t>
            </w:r>
          </w:p>
        </w:tc>
        <w:tc>
          <w:tcPr>
            <w:tcW w:w="1197" w:type="pct"/>
            <w:tcBorders>
              <w:top w:val="nil"/>
              <w:left w:val="nil"/>
              <w:bottom w:val="single" w:sz="4" w:space="0" w:color="auto"/>
              <w:right w:val="single" w:sz="4" w:space="0" w:color="auto"/>
            </w:tcBorders>
            <w:shd w:val="clear" w:color="auto" w:fill="auto"/>
            <w:noWrap/>
            <w:hideMark/>
          </w:tcPr>
          <w:p w14:paraId="62F39CF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36D9851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187 182,60</w:t>
            </w:r>
          </w:p>
        </w:tc>
        <w:tc>
          <w:tcPr>
            <w:tcW w:w="1087" w:type="pct"/>
            <w:tcBorders>
              <w:top w:val="nil"/>
              <w:left w:val="nil"/>
              <w:bottom w:val="single" w:sz="4" w:space="0" w:color="auto"/>
              <w:right w:val="single" w:sz="4" w:space="0" w:color="auto"/>
            </w:tcBorders>
            <w:shd w:val="clear" w:color="auto" w:fill="auto"/>
            <w:noWrap/>
            <w:vAlign w:val="bottom"/>
            <w:hideMark/>
          </w:tcPr>
          <w:p w14:paraId="51D2FF7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111 785,86</w:t>
            </w:r>
          </w:p>
        </w:tc>
      </w:tr>
      <w:tr w:rsidR="009D6C98" w:rsidRPr="00E56406" w14:paraId="0E8FFD0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15A2F4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Grajewo (M)</w:t>
            </w:r>
          </w:p>
        </w:tc>
        <w:tc>
          <w:tcPr>
            <w:tcW w:w="1197" w:type="pct"/>
            <w:tcBorders>
              <w:top w:val="nil"/>
              <w:left w:val="nil"/>
              <w:bottom w:val="single" w:sz="4" w:space="0" w:color="auto"/>
              <w:right w:val="single" w:sz="4" w:space="0" w:color="auto"/>
            </w:tcBorders>
            <w:shd w:val="clear" w:color="auto" w:fill="auto"/>
            <w:noWrap/>
            <w:hideMark/>
          </w:tcPr>
          <w:p w14:paraId="0BD4E2C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010BDAC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304 444,73</w:t>
            </w:r>
          </w:p>
        </w:tc>
        <w:tc>
          <w:tcPr>
            <w:tcW w:w="1087" w:type="pct"/>
            <w:tcBorders>
              <w:top w:val="nil"/>
              <w:left w:val="nil"/>
              <w:bottom w:val="single" w:sz="4" w:space="0" w:color="auto"/>
              <w:right w:val="single" w:sz="4" w:space="0" w:color="auto"/>
            </w:tcBorders>
            <w:shd w:val="clear" w:color="auto" w:fill="auto"/>
            <w:noWrap/>
            <w:vAlign w:val="bottom"/>
            <w:hideMark/>
          </w:tcPr>
          <w:p w14:paraId="3ED50E3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459 614,10</w:t>
            </w:r>
          </w:p>
        </w:tc>
      </w:tr>
      <w:tr w:rsidR="009D6C98" w:rsidRPr="00E56406" w14:paraId="62ECF42F"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4E9A8D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Grajewo (W)</w:t>
            </w:r>
          </w:p>
        </w:tc>
        <w:tc>
          <w:tcPr>
            <w:tcW w:w="1197" w:type="pct"/>
            <w:tcBorders>
              <w:top w:val="nil"/>
              <w:left w:val="nil"/>
              <w:bottom w:val="single" w:sz="4" w:space="0" w:color="auto"/>
              <w:right w:val="single" w:sz="4" w:space="0" w:color="auto"/>
            </w:tcBorders>
            <w:shd w:val="clear" w:color="auto" w:fill="auto"/>
            <w:noWrap/>
            <w:hideMark/>
          </w:tcPr>
          <w:p w14:paraId="52FF10A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1E2EBAA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308 594,90</w:t>
            </w:r>
          </w:p>
        </w:tc>
        <w:tc>
          <w:tcPr>
            <w:tcW w:w="1087" w:type="pct"/>
            <w:tcBorders>
              <w:top w:val="nil"/>
              <w:left w:val="nil"/>
              <w:bottom w:val="single" w:sz="4" w:space="0" w:color="auto"/>
              <w:right w:val="single" w:sz="4" w:space="0" w:color="auto"/>
            </w:tcBorders>
            <w:shd w:val="clear" w:color="auto" w:fill="auto"/>
            <w:noWrap/>
            <w:vAlign w:val="bottom"/>
            <w:hideMark/>
          </w:tcPr>
          <w:p w14:paraId="01BA4B7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183 401,61</w:t>
            </w:r>
          </w:p>
        </w:tc>
      </w:tr>
      <w:tr w:rsidR="009D6C98" w:rsidRPr="00E56406" w14:paraId="590524F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760898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Grodzisk</w:t>
            </w:r>
          </w:p>
        </w:tc>
        <w:tc>
          <w:tcPr>
            <w:tcW w:w="1197" w:type="pct"/>
            <w:tcBorders>
              <w:top w:val="nil"/>
              <w:left w:val="nil"/>
              <w:bottom w:val="single" w:sz="4" w:space="0" w:color="auto"/>
              <w:right w:val="single" w:sz="4" w:space="0" w:color="auto"/>
            </w:tcBorders>
            <w:shd w:val="clear" w:color="auto" w:fill="auto"/>
            <w:noWrap/>
            <w:hideMark/>
          </w:tcPr>
          <w:p w14:paraId="0D8860A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43F0960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237 462,33</w:t>
            </w:r>
          </w:p>
        </w:tc>
        <w:tc>
          <w:tcPr>
            <w:tcW w:w="1087" w:type="pct"/>
            <w:tcBorders>
              <w:top w:val="nil"/>
              <w:left w:val="nil"/>
              <w:bottom w:val="single" w:sz="4" w:space="0" w:color="auto"/>
              <w:right w:val="single" w:sz="4" w:space="0" w:color="auto"/>
            </w:tcBorders>
            <w:shd w:val="clear" w:color="auto" w:fill="auto"/>
            <w:noWrap/>
            <w:vAlign w:val="bottom"/>
            <w:hideMark/>
          </w:tcPr>
          <w:p w14:paraId="7FB8363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127 109,72</w:t>
            </w:r>
          </w:p>
        </w:tc>
      </w:tr>
      <w:tr w:rsidR="009D6C98" w:rsidRPr="00E56406" w14:paraId="18A1C56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566EB5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Gródek</w:t>
            </w:r>
          </w:p>
        </w:tc>
        <w:tc>
          <w:tcPr>
            <w:tcW w:w="1197" w:type="pct"/>
            <w:tcBorders>
              <w:top w:val="nil"/>
              <w:left w:val="nil"/>
              <w:bottom w:val="single" w:sz="4" w:space="0" w:color="auto"/>
              <w:right w:val="single" w:sz="4" w:space="0" w:color="auto"/>
            </w:tcBorders>
            <w:shd w:val="clear" w:color="auto" w:fill="auto"/>
            <w:noWrap/>
            <w:hideMark/>
          </w:tcPr>
          <w:p w14:paraId="485E845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6D08492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329 203,85</w:t>
            </w:r>
          </w:p>
        </w:tc>
        <w:tc>
          <w:tcPr>
            <w:tcW w:w="1087" w:type="pct"/>
            <w:tcBorders>
              <w:top w:val="nil"/>
              <w:left w:val="nil"/>
              <w:bottom w:val="single" w:sz="4" w:space="0" w:color="auto"/>
              <w:right w:val="single" w:sz="4" w:space="0" w:color="auto"/>
            </w:tcBorders>
            <w:shd w:val="clear" w:color="auto" w:fill="auto"/>
            <w:noWrap/>
            <w:vAlign w:val="bottom"/>
            <w:hideMark/>
          </w:tcPr>
          <w:p w14:paraId="71EC7DC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166 546,26</w:t>
            </w:r>
          </w:p>
        </w:tc>
      </w:tr>
      <w:tr w:rsidR="009D6C98" w:rsidRPr="00E56406" w14:paraId="4FA8204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11F14B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Hajnówka (M)</w:t>
            </w:r>
          </w:p>
        </w:tc>
        <w:tc>
          <w:tcPr>
            <w:tcW w:w="1197" w:type="pct"/>
            <w:tcBorders>
              <w:top w:val="nil"/>
              <w:left w:val="nil"/>
              <w:bottom w:val="single" w:sz="4" w:space="0" w:color="auto"/>
              <w:right w:val="single" w:sz="4" w:space="0" w:color="auto"/>
            </w:tcBorders>
            <w:shd w:val="clear" w:color="auto" w:fill="auto"/>
            <w:noWrap/>
            <w:hideMark/>
          </w:tcPr>
          <w:p w14:paraId="706A02C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2DF9476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302 493,58</w:t>
            </w:r>
          </w:p>
        </w:tc>
        <w:tc>
          <w:tcPr>
            <w:tcW w:w="1087" w:type="pct"/>
            <w:tcBorders>
              <w:top w:val="nil"/>
              <w:left w:val="nil"/>
              <w:bottom w:val="single" w:sz="4" w:space="0" w:color="auto"/>
              <w:right w:val="single" w:sz="4" w:space="0" w:color="auto"/>
            </w:tcBorders>
            <w:shd w:val="clear" w:color="auto" w:fill="auto"/>
            <w:noWrap/>
            <w:vAlign w:val="bottom"/>
            <w:hideMark/>
          </w:tcPr>
          <w:p w14:paraId="4F356D1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462 326,48</w:t>
            </w:r>
          </w:p>
        </w:tc>
      </w:tr>
      <w:tr w:rsidR="009D6C98" w:rsidRPr="00E56406" w14:paraId="39738D8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FEAC10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Hajnówka (W)</w:t>
            </w:r>
          </w:p>
        </w:tc>
        <w:tc>
          <w:tcPr>
            <w:tcW w:w="1197" w:type="pct"/>
            <w:tcBorders>
              <w:top w:val="nil"/>
              <w:left w:val="nil"/>
              <w:bottom w:val="single" w:sz="4" w:space="0" w:color="auto"/>
              <w:right w:val="single" w:sz="4" w:space="0" w:color="auto"/>
            </w:tcBorders>
            <w:shd w:val="clear" w:color="auto" w:fill="auto"/>
            <w:noWrap/>
            <w:hideMark/>
          </w:tcPr>
          <w:p w14:paraId="6BFBC15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34362A5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238 758,35</w:t>
            </w:r>
          </w:p>
        </w:tc>
        <w:tc>
          <w:tcPr>
            <w:tcW w:w="1087" w:type="pct"/>
            <w:tcBorders>
              <w:top w:val="nil"/>
              <w:left w:val="nil"/>
              <w:bottom w:val="single" w:sz="4" w:space="0" w:color="auto"/>
              <w:right w:val="single" w:sz="4" w:space="0" w:color="auto"/>
            </w:tcBorders>
            <w:shd w:val="clear" w:color="auto" w:fill="auto"/>
            <w:noWrap/>
            <w:vAlign w:val="bottom"/>
            <w:hideMark/>
          </w:tcPr>
          <w:p w14:paraId="1D03E4F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120 933,66</w:t>
            </w:r>
          </w:p>
        </w:tc>
      </w:tr>
      <w:tr w:rsidR="009D6C98" w:rsidRPr="00E56406" w14:paraId="3EF9BB0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1095DE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Janów</w:t>
            </w:r>
          </w:p>
        </w:tc>
        <w:tc>
          <w:tcPr>
            <w:tcW w:w="1197" w:type="pct"/>
            <w:tcBorders>
              <w:top w:val="nil"/>
              <w:left w:val="nil"/>
              <w:bottom w:val="single" w:sz="4" w:space="0" w:color="auto"/>
              <w:right w:val="single" w:sz="4" w:space="0" w:color="auto"/>
            </w:tcBorders>
            <w:shd w:val="clear" w:color="auto" w:fill="auto"/>
            <w:noWrap/>
            <w:hideMark/>
          </w:tcPr>
          <w:p w14:paraId="7F64CD1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591D11E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220 486,14</w:t>
            </w:r>
          </w:p>
        </w:tc>
        <w:tc>
          <w:tcPr>
            <w:tcW w:w="1087" w:type="pct"/>
            <w:tcBorders>
              <w:top w:val="nil"/>
              <w:left w:val="nil"/>
              <w:bottom w:val="single" w:sz="4" w:space="0" w:color="auto"/>
              <w:right w:val="single" w:sz="4" w:space="0" w:color="auto"/>
            </w:tcBorders>
            <w:shd w:val="clear" w:color="auto" w:fill="auto"/>
            <w:noWrap/>
            <w:vAlign w:val="bottom"/>
            <w:hideMark/>
          </w:tcPr>
          <w:p w14:paraId="4B455C7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154 104,69</w:t>
            </w:r>
          </w:p>
        </w:tc>
      </w:tr>
      <w:tr w:rsidR="009D6C98" w:rsidRPr="00E56406" w14:paraId="5EEF39E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D895F1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Jasionówka</w:t>
            </w:r>
          </w:p>
        </w:tc>
        <w:tc>
          <w:tcPr>
            <w:tcW w:w="1197" w:type="pct"/>
            <w:tcBorders>
              <w:top w:val="nil"/>
              <w:left w:val="nil"/>
              <w:bottom w:val="single" w:sz="4" w:space="0" w:color="auto"/>
              <w:right w:val="single" w:sz="4" w:space="0" w:color="auto"/>
            </w:tcBorders>
            <w:shd w:val="clear" w:color="auto" w:fill="auto"/>
            <w:noWrap/>
            <w:hideMark/>
          </w:tcPr>
          <w:p w14:paraId="6A12349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5777B3D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181 443,11</w:t>
            </w:r>
          </w:p>
        </w:tc>
        <w:tc>
          <w:tcPr>
            <w:tcW w:w="1087" w:type="pct"/>
            <w:tcBorders>
              <w:top w:val="nil"/>
              <w:left w:val="nil"/>
              <w:bottom w:val="single" w:sz="4" w:space="0" w:color="auto"/>
              <w:right w:val="single" w:sz="4" w:space="0" w:color="auto"/>
            </w:tcBorders>
            <w:shd w:val="clear" w:color="auto" w:fill="auto"/>
            <w:noWrap/>
            <w:vAlign w:val="bottom"/>
            <w:hideMark/>
          </w:tcPr>
          <w:p w14:paraId="263BCB3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149 539,90</w:t>
            </w:r>
          </w:p>
        </w:tc>
      </w:tr>
      <w:tr w:rsidR="009D6C98" w:rsidRPr="00E56406" w14:paraId="036CC76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A8DD6C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Jaświły</w:t>
            </w:r>
          </w:p>
        </w:tc>
        <w:tc>
          <w:tcPr>
            <w:tcW w:w="1197" w:type="pct"/>
            <w:tcBorders>
              <w:top w:val="nil"/>
              <w:left w:val="nil"/>
              <w:bottom w:val="single" w:sz="4" w:space="0" w:color="auto"/>
              <w:right w:val="single" w:sz="4" w:space="0" w:color="auto"/>
            </w:tcBorders>
            <w:shd w:val="clear" w:color="auto" w:fill="auto"/>
            <w:noWrap/>
            <w:hideMark/>
          </w:tcPr>
          <w:p w14:paraId="4E751AB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7D8E751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236 441,00</w:t>
            </w:r>
          </w:p>
        </w:tc>
        <w:tc>
          <w:tcPr>
            <w:tcW w:w="1087" w:type="pct"/>
            <w:tcBorders>
              <w:top w:val="nil"/>
              <w:left w:val="nil"/>
              <w:bottom w:val="single" w:sz="4" w:space="0" w:color="auto"/>
              <w:right w:val="single" w:sz="4" w:space="0" w:color="auto"/>
            </w:tcBorders>
            <w:shd w:val="clear" w:color="auto" w:fill="auto"/>
            <w:noWrap/>
            <w:vAlign w:val="bottom"/>
            <w:hideMark/>
          </w:tcPr>
          <w:p w14:paraId="5D2F877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166 632,77</w:t>
            </w:r>
          </w:p>
        </w:tc>
      </w:tr>
      <w:tr w:rsidR="009D6C98" w:rsidRPr="00E56406" w14:paraId="31465EE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F2ABF3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Jedwabne</w:t>
            </w:r>
          </w:p>
        </w:tc>
        <w:tc>
          <w:tcPr>
            <w:tcW w:w="1197" w:type="pct"/>
            <w:tcBorders>
              <w:top w:val="nil"/>
              <w:left w:val="nil"/>
              <w:bottom w:val="single" w:sz="4" w:space="0" w:color="auto"/>
              <w:right w:val="single" w:sz="4" w:space="0" w:color="auto"/>
            </w:tcBorders>
            <w:shd w:val="clear" w:color="auto" w:fill="auto"/>
            <w:noWrap/>
            <w:hideMark/>
          </w:tcPr>
          <w:p w14:paraId="25F58F8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5890B21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252 509,67</w:t>
            </w:r>
          </w:p>
        </w:tc>
        <w:tc>
          <w:tcPr>
            <w:tcW w:w="1087" w:type="pct"/>
            <w:tcBorders>
              <w:top w:val="nil"/>
              <w:left w:val="nil"/>
              <w:bottom w:val="single" w:sz="4" w:space="0" w:color="auto"/>
              <w:right w:val="single" w:sz="4" w:space="0" w:color="auto"/>
            </w:tcBorders>
            <w:shd w:val="clear" w:color="auto" w:fill="auto"/>
            <w:noWrap/>
            <w:vAlign w:val="bottom"/>
            <w:hideMark/>
          </w:tcPr>
          <w:p w14:paraId="420E14F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151 402,91</w:t>
            </w:r>
          </w:p>
        </w:tc>
      </w:tr>
      <w:tr w:rsidR="009D6C98" w:rsidRPr="00E56406" w14:paraId="4C94AC2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3B3BFB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Jeleniewo</w:t>
            </w:r>
          </w:p>
        </w:tc>
        <w:tc>
          <w:tcPr>
            <w:tcW w:w="1197" w:type="pct"/>
            <w:tcBorders>
              <w:top w:val="nil"/>
              <w:left w:val="nil"/>
              <w:bottom w:val="single" w:sz="4" w:space="0" w:color="auto"/>
              <w:right w:val="single" w:sz="4" w:space="0" w:color="auto"/>
            </w:tcBorders>
            <w:shd w:val="clear" w:color="auto" w:fill="auto"/>
            <w:noWrap/>
            <w:hideMark/>
          </w:tcPr>
          <w:p w14:paraId="51CE129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69AB04B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156 885,39</w:t>
            </w:r>
          </w:p>
        </w:tc>
        <w:tc>
          <w:tcPr>
            <w:tcW w:w="1087" w:type="pct"/>
            <w:tcBorders>
              <w:top w:val="nil"/>
              <w:left w:val="nil"/>
              <w:bottom w:val="single" w:sz="4" w:space="0" w:color="auto"/>
              <w:right w:val="single" w:sz="4" w:space="0" w:color="auto"/>
            </w:tcBorders>
            <w:shd w:val="clear" w:color="auto" w:fill="auto"/>
            <w:noWrap/>
            <w:vAlign w:val="bottom"/>
            <w:hideMark/>
          </w:tcPr>
          <w:p w14:paraId="60E1AC1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145 300,21</w:t>
            </w:r>
          </w:p>
        </w:tc>
      </w:tr>
      <w:tr w:rsidR="009D6C98" w:rsidRPr="00E56406" w14:paraId="4A9A769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E9C2E6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Juchnowiec Kościelny</w:t>
            </w:r>
          </w:p>
        </w:tc>
        <w:tc>
          <w:tcPr>
            <w:tcW w:w="1197" w:type="pct"/>
            <w:tcBorders>
              <w:top w:val="nil"/>
              <w:left w:val="nil"/>
              <w:bottom w:val="single" w:sz="4" w:space="0" w:color="auto"/>
              <w:right w:val="single" w:sz="4" w:space="0" w:color="auto"/>
            </w:tcBorders>
            <w:shd w:val="clear" w:color="auto" w:fill="auto"/>
            <w:noWrap/>
            <w:hideMark/>
          </w:tcPr>
          <w:p w14:paraId="48ADED8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37E3D7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331 228,66</w:t>
            </w:r>
          </w:p>
        </w:tc>
        <w:tc>
          <w:tcPr>
            <w:tcW w:w="1087" w:type="pct"/>
            <w:tcBorders>
              <w:top w:val="nil"/>
              <w:left w:val="nil"/>
              <w:bottom w:val="single" w:sz="4" w:space="0" w:color="auto"/>
              <w:right w:val="single" w:sz="4" w:space="0" w:color="auto"/>
            </w:tcBorders>
            <w:shd w:val="clear" w:color="auto" w:fill="auto"/>
            <w:noWrap/>
            <w:vAlign w:val="bottom"/>
            <w:hideMark/>
          </w:tcPr>
          <w:p w14:paraId="2D08EDE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351 253,04</w:t>
            </w:r>
          </w:p>
        </w:tc>
      </w:tr>
      <w:tr w:rsidR="009D6C98" w:rsidRPr="00E56406" w14:paraId="432F2EF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2C3DB3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Kleszczele</w:t>
            </w:r>
          </w:p>
        </w:tc>
        <w:tc>
          <w:tcPr>
            <w:tcW w:w="1197" w:type="pct"/>
            <w:tcBorders>
              <w:top w:val="nil"/>
              <w:left w:val="nil"/>
              <w:bottom w:val="single" w:sz="4" w:space="0" w:color="auto"/>
              <w:right w:val="single" w:sz="4" w:space="0" w:color="auto"/>
            </w:tcBorders>
            <w:shd w:val="clear" w:color="auto" w:fill="auto"/>
            <w:noWrap/>
            <w:hideMark/>
          </w:tcPr>
          <w:p w14:paraId="4EBCAEF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3790C3C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173 974,69</w:t>
            </w:r>
          </w:p>
        </w:tc>
        <w:tc>
          <w:tcPr>
            <w:tcW w:w="1087" w:type="pct"/>
            <w:tcBorders>
              <w:top w:val="nil"/>
              <w:left w:val="nil"/>
              <w:bottom w:val="single" w:sz="4" w:space="0" w:color="auto"/>
              <w:right w:val="single" w:sz="4" w:space="0" w:color="auto"/>
            </w:tcBorders>
            <w:shd w:val="clear" w:color="auto" w:fill="auto"/>
            <w:noWrap/>
            <w:vAlign w:val="bottom"/>
            <w:hideMark/>
          </w:tcPr>
          <w:p w14:paraId="47B3437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102 810,38</w:t>
            </w:r>
          </w:p>
        </w:tc>
      </w:tr>
      <w:tr w:rsidR="009D6C98" w:rsidRPr="00E56406" w14:paraId="14AA734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429058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Klukowo</w:t>
            </w:r>
          </w:p>
        </w:tc>
        <w:tc>
          <w:tcPr>
            <w:tcW w:w="1197" w:type="pct"/>
            <w:tcBorders>
              <w:top w:val="nil"/>
              <w:left w:val="nil"/>
              <w:bottom w:val="single" w:sz="4" w:space="0" w:color="auto"/>
              <w:right w:val="single" w:sz="4" w:space="0" w:color="auto"/>
            </w:tcBorders>
            <w:shd w:val="clear" w:color="auto" w:fill="auto"/>
            <w:noWrap/>
            <w:hideMark/>
          </w:tcPr>
          <w:p w14:paraId="34C50EE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06D9F3D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187 807,33</w:t>
            </w:r>
          </w:p>
        </w:tc>
        <w:tc>
          <w:tcPr>
            <w:tcW w:w="1087" w:type="pct"/>
            <w:tcBorders>
              <w:top w:val="nil"/>
              <w:left w:val="nil"/>
              <w:bottom w:val="single" w:sz="4" w:space="0" w:color="auto"/>
              <w:right w:val="single" w:sz="4" w:space="0" w:color="auto"/>
            </w:tcBorders>
            <w:shd w:val="clear" w:color="auto" w:fill="auto"/>
            <w:noWrap/>
            <w:vAlign w:val="bottom"/>
            <w:hideMark/>
          </w:tcPr>
          <w:p w14:paraId="726B2D0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145 260,53</w:t>
            </w:r>
          </w:p>
        </w:tc>
      </w:tr>
      <w:tr w:rsidR="009D6C98" w:rsidRPr="00E56406" w14:paraId="5F8E84F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A1544A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Knyszyn</w:t>
            </w:r>
          </w:p>
        </w:tc>
        <w:tc>
          <w:tcPr>
            <w:tcW w:w="1197" w:type="pct"/>
            <w:tcBorders>
              <w:top w:val="nil"/>
              <w:left w:val="nil"/>
              <w:bottom w:val="single" w:sz="4" w:space="0" w:color="auto"/>
              <w:right w:val="single" w:sz="4" w:space="0" w:color="auto"/>
            </w:tcBorders>
            <w:shd w:val="clear" w:color="auto" w:fill="auto"/>
            <w:noWrap/>
            <w:hideMark/>
          </w:tcPr>
          <w:p w14:paraId="4CF6CC8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33110A1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227 671,29</w:t>
            </w:r>
          </w:p>
        </w:tc>
        <w:tc>
          <w:tcPr>
            <w:tcW w:w="1087" w:type="pct"/>
            <w:tcBorders>
              <w:top w:val="nil"/>
              <w:left w:val="nil"/>
              <w:bottom w:val="single" w:sz="4" w:space="0" w:color="auto"/>
              <w:right w:val="single" w:sz="4" w:space="0" w:color="auto"/>
            </w:tcBorders>
            <w:shd w:val="clear" w:color="auto" w:fill="auto"/>
            <w:noWrap/>
            <w:vAlign w:val="bottom"/>
            <w:hideMark/>
          </w:tcPr>
          <w:p w14:paraId="2FBC22C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142 579,17</w:t>
            </w:r>
          </w:p>
        </w:tc>
      </w:tr>
      <w:tr w:rsidR="009D6C98" w:rsidRPr="00E56406" w14:paraId="07FD71A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98F76F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Kobylin-Borzymy</w:t>
            </w:r>
          </w:p>
        </w:tc>
        <w:tc>
          <w:tcPr>
            <w:tcW w:w="1197" w:type="pct"/>
            <w:tcBorders>
              <w:top w:val="nil"/>
              <w:left w:val="nil"/>
              <w:bottom w:val="single" w:sz="4" w:space="0" w:color="auto"/>
              <w:right w:val="single" w:sz="4" w:space="0" w:color="auto"/>
            </w:tcBorders>
            <w:shd w:val="clear" w:color="auto" w:fill="auto"/>
            <w:noWrap/>
            <w:hideMark/>
          </w:tcPr>
          <w:p w14:paraId="0FD45C1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60DCCCC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180 902,33</w:t>
            </w:r>
          </w:p>
        </w:tc>
        <w:tc>
          <w:tcPr>
            <w:tcW w:w="1087" w:type="pct"/>
            <w:tcBorders>
              <w:top w:val="nil"/>
              <w:left w:val="nil"/>
              <w:bottom w:val="single" w:sz="4" w:space="0" w:color="auto"/>
              <w:right w:val="single" w:sz="4" w:space="0" w:color="auto"/>
            </w:tcBorders>
            <w:shd w:val="clear" w:color="auto" w:fill="auto"/>
            <w:noWrap/>
            <w:vAlign w:val="bottom"/>
            <w:hideMark/>
          </w:tcPr>
          <w:p w14:paraId="11A87E2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80 821,60</w:t>
            </w:r>
          </w:p>
        </w:tc>
      </w:tr>
      <w:tr w:rsidR="009D6C98" w:rsidRPr="00E56406" w14:paraId="10935B1F"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0FE877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Kolno (M)</w:t>
            </w:r>
          </w:p>
        </w:tc>
        <w:tc>
          <w:tcPr>
            <w:tcW w:w="1197" w:type="pct"/>
            <w:tcBorders>
              <w:top w:val="nil"/>
              <w:left w:val="nil"/>
              <w:bottom w:val="single" w:sz="4" w:space="0" w:color="auto"/>
              <w:right w:val="single" w:sz="4" w:space="0" w:color="auto"/>
            </w:tcBorders>
            <w:shd w:val="clear" w:color="auto" w:fill="auto"/>
            <w:noWrap/>
            <w:hideMark/>
          </w:tcPr>
          <w:p w14:paraId="5FA07C2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2AC7074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196 427,81</w:t>
            </w:r>
          </w:p>
        </w:tc>
        <w:tc>
          <w:tcPr>
            <w:tcW w:w="1087" w:type="pct"/>
            <w:tcBorders>
              <w:top w:val="nil"/>
              <w:left w:val="nil"/>
              <w:bottom w:val="single" w:sz="4" w:space="0" w:color="auto"/>
              <w:right w:val="single" w:sz="4" w:space="0" w:color="auto"/>
            </w:tcBorders>
            <w:shd w:val="clear" w:color="auto" w:fill="auto"/>
            <w:noWrap/>
            <w:vAlign w:val="bottom"/>
            <w:hideMark/>
          </w:tcPr>
          <w:p w14:paraId="306E3FD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207 572,97</w:t>
            </w:r>
          </w:p>
        </w:tc>
      </w:tr>
      <w:tr w:rsidR="009D6C98" w:rsidRPr="00E56406" w14:paraId="32C4C94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01B631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Kolno (W)</w:t>
            </w:r>
          </w:p>
        </w:tc>
        <w:tc>
          <w:tcPr>
            <w:tcW w:w="1197" w:type="pct"/>
            <w:tcBorders>
              <w:top w:val="nil"/>
              <w:left w:val="nil"/>
              <w:bottom w:val="single" w:sz="4" w:space="0" w:color="auto"/>
              <w:right w:val="single" w:sz="4" w:space="0" w:color="auto"/>
            </w:tcBorders>
            <w:shd w:val="clear" w:color="auto" w:fill="auto"/>
            <w:noWrap/>
            <w:hideMark/>
          </w:tcPr>
          <w:p w14:paraId="35B5575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08E4E40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376 795,35</w:t>
            </w:r>
          </w:p>
        </w:tc>
        <w:tc>
          <w:tcPr>
            <w:tcW w:w="1087" w:type="pct"/>
            <w:tcBorders>
              <w:top w:val="nil"/>
              <w:left w:val="nil"/>
              <w:bottom w:val="single" w:sz="4" w:space="0" w:color="auto"/>
              <w:right w:val="single" w:sz="4" w:space="0" w:color="auto"/>
            </w:tcBorders>
            <w:shd w:val="clear" w:color="auto" w:fill="auto"/>
            <w:noWrap/>
            <w:vAlign w:val="bottom"/>
            <w:hideMark/>
          </w:tcPr>
          <w:p w14:paraId="500D8C1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203 343,73</w:t>
            </w:r>
          </w:p>
        </w:tc>
      </w:tr>
      <w:tr w:rsidR="009D6C98" w:rsidRPr="00E56406" w14:paraId="794BCC2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26B01C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Kołaki Kościelne</w:t>
            </w:r>
          </w:p>
        </w:tc>
        <w:tc>
          <w:tcPr>
            <w:tcW w:w="1197" w:type="pct"/>
            <w:tcBorders>
              <w:top w:val="nil"/>
              <w:left w:val="nil"/>
              <w:bottom w:val="single" w:sz="4" w:space="0" w:color="auto"/>
              <w:right w:val="single" w:sz="4" w:space="0" w:color="auto"/>
            </w:tcBorders>
            <w:shd w:val="clear" w:color="auto" w:fill="auto"/>
            <w:noWrap/>
            <w:hideMark/>
          </w:tcPr>
          <w:p w14:paraId="1E30570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zambrowski</w:t>
            </w:r>
          </w:p>
        </w:tc>
        <w:tc>
          <w:tcPr>
            <w:tcW w:w="1087" w:type="pct"/>
            <w:tcBorders>
              <w:top w:val="nil"/>
              <w:left w:val="nil"/>
              <w:bottom w:val="single" w:sz="4" w:space="0" w:color="auto"/>
              <w:right w:val="single" w:sz="4" w:space="0" w:color="auto"/>
            </w:tcBorders>
            <w:shd w:val="clear" w:color="auto" w:fill="auto"/>
            <w:noWrap/>
            <w:vAlign w:val="bottom"/>
            <w:hideMark/>
          </w:tcPr>
          <w:p w14:paraId="3F88A88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194 968,25</w:t>
            </w:r>
          </w:p>
        </w:tc>
        <w:tc>
          <w:tcPr>
            <w:tcW w:w="1087" w:type="pct"/>
            <w:tcBorders>
              <w:top w:val="nil"/>
              <w:left w:val="nil"/>
              <w:bottom w:val="single" w:sz="4" w:space="0" w:color="auto"/>
              <w:right w:val="single" w:sz="4" w:space="0" w:color="auto"/>
            </w:tcBorders>
            <w:shd w:val="clear" w:color="auto" w:fill="auto"/>
            <w:noWrap/>
            <w:vAlign w:val="bottom"/>
            <w:hideMark/>
          </w:tcPr>
          <w:p w14:paraId="78B600D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64 767,12</w:t>
            </w:r>
          </w:p>
        </w:tc>
      </w:tr>
      <w:tr w:rsidR="009D6C98" w:rsidRPr="00E56406" w14:paraId="27BF7AA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BE3613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Korycin</w:t>
            </w:r>
          </w:p>
        </w:tc>
        <w:tc>
          <w:tcPr>
            <w:tcW w:w="1197" w:type="pct"/>
            <w:tcBorders>
              <w:top w:val="nil"/>
              <w:left w:val="nil"/>
              <w:bottom w:val="single" w:sz="4" w:space="0" w:color="auto"/>
              <w:right w:val="single" w:sz="4" w:space="0" w:color="auto"/>
            </w:tcBorders>
            <w:shd w:val="clear" w:color="auto" w:fill="auto"/>
            <w:noWrap/>
            <w:hideMark/>
          </w:tcPr>
          <w:p w14:paraId="0D15304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00E90D2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160 241,57</w:t>
            </w:r>
          </w:p>
        </w:tc>
        <w:tc>
          <w:tcPr>
            <w:tcW w:w="1087" w:type="pct"/>
            <w:tcBorders>
              <w:top w:val="nil"/>
              <w:left w:val="nil"/>
              <w:bottom w:val="single" w:sz="4" w:space="0" w:color="auto"/>
              <w:right w:val="single" w:sz="4" w:space="0" w:color="auto"/>
            </w:tcBorders>
            <w:shd w:val="clear" w:color="auto" w:fill="auto"/>
            <w:noWrap/>
            <w:vAlign w:val="bottom"/>
            <w:hideMark/>
          </w:tcPr>
          <w:p w14:paraId="07AA34F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135 491,83</w:t>
            </w:r>
          </w:p>
        </w:tc>
      </w:tr>
      <w:tr w:rsidR="009D6C98" w:rsidRPr="00E56406" w14:paraId="0BDCAE0F"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7D0DBC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Krasnopol</w:t>
            </w:r>
          </w:p>
        </w:tc>
        <w:tc>
          <w:tcPr>
            <w:tcW w:w="1197" w:type="pct"/>
            <w:tcBorders>
              <w:top w:val="nil"/>
              <w:left w:val="nil"/>
              <w:bottom w:val="single" w:sz="4" w:space="0" w:color="auto"/>
              <w:right w:val="single" w:sz="4" w:space="0" w:color="auto"/>
            </w:tcBorders>
            <w:shd w:val="clear" w:color="auto" w:fill="auto"/>
            <w:noWrap/>
            <w:hideMark/>
          </w:tcPr>
          <w:p w14:paraId="228C3C9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sejneński</w:t>
            </w:r>
          </w:p>
        </w:tc>
        <w:tc>
          <w:tcPr>
            <w:tcW w:w="1087" w:type="pct"/>
            <w:tcBorders>
              <w:top w:val="nil"/>
              <w:left w:val="nil"/>
              <w:bottom w:val="single" w:sz="4" w:space="0" w:color="auto"/>
              <w:right w:val="single" w:sz="4" w:space="0" w:color="auto"/>
            </w:tcBorders>
            <w:shd w:val="clear" w:color="auto" w:fill="auto"/>
            <w:noWrap/>
            <w:vAlign w:val="bottom"/>
            <w:hideMark/>
          </w:tcPr>
          <w:p w14:paraId="78FD669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202 370,32</w:t>
            </w:r>
          </w:p>
        </w:tc>
        <w:tc>
          <w:tcPr>
            <w:tcW w:w="1087" w:type="pct"/>
            <w:tcBorders>
              <w:top w:val="nil"/>
              <w:left w:val="nil"/>
              <w:bottom w:val="single" w:sz="4" w:space="0" w:color="auto"/>
              <w:right w:val="single" w:sz="4" w:space="0" w:color="auto"/>
            </w:tcBorders>
            <w:shd w:val="clear" w:color="auto" w:fill="auto"/>
            <w:noWrap/>
            <w:vAlign w:val="bottom"/>
            <w:hideMark/>
          </w:tcPr>
          <w:p w14:paraId="2C56753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131 012,17</w:t>
            </w:r>
          </w:p>
        </w:tc>
      </w:tr>
      <w:tr w:rsidR="009D6C98" w:rsidRPr="00E56406" w14:paraId="329DA94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C0E237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Krynki</w:t>
            </w:r>
          </w:p>
        </w:tc>
        <w:tc>
          <w:tcPr>
            <w:tcW w:w="1197" w:type="pct"/>
            <w:tcBorders>
              <w:top w:val="nil"/>
              <w:left w:val="nil"/>
              <w:bottom w:val="single" w:sz="4" w:space="0" w:color="auto"/>
              <w:right w:val="single" w:sz="4" w:space="0" w:color="auto"/>
            </w:tcBorders>
            <w:shd w:val="clear" w:color="auto" w:fill="auto"/>
            <w:noWrap/>
            <w:hideMark/>
          </w:tcPr>
          <w:p w14:paraId="3573073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18E875F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188 480,51</w:t>
            </w:r>
          </w:p>
        </w:tc>
        <w:tc>
          <w:tcPr>
            <w:tcW w:w="1087" w:type="pct"/>
            <w:tcBorders>
              <w:top w:val="nil"/>
              <w:left w:val="nil"/>
              <w:bottom w:val="single" w:sz="4" w:space="0" w:color="auto"/>
              <w:right w:val="single" w:sz="4" w:space="0" w:color="auto"/>
            </w:tcBorders>
            <w:shd w:val="clear" w:color="auto" w:fill="auto"/>
            <w:noWrap/>
            <w:vAlign w:val="bottom"/>
            <w:hideMark/>
          </w:tcPr>
          <w:p w14:paraId="2901516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129 335,36</w:t>
            </w:r>
          </w:p>
        </w:tc>
      </w:tr>
      <w:tr w:rsidR="009D6C98" w:rsidRPr="00E56406" w14:paraId="1896C52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572D03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Krypno</w:t>
            </w:r>
          </w:p>
        </w:tc>
        <w:tc>
          <w:tcPr>
            <w:tcW w:w="1197" w:type="pct"/>
            <w:tcBorders>
              <w:top w:val="nil"/>
              <w:left w:val="nil"/>
              <w:bottom w:val="single" w:sz="4" w:space="0" w:color="auto"/>
              <w:right w:val="single" w:sz="4" w:space="0" w:color="auto"/>
            </w:tcBorders>
            <w:shd w:val="clear" w:color="auto" w:fill="auto"/>
            <w:noWrap/>
            <w:hideMark/>
          </w:tcPr>
          <w:p w14:paraId="00ABCC1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59C25C7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228 440,24</w:t>
            </w:r>
          </w:p>
        </w:tc>
        <w:tc>
          <w:tcPr>
            <w:tcW w:w="1087" w:type="pct"/>
            <w:tcBorders>
              <w:top w:val="nil"/>
              <w:left w:val="nil"/>
              <w:bottom w:val="single" w:sz="4" w:space="0" w:color="auto"/>
              <w:right w:val="single" w:sz="4" w:space="0" w:color="auto"/>
            </w:tcBorders>
            <w:shd w:val="clear" w:color="auto" w:fill="auto"/>
            <w:noWrap/>
            <w:vAlign w:val="bottom"/>
            <w:hideMark/>
          </w:tcPr>
          <w:p w14:paraId="1061F23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117 874,56</w:t>
            </w:r>
          </w:p>
        </w:tc>
      </w:tr>
      <w:tr w:rsidR="009D6C98" w:rsidRPr="00E56406" w14:paraId="21B135A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B1675C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Kulesze Kościelne</w:t>
            </w:r>
          </w:p>
        </w:tc>
        <w:tc>
          <w:tcPr>
            <w:tcW w:w="1197" w:type="pct"/>
            <w:tcBorders>
              <w:top w:val="nil"/>
              <w:left w:val="nil"/>
              <w:bottom w:val="single" w:sz="4" w:space="0" w:color="auto"/>
              <w:right w:val="single" w:sz="4" w:space="0" w:color="auto"/>
            </w:tcBorders>
            <w:shd w:val="clear" w:color="auto" w:fill="auto"/>
            <w:noWrap/>
            <w:hideMark/>
          </w:tcPr>
          <w:p w14:paraId="57B25DB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70C2155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165 307,27</w:t>
            </w:r>
          </w:p>
        </w:tc>
        <w:tc>
          <w:tcPr>
            <w:tcW w:w="1087" w:type="pct"/>
            <w:tcBorders>
              <w:top w:val="nil"/>
              <w:left w:val="nil"/>
              <w:bottom w:val="single" w:sz="4" w:space="0" w:color="auto"/>
              <w:right w:val="single" w:sz="4" w:space="0" w:color="auto"/>
            </w:tcBorders>
            <w:shd w:val="clear" w:color="auto" w:fill="auto"/>
            <w:noWrap/>
            <w:vAlign w:val="bottom"/>
            <w:hideMark/>
          </w:tcPr>
          <w:p w14:paraId="60B8841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106 252,61</w:t>
            </w:r>
          </w:p>
        </w:tc>
      </w:tr>
      <w:tr w:rsidR="009D6C98" w:rsidRPr="00E56406" w14:paraId="4D484CC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664682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Kuźnica</w:t>
            </w:r>
          </w:p>
        </w:tc>
        <w:tc>
          <w:tcPr>
            <w:tcW w:w="1197" w:type="pct"/>
            <w:tcBorders>
              <w:top w:val="nil"/>
              <w:left w:val="nil"/>
              <w:bottom w:val="single" w:sz="4" w:space="0" w:color="auto"/>
              <w:right w:val="single" w:sz="4" w:space="0" w:color="auto"/>
            </w:tcBorders>
            <w:shd w:val="clear" w:color="auto" w:fill="auto"/>
            <w:noWrap/>
            <w:hideMark/>
          </w:tcPr>
          <w:p w14:paraId="74FCEFF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268DE4D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194 355,02</w:t>
            </w:r>
          </w:p>
        </w:tc>
        <w:tc>
          <w:tcPr>
            <w:tcW w:w="1087" w:type="pct"/>
            <w:tcBorders>
              <w:top w:val="nil"/>
              <w:left w:val="nil"/>
              <w:bottom w:val="single" w:sz="4" w:space="0" w:color="auto"/>
              <w:right w:val="single" w:sz="4" w:space="0" w:color="auto"/>
            </w:tcBorders>
            <w:shd w:val="clear" w:color="auto" w:fill="auto"/>
            <w:noWrap/>
            <w:vAlign w:val="bottom"/>
            <w:hideMark/>
          </w:tcPr>
          <w:p w14:paraId="2C90E25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135 443,18</w:t>
            </w:r>
          </w:p>
        </w:tc>
      </w:tr>
      <w:tr w:rsidR="009D6C98" w:rsidRPr="00E56406" w14:paraId="7BA4159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9B6E72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Lipsk</w:t>
            </w:r>
          </w:p>
        </w:tc>
        <w:tc>
          <w:tcPr>
            <w:tcW w:w="1197" w:type="pct"/>
            <w:tcBorders>
              <w:top w:val="nil"/>
              <w:left w:val="nil"/>
              <w:bottom w:val="single" w:sz="4" w:space="0" w:color="auto"/>
              <w:right w:val="single" w:sz="4" w:space="0" w:color="auto"/>
            </w:tcBorders>
            <w:shd w:val="clear" w:color="auto" w:fill="auto"/>
            <w:noWrap/>
            <w:hideMark/>
          </w:tcPr>
          <w:p w14:paraId="28CDBF9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783C058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240 019,18</w:t>
            </w:r>
          </w:p>
        </w:tc>
        <w:tc>
          <w:tcPr>
            <w:tcW w:w="1087" w:type="pct"/>
            <w:tcBorders>
              <w:top w:val="nil"/>
              <w:left w:val="nil"/>
              <w:bottom w:val="single" w:sz="4" w:space="0" w:color="auto"/>
              <w:right w:val="single" w:sz="4" w:space="0" w:color="auto"/>
            </w:tcBorders>
            <w:shd w:val="clear" w:color="auto" w:fill="auto"/>
            <w:noWrap/>
            <w:vAlign w:val="bottom"/>
            <w:hideMark/>
          </w:tcPr>
          <w:p w14:paraId="31AE028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163 920,00</w:t>
            </w:r>
          </w:p>
        </w:tc>
      </w:tr>
      <w:tr w:rsidR="009D6C98" w:rsidRPr="00E56406" w14:paraId="1F3BCC6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0DE0BB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Łapy</w:t>
            </w:r>
          </w:p>
        </w:tc>
        <w:tc>
          <w:tcPr>
            <w:tcW w:w="1197" w:type="pct"/>
            <w:tcBorders>
              <w:top w:val="nil"/>
              <w:left w:val="nil"/>
              <w:bottom w:val="single" w:sz="4" w:space="0" w:color="auto"/>
              <w:right w:val="single" w:sz="4" w:space="0" w:color="auto"/>
            </w:tcBorders>
            <w:shd w:val="clear" w:color="auto" w:fill="auto"/>
            <w:noWrap/>
            <w:hideMark/>
          </w:tcPr>
          <w:p w14:paraId="41734F4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7FB4552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396 703,34</w:t>
            </w:r>
          </w:p>
        </w:tc>
        <w:tc>
          <w:tcPr>
            <w:tcW w:w="1087" w:type="pct"/>
            <w:tcBorders>
              <w:top w:val="nil"/>
              <w:left w:val="nil"/>
              <w:bottom w:val="single" w:sz="4" w:space="0" w:color="auto"/>
              <w:right w:val="single" w:sz="4" w:space="0" w:color="auto"/>
            </w:tcBorders>
            <w:shd w:val="clear" w:color="auto" w:fill="auto"/>
            <w:noWrap/>
            <w:vAlign w:val="bottom"/>
            <w:hideMark/>
          </w:tcPr>
          <w:p w14:paraId="4434235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488 283,97</w:t>
            </w:r>
          </w:p>
        </w:tc>
      </w:tr>
      <w:tr w:rsidR="009D6C98" w:rsidRPr="00E56406" w14:paraId="7AE1AF9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41CFCB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Łomża (W)</w:t>
            </w:r>
          </w:p>
        </w:tc>
        <w:tc>
          <w:tcPr>
            <w:tcW w:w="1197" w:type="pct"/>
            <w:tcBorders>
              <w:top w:val="nil"/>
              <w:left w:val="nil"/>
              <w:bottom w:val="single" w:sz="4" w:space="0" w:color="auto"/>
              <w:right w:val="single" w:sz="4" w:space="0" w:color="auto"/>
            </w:tcBorders>
            <w:shd w:val="clear" w:color="auto" w:fill="auto"/>
            <w:noWrap/>
            <w:hideMark/>
          </w:tcPr>
          <w:p w14:paraId="77187B0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0135C23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299 981,25</w:t>
            </w:r>
          </w:p>
        </w:tc>
        <w:tc>
          <w:tcPr>
            <w:tcW w:w="1087" w:type="pct"/>
            <w:tcBorders>
              <w:top w:val="nil"/>
              <w:left w:val="nil"/>
              <w:bottom w:val="single" w:sz="4" w:space="0" w:color="auto"/>
              <w:right w:val="single" w:sz="4" w:space="0" w:color="auto"/>
            </w:tcBorders>
            <w:shd w:val="clear" w:color="auto" w:fill="auto"/>
            <w:noWrap/>
            <w:vAlign w:val="bottom"/>
            <w:hideMark/>
          </w:tcPr>
          <w:p w14:paraId="0668BB2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242 121,70</w:t>
            </w:r>
          </w:p>
        </w:tc>
      </w:tr>
      <w:tr w:rsidR="009D6C98" w:rsidRPr="00E56406" w14:paraId="16B779F7"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F1973E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Mały Płock</w:t>
            </w:r>
          </w:p>
        </w:tc>
        <w:tc>
          <w:tcPr>
            <w:tcW w:w="1197" w:type="pct"/>
            <w:tcBorders>
              <w:top w:val="nil"/>
              <w:left w:val="nil"/>
              <w:bottom w:val="single" w:sz="4" w:space="0" w:color="auto"/>
              <w:right w:val="single" w:sz="4" w:space="0" w:color="auto"/>
            </w:tcBorders>
            <w:shd w:val="clear" w:color="auto" w:fill="auto"/>
            <w:noWrap/>
            <w:hideMark/>
          </w:tcPr>
          <w:p w14:paraId="4E8022E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24C71A4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245 220,63</w:t>
            </w:r>
          </w:p>
        </w:tc>
        <w:tc>
          <w:tcPr>
            <w:tcW w:w="1087" w:type="pct"/>
            <w:tcBorders>
              <w:top w:val="nil"/>
              <w:left w:val="nil"/>
              <w:bottom w:val="single" w:sz="4" w:space="0" w:color="auto"/>
              <w:right w:val="single" w:sz="4" w:space="0" w:color="auto"/>
            </w:tcBorders>
            <w:shd w:val="clear" w:color="auto" w:fill="auto"/>
            <w:noWrap/>
            <w:vAlign w:val="bottom"/>
            <w:hideMark/>
          </w:tcPr>
          <w:p w14:paraId="05472DD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140 162,11</w:t>
            </w:r>
          </w:p>
        </w:tc>
      </w:tr>
      <w:tr w:rsidR="009D6C98" w:rsidRPr="00E56406" w14:paraId="6A1CDF8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7CEA3D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Miastkowo</w:t>
            </w:r>
          </w:p>
        </w:tc>
        <w:tc>
          <w:tcPr>
            <w:tcW w:w="1197" w:type="pct"/>
            <w:tcBorders>
              <w:top w:val="nil"/>
              <w:left w:val="nil"/>
              <w:bottom w:val="single" w:sz="4" w:space="0" w:color="auto"/>
              <w:right w:val="single" w:sz="4" w:space="0" w:color="auto"/>
            </w:tcBorders>
            <w:shd w:val="clear" w:color="auto" w:fill="auto"/>
            <w:noWrap/>
            <w:hideMark/>
          </w:tcPr>
          <w:p w14:paraId="6D6F4D6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61F98FB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168 438,40</w:t>
            </w:r>
          </w:p>
        </w:tc>
        <w:tc>
          <w:tcPr>
            <w:tcW w:w="1087" w:type="pct"/>
            <w:tcBorders>
              <w:top w:val="nil"/>
              <w:left w:val="nil"/>
              <w:bottom w:val="single" w:sz="4" w:space="0" w:color="auto"/>
              <w:right w:val="single" w:sz="4" w:space="0" w:color="auto"/>
            </w:tcBorders>
            <w:shd w:val="clear" w:color="auto" w:fill="auto"/>
            <w:noWrap/>
            <w:vAlign w:val="bottom"/>
            <w:hideMark/>
          </w:tcPr>
          <w:p w14:paraId="3E0BEA0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139 523,60</w:t>
            </w:r>
          </w:p>
        </w:tc>
      </w:tr>
      <w:tr w:rsidR="009D6C98" w:rsidRPr="00E56406" w14:paraId="06C7014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0B7727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Michałowo</w:t>
            </w:r>
          </w:p>
        </w:tc>
        <w:tc>
          <w:tcPr>
            <w:tcW w:w="1197" w:type="pct"/>
            <w:tcBorders>
              <w:top w:val="nil"/>
              <w:left w:val="nil"/>
              <w:bottom w:val="single" w:sz="4" w:space="0" w:color="auto"/>
              <w:right w:val="single" w:sz="4" w:space="0" w:color="auto"/>
            </w:tcBorders>
            <w:shd w:val="clear" w:color="auto" w:fill="auto"/>
            <w:noWrap/>
            <w:hideMark/>
          </w:tcPr>
          <w:p w14:paraId="48AE285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C4DD8E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317 081,82</w:t>
            </w:r>
          </w:p>
        </w:tc>
        <w:tc>
          <w:tcPr>
            <w:tcW w:w="1087" w:type="pct"/>
            <w:tcBorders>
              <w:top w:val="nil"/>
              <w:left w:val="nil"/>
              <w:bottom w:val="single" w:sz="4" w:space="0" w:color="auto"/>
              <w:right w:val="single" w:sz="4" w:space="0" w:color="auto"/>
            </w:tcBorders>
            <w:shd w:val="clear" w:color="auto" w:fill="auto"/>
            <w:noWrap/>
            <w:vAlign w:val="bottom"/>
            <w:hideMark/>
          </w:tcPr>
          <w:p w14:paraId="3186430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174 680,21</w:t>
            </w:r>
          </w:p>
        </w:tc>
      </w:tr>
      <w:tr w:rsidR="009D6C98" w:rsidRPr="00E56406" w14:paraId="16C1EE2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B87983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Mielnik</w:t>
            </w:r>
          </w:p>
        </w:tc>
        <w:tc>
          <w:tcPr>
            <w:tcW w:w="1197" w:type="pct"/>
            <w:tcBorders>
              <w:top w:val="nil"/>
              <w:left w:val="nil"/>
              <w:bottom w:val="single" w:sz="4" w:space="0" w:color="auto"/>
              <w:right w:val="single" w:sz="4" w:space="0" w:color="auto"/>
            </w:tcBorders>
            <w:shd w:val="clear" w:color="auto" w:fill="auto"/>
            <w:noWrap/>
            <w:hideMark/>
          </w:tcPr>
          <w:p w14:paraId="3BE7570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3501F08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139 386,61</w:t>
            </w:r>
          </w:p>
        </w:tc>
        <w:tc>
          <w:tcPr>
            <w:tcW w:w="1087" w:type="pct"/>
            <w:tcBorders>
              <w:top w:val="nil"/>
              <w:left w:val="nil"/>
              <w:bottom w:val="single" w:sz="4" w:space="0" w:color="auto"/>
              <w:right w:val="single" w:sz="4" w:space="0" w:color="auto"/>
            </w:tcBorders>
            <w:shd w:val="clear" w:color="auto" w:fill="auto"/>
            <w:noWrap/>
            <w:vAlign w:val="bottom"/>
            <w:hideMark/>
          </w:tcPr>
          <w:p w14:paraId="2675F84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115 088,87</w:t>
            </w:r>
          </w:p>
        </w:tc>
      </w:tr>
      <w:tr w:rsidR="009D6C98" w:rsidRPr="00E56406" w14:paraId="16B55417"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8DABA9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Milejczyce</w:t>
            </w:r>
          </w:p>
        </w:tc>
        <w:tc>
          <w:tcPr>
            <w:tcW w:w="1197" w:type="pct"/>
            <w:tcBorders>
              <w:top w:val="nil"/>
              <w:left w:val="nil"/>
              <w:bottom w:val="single" w:sz="4" w:space="0" w:color="auto"/>
              <w:right w:val="single" w:sz="4" w:space="0" w:color="auto"/>
            </w:tcBorders>
            <w:shd w:val="clear" w:color="auto" w:fill="auto"/>
            <w:noWrap/>
            <w:hideMark/>
          </w:tcPr>
          <w:p w14:paraId="6A34296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6E26829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162 080,45</w:t>
            </w:r>
          </w:p>
        </w:tc>
        <w:tc>
          <w:tcPr>
            <w:tcW w:w="1087" w:type="pct"/>
            <w:tcBorders>
              <w:top w:val="nil"/>
              <w:left w:val="nil"/>
              <w:bottom w:val="single" w:sz="4" w:space="0" w:color="auto"/>
              <w:right w:val="single" w:sz="4" w:space="0" w:color="auto"/>
            </w:tcBorders>
            <w:shd w:val="clear" w:color="auto" w:fill="auto"/>
            <w:noWrap/>
            <w:vAlign w:val="bottom"/>
            <w:hideMark/>
          </w:tcPr>
          <w:p w14:paraId="566C604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94 001,77</w:t>
            </w:r>
          </w:p>
        </w:tc>
      </w:tr>
      <w:tr w:rsidR="009D6C98" w:rsidRPr="00E56406" w14:paraId="4F615F8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567ABD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Mońki</w:t>
            </w:r>
          </w:p>
        </w:tc>
        <w:tc>
          <w:tcPr>
            <w:tcW w:w="1197" w:type="pct"/>
            <w:tcBorders>
              <w:top w:val="nil"/>
              <w:left w:val="nil"/>
              <w:bottom w:val="single" w:sz="4" w:space="0" w:color="auto"/>
              <w:right w:val="single" w:sz="4" w:space="0" w:color="auto"/>
            </w:tcBorders>
            <w:shd w:val="clear" w:color="auto" w:fill="auto"/>
            <w:noWrap/>
            <w:hideMark/>
          </w:tcPr>
          <w:p w14:paraId="3538BE8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5CF3512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337 848,99</w:t>
            </w:r>
          </w:p>
        </w:tc>
        <w:tc>
          <w:tcPr>
            <w:tcW w:w="1087" w:type="pct"/>
            <w:tcBorders>
              <w:top w:val="nil"/>
              <w:left w:val="nil"/>
              <w:bottom w:val="single" w:sz="4" w:space="0" w:color="auto"/>
              <w:right w:val="single" w:sz="4" w:space="0" w:color="auto"/>
            </w:tcBorders>
            <w:shd w:val="clear" w:color="auto" w:fill="auto"/>
            <w:noWrap/>
            <w:vAlign w:val="bottom"/>
            <w:hideMark/>
          </w:tcPr>
          <w:p w14:paraId="7D7D6A3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320 842,82</w:t>
            </w:r>
          </w:p>
        </w:tc>
      </w:tr>
      <w:tr w:rsidR="009D6C98" w:rsidRPr="00E56406" w14:paraId="0CE9F94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59BA9D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Narew</w:t>
            </w:r>
          </w:p>
        </w:tc>
        <w:tc>
          <w:tcPr>
            <w:tcW w:w="1197" w:type="pct"/>
            <w:tcBorders>
              <w:top w:val="nil"/>
              <w:left w:val="nil"/>
              <w:bottom w:val="single" w:sz="4" w:space="0" w:color="auto"/>
              <w:right w:val="single" w:sz="4" w:space="0" w:color="auto"/>
            </w:tcBorders>
            <w:shd w:val="clear" w:color="auto" w:fill="auto"/>
            <w:noWrap/>
            <w:hideMark/>
          </w:tcPr>
          <w:p w14:paraId="1FCEB1F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578DE79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200 039,67</w:t>
            </w:r>
          </w:p>
        </w:tc>
        <w:tc>
          <w:tcPr>
            <w:tcW w:w="1087" w:type="pct"/>
            <w:tcBorders>
              <w:top w:val="nil"/>
              <w:left w:val="nil"/>
              <w:bottom w:val="single" w:sz="4" w:space="0" w:color="auto"/>
              <w:right w:val="single" w:sz="4" w:space="0" w:color="auto"/>
            </w:tcBorders>
            <w:shd w:val="clear" w:color="auto" w:fill="auto"/>
            <w:noWrap/>
            <w:vAlign w:val="bottom"/>
            <w:hideMark/>
          </w:tcPr>
          <w:p w14:paraId="79FA285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131 038,58</w:t>
            </w:r>
          </w:p>
        </w:tc>
      </w:tr>
      <w:tr w:rsidR="009D6C98" w:rsidRPr="00E56406" w14:paraId="78A28F71"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70C0B4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Narewka</w:t>
            </w:r>
          </w:p>
        </w:tc>
        <w:tc>
          <w:tcPr>
            <w:tcW w:w="1197" w:type="pct"/>
            <w:tcBorders>
              <w:top w:val="nil"/>
              <w:left w:val="nil"/>
              <w:bottom w:val="single" w:sz="4" w:space="0" w:color="auto"/>
              <w:right w:val="single" w:sz="4" w:space="0" w:color="auto"/>
            </w:tcBorders>
            <w:shd w:val="clear" w:color="auto" w:fill="auto"/>
            <w:noWrap/>
            <w:hideMark/>
          </w:tcPr>
          <w:p w14:paraId="741891E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hajnowski</w:t>
            </w:r>
          </w:p>
        </w:tc>
        <w:tc>
          <w:tcPr>
            <w:tcW w:w="1087" w:type="pct"/>
            <w:tcBorders>
              <w:top w:val="nil"/>
              <w:left w:val="nil"/>
              <w:bottom w:val="single" w:sz="4" w:space="0" w:color="auto"/>
              <w:right w:val="single" w:sz="4" w:space="0" w:color="auto"/>
            </w:tcBorders>
            <w:shd w:val="clear" w:color="auto" w:fill="auto"/>
            <w:noWrap/>
            <w:vAlign w:val="bottom"/>
            <w:hideMark/>
          </w:tcPr>
          <w:p w14:paraId="6DA159B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249 664,98</w:t>
            </w:r>
          </w:p>
        </w:tc>
        <w:tc>
          <w:tcPr>
            <w:tcW w:w="1087" w:type="pct"/>
            <w:tcBorders>
              <w:top w:val="nil"/>
              <w:left w:val="nil"/>
              <w:bottom w:val="single" w:sz="4" w:space="0" w:color="auto"/>
              <w:right w:val="single" w:sz="4" w:space="0" w:color="auto"/>
            </w:tcBorders>
            <w:shd w:val="clear" w:color="auto" w:fill="auto"/>
            <w:noWrap/>
            <w:vAlign w:val="bottom"/>
            <w:hideMark/>
          </w:tcPr>
          <w:p w14:paraId="61FB16B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116 817,97</w:t>
            </w:r>
          </w:p>
        </w:tc>
      </w:tr>
      <w:tr w:rsidR="009D6C98" w:rsidRPr="00E56406" w14:paraId="001F84C6"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F65C7A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Nowe Piekuty</w:t>
            </w:r>
          </w:p>
        </w:tc>
        <w:tc>
          <w:tcPr>
            <w:tcW w:w="1197" w:type="pct"/>
            <w:tcBorders>
              <w:top w:val="nil"/>
              <w:left w:val="nil"/>
              <w:bottom w:val="single" w:sz="4" w:space="0" w:color="auto"/>
              <w:right w:val="single" w:sz="4" w:space="0" w:color="auto"/>
            </w:tcBorders>
            <w:shd w:val="clear" w:color="auto" w:fill="auto"/>
            <w:noWrap/>
            <w:hideMark/>
          </w:tcPr>
          <w:p w14:paraId="4EA9373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4CB757B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195 135,56</w:t>
            </w:r>
          </w:p>
        </w:tc>
        <w:tc>
          <w:tcPr>
            <w:tcW w:w="1087" w:type="pct"/>
            <w:tcBorders>
              <w:top w:val="nil"/>
              <w:left w:val="nil"/>
              <w:bottom w:val="single" w:sz="4" w:space="0" w:color="auto"/>
              <w:right w:val="single" w:sz="4" w:space="0" w:color="auto"/>
            </w:tcBorders>
            <w:shd w:val="clear" w:color="auto" w:fill="auto"/>
            <w:noWrap/>
            <w:vAlign w:val="bottom"/>
            <w:hideMark/>
          </w:tcPr>
          <w:p w14:paraId="30AD36E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106 325,50</w:t>
            </w:r>
          </w:p>
        </w:tc>
      </w:tr>
      <w:tr w:rsidR="009D6C98" w:rsidRPr="00E56406" w14:paraId="0EC244A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4355F6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Nowinka</w:t>
            </w:r>
          </w:p>
        </w:tc>
        <w:tc>
          <w:tcPr>
            <w:tcW w:w="1197" w:type="pct"/>
            <w:tcBorders>
              <w:top w:val="nil"/>
              <w:left w:val="nil"/>
              <w:bottom w:val="single" w:sz="4" w:space="0" w:color="auto"/>
              <w:right w:val="single" w:sz="4" w:space="0" w:color="auto"/>
            </w:tcBorders>
            <w:shd w:val="clear" w:color="auto" w:fill="auto"/>
            <w:noWrap/>
            <w:hideMark/>
          </w:tcPr>
          <w:p w14:paraId="1E9979C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00E10E6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200 592,06</w:t>
            </w:r>
          </w:p>
        </w:tc>
        <w:tc>
          <w:tcPr>
            <w:tcW w:w="1087" w:type="pct"/>
            <w:tcBorders>
              <w:top w:val="nil"/>
              <w:left w:val="nil"/>
              <w:bottom w:val="single" w:sz="4" w:space="0" w:color="auto"/>
              <w:right w:val="single" w:sz="4" w:space="0" w:color="auto"/>
            </w:tcBorders>
            <w:shd w:val="clear" w:color="auto" w:fill="auto"/>
            <w:noWrap/>
            <w:vAlign w:val="bottom"/>
            <w:hideMark/>
          </w:tcPr>
          <w:p w14:paraId="54F3243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111 966,59</w:t>
            </w:r>
          </w:p>
        </w:tc>
      </w:tr>
      <w:tr w:rsidR="009D6C98" w:rsidRPr="00E56406" w14:paraId="6C680336"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DD08FB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Nowogród</w:t>
            </w:r>
          </w:p>
        </w:tc>
        <w:tc>
          <w:tcPr>
            <w:tcW w:w="1197" w:type="pct"/>
            <w:tcBorders>
              <w:top w:val="nil"/>
              <w:left w:val="nil"/>
              <w:bottom w:val="single" w:sz="4" w:space="0" w:color="auto"/>
              <w:right w:val="single" w:sz="4" w:space="0" w:color="auto"/>
            </w:tcBorders>
            <w:shd w:val="clear" w:color="auto" w:fill="auto"/>
            <w:noWrap/>
            <w:hideMark/>
          </w:tcPr>
          <w:p w14:paraId="5526192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31A0A7F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180 703,41</w:t>
            </w:r>
          </w:p>
        </w:tc>
        <w:tc>
          <w:tcPr>
            <w:tcW w:w="1087" w:type="pct"/>
            <w:tcBorders>
              <w:top w:val="nil"/>
              <w:left w:val="nil"/>
              <w:bottom w:val="single" w:sz="4" w:space="0" w:color="auto"/>
              <w:right w:val="single" w:sz="4" w:space="0" w:color="auto"/>
            </w:tcBorders>
            <w:shd w:val="clear" w:color="auto" w:fill="auto"/>
            <w:noWrap/>
            <w:vAlign w:val="bottom"/>
            <w:hideMark/>
          </w:tcPr>
          <w:p w14:paraId="7B57A52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128 086,97</w:t>
            </w:r>
          </w:p>
        </w:tc>
      </w:tr>
      <w:tr w:rsidR="009D6C98" w:rsidRPr="00E56406" w14:paraId="3B7A7B3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D502F6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Nowy Dwór</w:t>
            </w:r>
          </w:p>
        </w:tc>
        <w:tc>
          <w:tcPr>
            <w:tcW w:w="1197" w:type="pct"/>
            <w:tcBorders>
              <w:top w:val="nil"/>
              <w:left w:val="nil"/>
              <w:bottom w:val="single" w:sz="4" w:space="0" w:color="auto"/>
              <w:right w:val="single" w:sz="4" w:space="0" w:color="auto"/>
            </w:tcBorders>
            <w:shd w:val="clear" w:color="auto" w:fill="auto"/>
            <w:noWrap/>
            <w:hideMark/>
          </w:tcPr>
          <w:p w14:paraId="3837FF0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573E88D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204 453,74</w:t>
            </w:r>
          </w:p>
        </w:tc>
        <w:tc>
          <w:tcPr>
            <w:tcW w:w="1087" w:type="pct"/>
            <w:tcBorders>
              <w:top w:val="nil"/>
              <w:left w:val="nil"/>
              <w:bottom w:val="single" w:sz="4" w:space="0" w:color="auto"/>
              <w:right w:val="single" w:sz="4" w:space="0" w:color="auto"/>
            </w:tcBorders>
            <w:shd w:val="clear" w:color="auto" w:fill="auto"/>
            <w:noWrap/>
            <w:vAlign w:val="bottom"/>
            <w:hideMark/>
          </w:tcPr>
          <w:p w14:paraId="1514011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102 240,51</w:t>
            </w:r>
          </w:p>
        </w:tc>
      </w:tr>
      <w:tr w:rsidR="009D6C98" w:rsidRPr="00E56406" w14:paraId="0EE2D7B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4D4C43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Nurzec-Stacja</w:t>
            </w:r>
          </w:p>
        </w:tc>
        <w:tc>
          <w:tcPr>
            <w:tcW w:w="1197" w:type="pct"/>
            <w:tcBorders>
              <w:top w:val="nil"/>
              <w:left w:val="nil"/>
              <w:bottom w:val="single" w:sz="4" w:space="0" w:color="auto"/>
              <w:right w:val="single" w:sz="4" w:space="0" w:color="auto"/>
            </w:tcBorders>
            <w:shd w:val="clear" w:color="auto" w:fill="auto"/>
            <w:noWrap/>
            <w:hideMark/>
          </w:tcPr>
          <w:p w14:paraId="5179564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36EF3D1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249 683,14</w:t>
            </w:r>
          </w:p>
        </w:tc>
        <w:tc>
          <w:tcPr>
            <w:tcW w:w="1087" w:type="pct"/>
            <w:tcBorders>
              <w:top w:val="nil"/>
              <w:left w:val="nil"/>
              <w:bottom w:val="single" w:sz="4" w:space="0" w:color="auto"/>
              <w:right w:val="single" w:sz="4" w:space="0" w:color="auto"/>
            </w:tcBorders>
            <w:shd w:val="clear" w:color="auto" w:fill="auto"/>
            <w:noWrap/>
            <w:vAlign w:val="bottom"/>
            <w:hideMark/>
          </w:tcPr>
          <w:p w14:paraId="130701F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118 684,79</w:t>
            </w:r>
          </w:p>
        </w:tc>
      </w:tr>
      <w:tr w:rsidR="009D6C98" w:rsidRPr="00E56406" w14:paraId="5F15AC9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F7B4F4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Orla</w:t>
            </w:r>
          </w:p>
        </w:tc>
        <w:tc>
          <w:tcPr>
            <w:tcW w:w="1197" w:type="pct"/>
            <w:tcBorders>
              <w:top w:val="nil"/>
              <w:left w:val="nil"/>
              <w:bottom w:val="single" w:sz="4" w:space="0" w:color="auto"/>
              <w:right w:val="single" w:sz="4" w:space="0" w:color="auto"/>
            </w:tcBorders>
            <w:shd w:val="clear" w:color="auto" w:fill="auto"/>
            <w:noWrap/>
            <w:hideMark/>
          </w:tcPr>
          <w:p w14:paraId="289DBDB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4684350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132 006,99</w:t>
            </w:r>
          </w:p>
        </w:tc>
        <w:tc>
          <w:tcPr>
            <w:tcW w:w="1087" w:type="pct"/>
            <w:tcBorders>
              <w:top w:val="nil"/>
              <w:left w:val="nil"/>
              <w:bottom w:val="single" w:sz="4" w:space="0" w:color="auto"/>
              <w:right w:val="single" w:sz="4" w:space="0" w:color="auto"/>
            </w:tcBorders>
            <w:shd w:val="clear" w:color="auto" w:fill="auto"/>
            <w:noWrap/>
            <w:vAlign w:val="bottom"/>
            <w:hideMark/>
          </w:tcPr>
          <w:p w14:paraId="58F2363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148 862,24</w:t>
            </w:r>
          </w:p>
        </w:tc>
      </w:tr>
      <w:tr w:rsidR="009D6C98" w:rsidRPr="00E56406" w14:paraId="538F4F9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D8A54C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Perlejewo</w:t>
            </w:r>
          </w:p>
        </w:tc>
        <w:tc>
          <w:tcPr>
            <w:tcW w:w="1197" w:type="pct"/>
            <w:tcBorders>
              <w:top w:val="nil"/>
              <w:left w:val="nil"/>
              <w:bottom w:val="single" w:sz="4" w:space="0" w:color="auto"/>
              <w:right w:val="single" w:sz="4" w:space="0" w:color="auto"/>
            </w:tcBorders>
            <w:shd w:val="clear" w:color="auto" w:fill="auto"/>
            <w:noWrap/>
            <w:hideMark/>
          </w:tcPr>
          <w:p w14:paraId="1EE313D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087BCAE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180 406,87</w:t>
            </w:r>
          </w:p>
        </w:tc>
        <w:tc>
          <w:tcPr>
            <w:tcW w:w="1087" w:type="pct"/>
            <w:tcBorders>
              <w:top w:val="nil"/>
              <w:left w:val="nil"/>
              <w:bottom w:val="single" w:sz="4" w:space="0" w:color="auto"/>
              <w:right w:val="single" w:sz="4" w:space="0" w:color="auto"/>
            </w:tcBorders>
            <w:shd w:val="clear" w:color="auto" w:fill="auto"/>
            <w:noWrap/>
            <w:vAlign w:val="bottom"/>
            <w:hideMark/>
          </w:tcPr>
          <w:p w14:paraId="102416E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101 556,63</w:t>
            </w:r>
          </w:p>
        </w:tc>
      </w:tr>
      <w:tr w:rsidR="009D6C98" w:rsidRPr="00E56406" w14:paraId="6C2F6A3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BEE46F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Piątnica</w:t>
            </w:r>
          </w:p>
        </w:tc>
        <w:tc>
          <w:tcPr>
            <w:tcW w:w="1197" w:type="pct"/>
            <w:tcBorders>
              <w:top w:val="nil"/>
              <w:left w:val="nil"/>
              <w:bottom w:val="single" w:sz="4" w:space="0" w:color="auto"/>
              <w:right w:val="single" w:sz="4" w:space="0" w:color="auto"/>
            </w:tcBorders>
            <w:shd w:val="clear" w:color="auto" w:fill="auto"/>
            <w:noWrap/>
            <w:hideMark/>
          </w:tcPr>
          <w:p w14:paraId="3F25B1D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2424A12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303 700,28</w:t>
            </w:r>
          </w:p>
        </w:tc>
        <w:tc>
          <w:tcPr>
            <w:tcW w:w="1087" w:type="pct"/>
            <w:tcBorders>
              <w:top w:val="nil"/>
              <w:left w:val="nil"/>
              <w:bottom w:val="single" w:sz="4" w:space="0" w:color="auto"/>
              <w:right w:val="single" w:sz="4" w:space="0" w:color="auto"/>
            </w:tcBorders>
            <w:shd w:val="clear" w:color="auto" w:fill="auto"/>
            <w:noWrap/>
            <w:vAlign w:val="bottom"/>
            <w:hideMark/>
          </w:tcPr>
          <w:p w14:paraId="2C48494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220 991,17</w:t>
            </w:r>
          </w:p>
        </w:tc>
      </w:tr>
      <w:tr w:rsidR="009D6C98" w:rsidRPr="00E56406" w14:paraId="65A02F2B"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20B199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Płaska</w:t>
            </w:r>
          </w:p>
        </w:tc>
        <w:tc>
          <w:tcPr>
            <w:tcW w:w="1197" w:type="pct"/>
            <w:tcBorders>
              <w:top w:val="nil"/>
              <w:left w:val="nil"/>
              <w:bottom w:val="single" w:sz="4" w:space="0" w:color="auto"/>
              <w:right w:val="single" w:sz="4" w:space="0" w:color="auto"/>
            </w:tcBorders>
            <w:shd w:val="clear" w:color="auto" w:fill="auto"/>
            <w:noWrap/>
            <w:hideMark/>
          </w:tcPr>
          <w:p w14:paraId="2EE0E27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045C9C6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267 684,42</w:t>
            </w:r>
          </w:p>
        </w:tc>
        <w:tc>
          <w:tcPr>
            <w:tcW w:w="1087" w:type="pct"/>
            <w:tcBorders>
              <w:top w:val="nil"/>
              <w:left w:val="nil"/>
              <w:bottom w:val="single" w:sz="4" w:space="0" w:color="auto"/>
              <w:right w:val="single" w:sz="4" w:space="0" w:color="auto"/>
            </w:tcBorders>
            <w:shd w:val="clear" w:color="auto" w:fill="auto"/>
            <w:noWrap/>
            <w:vAlign w:val="bottom"/>
            <w:hideMark/>
          </w:tcPr>
          <w:p w14:paraId="6FE9564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135 752,59</w:t>
            </w:r>
          </w:p>
        </w:tc>
      </w:tr>
      <w:tr w:rsidR="009D6C98" w:rsidRPr="00E56406" w14:paraId="08BE5AF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D3E802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Poświętne</w:t>
            </w:r>
          </w:p>
        </w:tc>
        <w:tc>
          <w:tcPr>
            <w:tcW w:w="1197" w:type="pct"/>
            <w:tcBorders>
              <w:top w:val="nil"/>
              <w:left w:val="nil"/>
              <w:bottom w:val="single" w:sz="4" w:space="0" w:color="auto"/>
              <w:right w:val="single" w:sz="4" w:space="0" w:color="auto"/>
            </w:tcBorders>
            <w:shd w:val="clear" w:color="auto" w:fill="auto"/>
            <w:noWrap/>
            <w:hideMark/>
          </w:tcPr>
          <w:p w14:paraId="71C82C5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2759F85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147 819,20</w:t>
            </w:r>
          </w:p>
        </w:tc>
        <w:tc>
          <w:tcPr>
            <w:tcW w:w="1087" w:type="pct"/>
            <w:tcBorders>
              <w:top w:val="nil"/>
              <w:left w:val="nil"/>
              <w:bottom w:val="single" w:sz="4" w:space="0" w:color="auto"/>
              <w:right w:val="single" w:sz="4" w:space="0" w:color="auto"/>
            </w:tcBorders>
            <w:shd w:val="clear" w:color="auto" w:fill="auto"/>
            <w:noWrap/>
            <w:vAlign w:val="bottom"/>
            <w:hideMark/>
          </w:tcPr>
          <w:p w14:paraId="41983F3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158 245,83</w:t>
            </w:r>
          </w:p>
        </w:tc>
      </w:tr>
      <w:tr w:rsidR="009D6C98" w:rsidRPr="00E56406" w14:paraId="1EACB26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9B4160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Przerośl</w:t>
            </w:r>
          </w:p>
        </w:tc>
        <w:tc>
          <w:tcPr>
            <w:tcW w:w="1197" w:type="pct"/>
            <w:tcBorders>
              <w:top w:val="nil"/>
              <w:left w:val="nil"/>
              <w:bottom w:val="single" w:sz="4" w:space="0" w:color="auto"/>
              <w:right w:val="single" w:sz="4" w:space="0" w:color="auto"/>
            </w:tcBorders>
            <w:shd w:val="clear" w:color="auto" w:fill="auto"/>
            <w:noWrap/>
            <w:hideMark/>
          </w:tcPr>
          <w:p w14:paraId="5CBE377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086325D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146 984,61</w:t>
            </w:r>
          </w:p>
        </w:tc>
        <w:tc>
          <w:tcPr>
            <w:tcW w:w="1087" w:type="pct"/>
            <w:tcBorders>
              <w:top w:val="nil"/>
              <w:left w:val="nil"/>
              <w:bottom w:val="single" w:sz="4" w:space="0" w:color="auto"/>
              <w:right w:val="single" w:sz="4" w:space="0" w:color="auto"/>
            </w:tcBorders>
            <w:shd w:val="clear" w:color="auto" w:fill="auto"/>
            <w:noWrap/>
            <w:vAlign w:val="bottom"/>
            <w:hideMark/>
          </w:tcPr>
          <w:p w14:paraId="5EAFF09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112 428,56</w:t>
            </w:r>
          </w:p>
        </w:tc>
      </w:tr>
      <w:tr w:rsidR="009D6C98" w:rsidRPr="00E56406" w14:paraId="48B153A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2442CE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Przytuły</w:t>
            </w:r>
          </w:p>
        </w:tc>
        <w:tc>
          <w:tcPr>
            <w:tcW w:w="1197" w:type="pct"/>
            <w:tcBorders>
              <w:top w:val="nil"/>
              <w:left w:val="nil"/>
              <w:bottom w:val="single" w:sz="4" w:space="0" w:color="auto"/>
              <w:right w:val="single" w:sz="4" w:space="0" w:color="auto"/>
            </w:tcBorders>
            <w:shd w:val="clear" w:color="auto" w:fill="auto"/>
            <w:noWrap/>
            <w:hideMark/>
          </w:tcPr>
          <w:p w14:paraId="6C7C32F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73BC611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223 711,65</w:t>
            </w:r>
          </w:p>
        </w:tc>
        <w:tc>
          <w:tcPr>
            <w:tcW w:w="1087" w:type="pct"/>
            <w:tcBorders>
              <w:top w:val="nil"/>
              <w:left w:val="nil"/>
              <w:bottom w:val="single" w:sz="4" w:space="0" w:color="auto"/>
              <w:right w:val="single" w:sz="4" w:space="0" w:color="auto"/>
            </w:tcBorders>
            <w:shd w:val="clear" w:color="auto" w:fill="auto"/>
            <w:noWrap/>
            <w:vAlign w:val="bottom"/>
            <w:hideMark/>
          </w:tcPr>
          <w:p w14:paraId="1CE6435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69 779,47</w:t>
            </w:r>
          </w:p>
        </w:tc>
      </w:tr>
      <w:tr w:rsidR="009D6C98" w:rsidRPr="00E56406" w14:paraId="2A6ED0B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5E3876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Puńsk</w:t>
            </w:r>
          </w:p>
        </w:tc>
        <w:tc>
          <w:tcPr>
            <w:tcW w:w="1197" w:type="pct"/>
            <w:tcBorders>
              <w:top w:val="nil"/>
              <w:left w:val="nil"/>
              <w:bottom w:val="single" w:sz="4" w:space="0" w:color="auto"/>
              <w:right w:val="single" w:sz="4" w:space="0" w:color="auto"/>
            </w:tcBorders>
            <w:shd w:val="clear" w:color="auto" w:fill="auto"/>
            <w:noWrap/>
            <w:hideMark/>
          </w:tcPr>
          <w:p w14:paraId="14CE9B2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sejneński</w:t>
            </w:r>
          </w:p>
        </w:tc>
        <w:tc>
          <w:tcPr>
            <w:tcW w:w="1087" w:type="pct"/>
            <w:tcBorders>
              <w:top w:val="nil"/>
              <w:left w:val="nil"/>
              <w:bottom w:val="single" w:sz="4" w:space="0" w:color="auto"/>
              <w:right w:val="single" w:sz="4" w:space="0" w:color="auto"/>
            </w:tcBorders>
            <w:shd w:val="clear" w:color="auto" w:fill="auto"/>
            <w:noWrap/>
            <w:vAlign w:val="bottom"/>
            <w:hideMark/>
          </w:tcPr>
          <w:p w14:paraId="55227F4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167 516,56</w:t>
            </w:r>
          </w:p>
        </w:tc>
        <w:tc>
          <w:tcPr>
            <w:tcW w:w="1087" w:type="pct"/>
            <w:tcBorders>
              <w:top w:val="nil"/>
              <w:left w:val="nil"/>
              <w:bottom w:val="single" w:sz="4" w:space="0" w:color="auto"/>
              <w:right w:val="single" w:sz="4" w:space="0" w:color="auto"/>
            </w:tcBorders>
            <w:shd w:val="clear" w:color="auto" w:fill="auto"/>
            <w:noWrap/>
            <w:vAlign w:val="bottom"/>
            <w:hideMark/>
          </w:tcPr>
          <w:p w14:paraId="277ABB4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124 960,98</w:t>
            </w:r>
          </w:p>
        </w:tc>
      </w:tr>
      <w:tr w:rsidR="009D6C98" w:rsidRPr="00E56406" w14:paraId="6B209EA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84981A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Raczki</w:t>
            </w:r>
          </w:p>
        </w:tc>
        <w:tc>
          <w:tcPr>
            <w:tcW w:w="1197" w:type="pct"/>
            <w:tcBorders>
              <w:top w:val="nil"/>
              <w:left w:val="nil"/>
              <w:bottom w:val="single" w:sz="4" w:space="0" w:color="auto"/>
              <w:right w:val="single" w:sz="4" w:space="0" w:color="auto"/>
            </w:tcBorders>
            <w:shd w:val="clear" w:color="auto" w:fill="auto"/>
            <w:noWrap/>
            <w:hideMark/>
          </w:tcPr>
          <w:p w14:paraId="36FFAB9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0966F4D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229 686,48</w:t>
            </w:r>
          </w:p>
        </w:tc>
        <w:tc>
          <w:tcPr>
            <w:tcW w:w="1087" w:type="pct"/>
            <w:tcBorders>
              <w:top w:val="nil"/>
              <w:left w:val="nil"/>
              <w:bottom w:val="single" w:sz="4" w:space="0" w:color="auto"/>
              <w:right w:val="single" w:sz="4" w:space="0" w:color="auto"/>
            </w:tcBorders>
            <w:shd w:val="clear" w:color="auto" w:fill="auto"/>
            <w:noWrap/>
            <w:vAlign w:val="bottom"/>
            <w:hideMark/>
          </w:tcPr>
          <w:p w14:paraId="4DCA761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134 801,02</w:t>
            </w:r>
          </w:p>
        </w:tc>
      </w:tr>
      <w:tr w:rsidR="009D6C98" w:rsidRPr="00E56406" w14:paraId="2E3E199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5D7442A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Radziłów</w:t>
            </w:r>
          </w:p>
        </w:tc>
        <w:tc>
          <w:tcPr>
            <w:tcW w:w="1197" w:type="pct"/>
            <w:tcBorders>
              <w:top w:val="nil"/>
              <w:left w:val="nil"/>
              <w:bottom w:val="single" w:sz="4" w:space="0" w:color="auto"/>
              <w:right w:val="single" w:sz="4" w:space="0" w:color="auto"/>
            </w:tcBorders>
            <w:shd w:val="clear" w:color="auto" w:fill="auto"/>
            <w:noWrap/>
            <w:hideMark/>
          </w:tcPr>
          <w:p w14:paraId="502D67B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78F0C50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283 785,32</w:t>
            </w:r>
          </w:p>
        </w:tc>
        <w:tc>
          <w:tcPr>
            <w:tcW w:w="1087" w:type="pct"/>
            <w:tcBorders>
              <w:top w:val="nil"/>
              <w:left w:val="nil"/>
              <w:bottom w:val="single" w:sz="4" w:space="0" w:color="auto"/>
              <w:right w:val="single" w:sz="4" w:space="0" w:color="auto"/>
            </w:tcBorders>
            <w:shd w:val="clear" w:color="auto" w:fill="auto"/>
            <w:noWrap/>
            <w:vAlign w:val="bottom"/>
            <w:hideMark/>
          </w:tcPr>
          <w:p w14:paraId="47C3667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200 767,92</w:t>
            </w:r>
          </w:p>
        </w:tc>
      </w:tr>
      <w:tr w:rsidR="009D6C98" w:rsidRPr="00E56406" w14:paraId="3CEDB08F"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F68076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Rajgród</w:t>
            </w:r>
          </w:p>
        </w:tc>
        <w:tc>
          <w:tcPr>
            <w:tcW w:w="1197" w:type="pct"/>
            <w:tcBorders>
              <w:top w:val="nil"/>
              <w:left w:val="nil"/>
              <w:bottom w:val="single" w:sz="4" w:space="0" w:color="auto"/>
              <w:right w:val="single" w:sz="4" w:space="0" w:color="auto"/>
            </w:tcBorders>
            <w:shd w:val="clear" w:color="auto" w:fill="auto"/>
            <w:noWrap/>
            <w:hideMark/>
          </w:tcPr>
          <w:p w14:paraId="74F0BC9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527F628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219 249,85</w:t>
            </w:r>
          </w:p>
        </w:tc>
        <w:tc>
          <w:tcPr>
            <w:tcW w:w="1087" w:type="pct"/>
            <w:tcBorders>
              <w:top w:val="nil"/>
              <w:left w:val="nil"/>
              <w:bottom w:val="single" w:sz="4" w:space="0" w:color="auto"/>
              <w:right w:val="single" w:sz="4" w:space="0" w:color="auto"/>
            </w:tcBorders>
            <w:shd w:val="clear" w:color="auto" w:fill="auto"/>
            <w:noWrap/>
            <w:vAlign w:val="bottom"/>
            <w:hideMark/>
          </w:tcPr>
          <w:p w14:paraId="7BF3396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184 561,32</w:t>
            </w:r>
          </w:p>
        </w:tc>
      </w:tr>
      <w:tr w:rsidR="009D6C98" w:rsidRPr="00E56406" w14:paraId="664978D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59B21E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Rudka</w:t>
            </w:r>
          </w:p>
        </w:tc>
        <w:tc>
          <w:tcPr>
            <w:tcW w:w="1197" w:type="pct"/>
            <w:tcBorders>
              <w:top w:val="nil"/>
              <w:left w:val="nil"/>
              <w:bottom w:val="single" w:sz="4" w:space="0" w:color="auto"/>
              <w:right w:val="single" w:sz="4" w:space="0" w:color="auto"/>
            </w:tcBorders>
            <w:shd w:val="clear" w:color="auto" w:fill="auto"/>
            <w:noWrap/>
            <w:hideMark/>
          </w:tcPr>
          <w:p w14:paraId="2B70B7D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1E48B46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160 453,82</w:t>
            </w:r>
          </w:p>
        </w:tc>
        <w:tc>
          <w:tcPr>
            <w:tcW w:w="1087" w:type="pct"/>
            <w:tcBorders>
              <w:top w:val="nil"/>
              <w:left w:val="nil"/>
              <w:bottom w:val="single" w:sz="4" w:space="0" w:color="auto"/>
              <w:right w:val="single" w:sz="4" w:space="0" w:color="auto"/>
            </w:tcBorders>
            <w:shd w:val="clear" w:color="auto" w:fill="auto"/>
            <w:noWrap/>
            <w:vAlign w:val="bottom"/>
            <w:hideMark/>
          </w:tcPr>
          <w:p w14:paraId="663DA75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110 154,50</w:t>
            </w:r>
          </w:p>
        </w:tc>
      </w:tr>
      <w:tr w:rsidR="009D6C98" w:rsidRPr="00E56406" w14:paraId="6481477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BAEA25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Rutka-Tartak</w:t>
            </w:r>
          </w:p>
        </w:tc>
        <w:tc>
          <w:tcPr>
            <w:tcW w:w="1197" w:type="pct"/>
            <w:tcBorders>
              <w:top w:val="nil"/>
              <w:left w:val="nil"/>
              <w:bottom w:val="single" w:sz="4" w:space="0" w:color="auto"/>
              <w:right w:val="single" w:sz="4" w:space="0" w:color="auto"/>
            </w:tcBorders>
            <w:shd w:val="clear" w:color="auto" w:fill="auto"/>
            <w:noWrap/>
            <w:hideMark/>
          </w:tcPr>
          <w:p w14:paraId="65966DD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5701D96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172 954,65</w:t>
            </w:r>
          </w:p>
        </w:tc>
        <w:tc>
          <w:tcPr>
            <w:tcW w:w="1087" w:type="pct"/>
            <w:tcBorders>
              <w:top w:val="nil"/>
              <w:left w:val="nil"/>
              <w:bottom w:val="single" w:sz="4" w:space="0" w:color="auto"/>
              <w:right w:val="single" w:sz="4" w:space="0" w:color="auto"/>
            </w:tcBorders>
            <w:shd w:val="clear" w:color="auto" w:fill="auto"/>
            <w:noWrap/>
            <w:vAlign w:val="bottom"/>
            <w:hideMark/>
          </w:tcPr>
          <w:p w14:paraId="7CFF2D7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119 266,16</w:t>
            </w:r>
          </w:p>
        </w:tc>
      </w:tr>
      <w:tr w:rsidR="009D6C98" w:rsidRPr="00E56406" w14:paraId="28355A7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EA0650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Rutki</w:t>
            </w:r>
          </w:p>
        </w:tc>
        <w:tc>
          <w:tcPr>
            <w:tcW w:w="1197" w:type="pct"/>
            <w:tcBorders>
              <w:top w:val="nil"/>
              <w:left w:val="nil"/>
              <w:bottom w:val="single" w:sz="4" w:space="0" w:color="auto"/>
              <w:right w:val="single" w:sz="4" w:space="0" w:color="auto"/>
            </w:tcBorders>
            <w:shd w:val="clear" w:color="auto" w:fill="auto"/>
            <w:noWrap/>
            <w:hideMark/>
          </w:tcPr>
          <w:p w14:paraId="7A5140A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zambrowski</w:t>
            </w:r>
          </w:p>
        </w:tc>
        <w:tc>
          <w:tcPr>
            <w:tcW w:w="1087" w:type="pct"/>
            <w:tcBorders>
              <w:top w:val="nil"/>
              <w:left w:val="nil"/>
              <w:bottom w:val="single" w:sz="4" w:space="0" w:color="auto"/>
              <w:right w:val="single" w:sz="4" w:space="0" w:color="auto"/>
            </w:tcBorders>
            <w:shd w:val="clear" w:color="auto" w:fill="auto"/>
            <w:noWrap/>
            <w:vAlign w:val="bottom"/>
            <w:hideMark/>
          </w:tcPr>
          <w:p w14:paraId="1A29D82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241 306,61</w:t>
            </w:r>
          </w:p>
        </w:tc>
        <w:tc>
          <w:tcPr>
            <w:tcW w:w="1087" w:type="pct"/>
            <w:tcBorders>
              <w:top w:val="nil"/>
              <w:left w:val="nil"/>
              <w:bottom w:val="single" w:sz="4" w:space="0" w:color="auto"/>
              <w:right w:val="single" w:sz="4" w:space="0" w:color="auto"/>
            </w:tcBorders>
            <w:shd w:val="clear" w:color="auto" w:fill="auto"/>
            <w:noWrap/>
            <w:vAlign w:val="bottom"/>
            <w:hideMark/>
          </w:tcPr>
          <w:p w14:paraId="525529E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147 466,27</w:t>
            </w:r>
          </w:p>
        </w:tc>
      </w:tr>
      <w:tr w:rsidR="009D6C98" w:rsidRPr="00E56406" w14:paraId="505E127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1DB342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Sejny (M)</w:t>
            </w:r>
          </w:p>
        </w:tc>
        <w:tc>
          <w:tcPr>
            <w:tcW w:w="1197" w:type="pct"/>
            <w:tcBorders>
              <w:top w:val="nil"/>
              <w:left w:val="nil"/>
              <w:bottom w:val="single" w:sz="4" w:space="0" w:color="auto"/>
              <w:right w:val="single" w:sz="4" w:space="0" w:color="auto"/>
            </w:tcBorders>
            <w:shd w:val="clear" w:color="auto" w:fill="auto"/>
            <w:noWrap/>
            <w:hideMark/>
          </w:tcPr>
          <w:p w14:paraId="716CC89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sejneński</w:t>
            </w:r>
          </w:p>
        </w:tc>
        <w:tc>
          <w:tcPr>
            <w:tcW w:w="1087" w:type="pct"/>
            <w:tcBorders>
              <w:top w:val="nil"/>
              <w:left w:val="nil"/>
              <w:bottom w:val="single" w:sz="4" w:space="0" w:color="auto"/>
              <w:right w:val="single" w:sz="4" w:space="0" w:color="auto"/>
            </w:tcBorders>
            <w:shd w:val="clear" w:color="auto" w:fill="auto"/>
            <w:noWrap/>
            <w:vAlign w:val="bottom"/>
            <w:hideMark/>
          </w:tcPr>
          <w:p w14:paraId="7557E51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141 327,71</w:t>
            </w:r>
          </w:p>
        </w:tc>
        <w:tc>
          <w:tcPr>
            <w:tcW w:w="1087" w:type="pct"/>
            <w:tcBorders>
              <w:top w:val="nil"/>
              <w:left w:val="nil"/>
              <w:bottom w:val="single" w:sz="4" w:space="0" w:color="auto"/>
              <w:right w:val="single" w:sz="4" w:space="0" w:color="auto"/>
            </w:tcBorders>
            <w:shd w:val="clear" w:color="auto" w:fill="auto"/>
            <w:noWrap/>
            <w:vAlign w:val="bottom"/>
            <w:hideMark/>
          </w:tcPr>
          <w:p w14:paraId="47FD02B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148 030,96</w:t>
            </w:r>
          </w:p>
        </w:tc>
      </w:tr>
      <w:tr w:rsidR="009D6C98" w:rsidRPr="00E56406" w14:paraId="470B780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3F6BC2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Sejny (W)</w:t>
            </w:r>
          </w:p>
        </w:tc>
        <w:tc>
          <w:tcPr>
            <w:tcW w:w="1197" w:type="pct"/>
            <w:tcBorders>
              <w:top w:val="nil"/>
              <w:left w:val="nil"/>
              <w:bottom w:val="single" w:sz="4" w:space="0" w:color="auto"/>
              <w:right w:val="single" w:sz="4" w:space="0" w:color="auto"/>
            </w:tcBorders>
            <w:shd w:val="clear" w:color="auto" w:fill="auto"/>
            <w:noWrap/>
            <w:hideMark/>
          </w:tcPr>
          <w:p w14:paraId="6B9D70C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sejneński</w:t>
            </w:r>
          </w:p>
        </w:tc>
        <w:tc>
          <w:tcPr>
            <w:tcW w:w="1087" w:type="pct"/>
            <w:tcBorders>
              <w:top w:val="nil"/>
              <w:left w:val="nil"/>
              <w:bottom w:val="single" w:sz="4" w:space="0" w:color="auto"/>
              <w:right w:val="single" w:sz="4" w:space="0" w:color="auto"/>
            </w:tcBorders>
            <w:shd w:val="clear" w:color="auto" w:fill="auto"/>
            <w:noWrap/>
            <w:vAlign w:val="bottom"/>
            <w:hideMark/>
          </w:tcPr>
          <w:p w14:paraId="11FD1E4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213 827,39</w:t>
            </w:r>
          </w:p>
        </w:tc>
        <w:tc>
          <w:tcPr>
            <w:tcW w:w="1087" w:type="pct"/>
            <w:tcBorders>
              <w:top w:val="nil"/>
              <w:left w:val="nil"/>
              <w:bottom w:val="single" w:sz="4" w:space="0" w:color="auto"/>
              <w:right w:val="single" w:sz="4" w:space="0" w:color="auto"/>
            </w:tcBorders>
            <w:shd w:val="clear" w:color="auto" w:fill="auto"/>
            <w:noWrap/>
            <w:vAlign w:val="bottom"/>
            <w:hideMark/>
          </w:tcPr>
          <w:p w14:paraId="367F271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141 150,37</w:t>
            </w:r>
          </w:p>
        </w:tc>
      </w:tr>
      <w:tr w:rsidR="009D6C98" w:rsidRPr="00E56406" w14:paraId="60E2E64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E08296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Sidra</w:t>
            </w:r>
          </w:p>
        </w:tc>
        <w:tc>
          <w:tcPr>
            <w:tcW w:w="1197" w:type="pct"/>
            <w:tcBorders>
              <w:top w:val="nil"/>
              <w:left w:val="nil"/>
              <w:bottom w:val="single" w:sz="4" w:space="0" w:color="auto"/>
              <w:right w:val="single" w:sz="4" w:space="0" w:color="auto"/>
            </w:tcBorders>
            <w:shd w:val="clear" w:color="auto" w:fill="auto"/>
            <w:noWrap/>
            <w:hideMark/>
          </w:tcPr>
          <w:p w14:paraId="3A2999E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690311C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199 796,30</w:t>
            </w:r>
          </w:p>
        </w:tc>
        <w:tc>
          <w:tcPr>
            <w:tcW w:w="1087" w:type="pct"/>
            <w:tcBorders>
              <w:top w:val="nil"/>
              <w:left w:val="nil"/>
              <w:bottom w:val="single" w:sz="4" w:space="0" w:color="auto"/>
              <w:right w:val="single" w:sz="4" w:space="0" w:color="auto"/>
            </w:tcBorders>
            <w:shd w:val="clear" w:color="auto" w:fill="auto"/>
            <w:noWrap/>
            <w:vAlign w:val="bottom"/>
            <w:hideMark/>
          </w:tcPr>
          <w:p w14:paraId="35CEFD9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136 625,23</w:t>
            </w:r>
          </w:p>
        </w:tc>
      </w:tr>
      <w:tr w:rsidR="009D6C98" w:rsidRPr="00E56406" w14:paraId="03A6E14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BA88DD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Siemiatycze (M)</w:t>
            </w:r>
          </w:p>
        </w:tc>
        <w:tc>
          <w:tcPr>
            <w:tcW w:w="1197" w:type="pct"/>
            <w:tcBorders>
              <w:top w:val="nil"/>
              <w:left w:val="nil"/>
              <w:bottom w:val="single" w:sz="4" w:space="0" w:color="auto"/>
              <w:right w:val="single" w:sz="4" w:space="0" w:color="auto"/>
            </w:tcBorders>
            <w:shd w:val="clear" w:color="auto" w:fill="auto"/>
            <w:noWrap/>
            <w:hideMark/>
          </w:tcPr>
          <w:p w14:paraId="0C55D0A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5332CAB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233 306,15</w:t>
            </w:r>
          </w:p>
        </w:tc>
        <w:tc>
          <w:tcPr>
            <w:tcW w:w="1087" w:type="pct"/>
            <w:tcBorders>
              <w:top w:val="nil"/>
              <w:left w:val="nil"/>
              <w:bottom w:val="single" w:sz="4" w:space="0" w:color="auto"/>
              <w:right w:val="single" w:sz="4" w:space="0" w:color="auto"/>
            </w:tcBorders>
            <w:shd w:val="clear" w:color="auto" w:fill="auto"/>
            <w:noWrap/>
            <w:vAlign w:val="bottom"/>
            <w:hideMark/>
          </w:tcPr>
          <w:p w14:paraId="5E97E13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314 341,82</w:t>
            </w:r>
          </w:p>
        </w:tc>
      </w:tr>
      <w:tr w:rsidR="009D6C98" w:rsidRPr="00E56406" w14:paraId="5684CD7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41E324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Siemiatycze (W)</w:t>
            </w:r>
          </w:p>
        </w:tc>
        <w:tc>
          <w:tcPr>
            <w:tcW w:w="1197" w:type="pct"/>
            <w:tcBorders>
              <w:top w:val="nil"/>
              <w:left w:val="nil"/>
              <w:bottom w:val="single" w:sz="4" w:space="0" w:color="auto"/>
              <w:right w:val="single" w:sz="4" w:space="0" w:color="auto"/>
            </w:tcBorders>
            <w:shd w:val="clear" w:color="auto" w:fill="auto"/>
            <w:noWrap/>
            <w:hideMark/>
          </w:tcPr>
          <w:p w14:paraId="057B5F1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siemiatycki</w:t>
            </w:r>
          </w:p>
        </w:tc>
        <w:tc>
          <w:tcPr>
            <w:tcW w:w="1087" w:type="pct"/>
            <w:tcBorders>
              <w:top w:val="nil"/>
              <w:left w:val="nil"/>
              <w:bottom w:val="single" w:sz="4" w:space="0" w:color="auto"/>
              <w:right w:val="single" w:sz="4" w:space="0" w:color="auto"/>
            </w:tcBorders>
            <w:shd w:val="clear" w:color="auto" w:fill="auto"/>
            <w:noWrap/>
            <w:vAlign w:val="bottom"/>
            <w:hideMark/>
          </w:tcPr>
          <w:p w14:paraId="68FC40B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242 815,12</w:t>
            </w:r>
          </w:p>
        </w:tc>
        <w:tc>
          <w:tcPr>
            <w:tcW w:w="1087" w:type="pct"/>
            <w:tcBorders>
              <w:top w:val="nil"/>
              <w:left w:val="nil"/>
              <w:bottom w:val="single" w:sz="4" w:space="0" w:color="auto"/>
              <w:right w:val="single" w:sz="4" w:space="0" w:color="auto"/>
            </w:tcBorders>
            <w:shd w:val="clear" w:color="auto" w:fill="auto"/>
            <w:noWrap/>
            <w:vAlign w:val="bottom"/>
            <w:hideMark/>
          </w:tcPr>
          <w:p w14:paraId="304B5EE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155 069,19</w:t>
            </w:r>
          </w:p>
        </w:tc>
      </w:tr>
      <w:tr w:rsidR="009D6C98" w:rsidRPr="00E56406" w14:paraId="7C4CF501"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FCBFAC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Sokoły</w:t>
            </w:r>
          </w:p>
        </w:tc>
        <w:tc>
          <w:tcPr>
            <w:tcW w:w="1197" w:type="pct"/>
            <w:tcBorders>
              <w:top w:val="nil"/>
              <w:left w:val="nil"/>
              <w:bottom w:val="single" w:sz="4" w:space="0" w:color="auto"/>
              <w:right w:val="single" w:sz="4" w:space="0" w:color="auto"/>
            </w:tcBorders>
            <w:shd w:val="clear" w:color="auto" w:fill="auto"/>
            <w:noWrap/>
            <w:hideMark/>
          </w:tcPr>
          <w:p w14:paraId="0F60208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75CD718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200 487,58</w:t>
            </w:r>
          </w:p>
        </w:tc>
        <w:tc>
          <w:tcPr>
            <w:tcW w:w="1087" w:type="pct"/>
            <w:tcBorders>
              <w:top w:val="nil"/>
              <w:left w:val="nil"/>
              <w:bottom w:val="single" w:sz="4" w:space="0" w:color="auto"/>
              <w:right w:val="single" w:sz="4" w:space="0" w:color="auto"/>
            </w:tcBorders>
            <w:shd w:val="clear" w:color="auto" w:fill="auto"/>
            <w:noWrap/>
            <w:vAlign w:val="bottom"/>
            <w:hideMark/>
          </w:tcPr>
          <w:p w14:paraId="658A0E2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132 556,80</w:t>
            </w:r>
          </w:p>
        </w:tc>
      </w:tr>
      <w:tr w:rsidR="009D6C98" w:rsidRPr="00E56406" w14:paraId="25543EB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F60329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Sokółka</w:t>
            </w:r>
          </w:p>
        </w:tc>
        <w:tc>
          <w:tcPr>
            <w:tcW w:w="1197" w:type="pct"/>
            <w:tcBorders>
              <w:top w:val="nil"/>
              <w:left w:val="nil"/>
              <w:bottom w:val="single" w:sz="4" w:space="0" w:color="auto"/>
              <w:right w:val="single" w:sz="4" w:space="0" w:color="auto"/>
            </w:tcBorders>
            <w:shd w:val="clear" w:color="auto" w:fill="auto"/>
            <w:noWrap/>
            <w:hideMark/>
          </w:tcPr>
          <w:p w14:paraId="1881447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322D386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507 351,35</w:t>
            </w:r>
          </w:p>
        </w:tc>
        <w:tc>
          <w:tcPr>
            <w:tcW w:w="1087" w:type="pct"/>
            <w:tcBorders>
              <w:top w:val="nil"/>
              <w:left w:val="nil"/>
              <w:bottom w:val="single" w:sz="4" w:space="0" w:color="auto"/>
              <w:right w:val="single" w:sz="4" w:space="0" w:color="auto"/>
            </w:tcBorders>
            <w:shd w:val="clear" w:color="auto" w:fill="auto"/>
            <w:noWrap/>
            <w:vAlign w:val="bottom"/>
            <w:hideMark/>
          </w:tcPr>
          <w:p w14:paraId="0BD92B0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545 797,29</w:t>
            </w:r>
          </w:p>
        </w:tc>
      </w:tr>
      <w:tr w:rsidR="009D6C98" w:rsidRPr="00E56406" w14:paraId="587AF3F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BF72C3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Stawiski</w:t>
            </w:r>
          </w:p>
        </w:tc>
        <w:tc>
          <w:tcPr>
            <w:tcW w:w="1197" w:type="pct"/>
            <w:tcBorders>
              <w:top w:val="nil"/>
              <w:left w:val="nil"/>
              <w:bottom w:val="single" w:sz="4" w:space="0" w:color="auto"/>
              <w:right w:val="single" w:sz="4" w:space="0" w:color="auto"/>
            </w:tcBorders>
            <w:shd w:val="clear" w:color="auto" w:fill="auto"/>
            <w:noWrap/>
            <w:hideMark/>
          </w:tcPr>
          <w:p w14:paraId="446891E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7AB2F74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230 967,76</w:t>
            </w:r>
          </w:p>
        </w:tc>
        <w:tc>
          <w:tcPr>
            <w:tcW w:w="1087" w:type="pct"/>
            <w:tcBorders>
              <w:top w:val="nil"/>
              <w:left w:val="nil"/>
              <w:bottom w:val="single" w:sz="4" w:space="0" w:color="auto"/>
              <w:right w:val="single" w:sz="4" w:space="0" w:color="auto"/>
            </w:tcBorders>
            <w:shd w:val="clear" w:color="auto" w:fill="auto"/>
            <w:noWrap/>
            <w:vAlign w:val="bottom"/>
            <w:hideMark/>
          </w:tcPr>
          <w:p w14:paraId="3EC64CB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183 370,24</w:t>
            </w:r>
          </w:p>
        </w:tc>
      </w:tr>
      <w:tr w:rsidR="009D6C98" w:rsidRPr="00E56406" w14:paraId="2F3B932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FEDDD2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Suchowola</w:t>
            </w:r>
          </w:p>
        </w:tc>
        <w:tc>
          <w:tcPr>
            <w:tcW w:w="1197" w:type="pct"/>
            <w:tcBorders>
              <w:top w:val="nil"/>
              <w:left w:val="nil"/>
              <w:bottom w:val="single" w:sz="4" w:space="0" w:color="auto"/>
              <w:right w:val="single" w:sz="4" w:space="0" w:color="auto"/>
            </w:tcBorders>
            <w:shd w:val="clear" w:color="auto" w:fill="auto"/>
            <w:noWrap/>
            <w:hideMark/>
          </w:tcPr>
          <w:p w14:paraId="634A61F5"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379CDBC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323 897,32</w:t>
            </w:r>
          </w:p>
        </w:tc>
        <w:tc>
          <w:tcPr>
            <w:tcW w:w="1087" w:type="pct"/>
            <w:tcBorders>
              <w:top w:val="nil"/>
              <w:left w:val="nil"/>
              <w:bottom w:val="single" w:sz="4" w:space="0" w:color="auto"/>
              <w:right w:val="single" w:sz="4" w:space="0" w:color="auto"/>
            </w:tcBorders>
            <w:shd w:val="clear" w:color="auto" w:fill="auto"/>
            <w:noWrap/>
            <w:vAlign w:val="bottom"/>
            <w:hideMark/>
          </w:tcPr>
          <w:p w14:paraId="17A8511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231 879,53</w:t>
            </w:r>
          </w:p>
        </w:tc>
      </w:tr>
      <w:tr w:rsidR="009D6C98" w:rsidRPr="00E56406" w14:paraId="5AB65BD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B88468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Supraśl</w:t>
            </w:r>
          </w:p>
        </w:tc>
        <w:tc>
          <w:tcPr>
            <w:tcW w:w="1197" w:type="pct"/>
            <w:tcBorders>
              <w:top w:val="nil"/>
              <w:left w:val="nil"/>
              <w:bottom w:val="single" w:sz="4" w:space="0" w:color="auto"/>
              <w:right w:val="single" w:sz="4" w:space="0" w:color="auto"/>
            </w:tcBorders>
            <w:shd w:val="clear" w:color="auto" w:fill="auto"/>
            <w:noWrap/>
            <w:hideMark/>
          </w:tcPr>
          <w:p w14:paraId="5606BEA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BCDC29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332 157,96</w:t>
            </w:r>
          </w:p>
        </w:tc>
        <w:tc>
          <w:tcPr>
            <w:tcW w:w="1087" w:type="pct"/>
            <w:tcBorders>
              <w:top w:val="nil"/>
              <w:left w:val="nil"/>
              <w:bottom w:val="single" w:sz="4" w:space="0" w:color="auto"/>
              <w:right w:val="single" w:sz="4" w:space="0" w:color="auto"/>
            </w:tcBorders>
            <w:shd w:val="clear" w:color="auto" w:fill="auto"/>
            <w:noWrap/>
            <w:vAlign w:val="bottom"/>
            <w:hideMark/>
          </w:tcPr>
          <w:p w14:paraId="7FAE3F1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324 958,68</w:t>
            </w:r>
          </w:p>
        </w:tc>
      </w:tr>
      <w:tr w:rsidR="009D6C98" w:rsidRPr="00E56406" w14:paraId="63F9C5F6"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0ED6FD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Suraż</w:t>
            </w:r>
          </w:p>
        </w:tc>
        <w:tc>
          <w:tcPr>
            <w:tcW w:w="1197" w:type="pct"/>
            <w:tcBorders>
              <w:top w:val="nil"/>
              <w:left w:val="nil"/>
              <w:bottom w:val="single" w:sz="4" w:space="0" w:color="auto"/>
              <w:right w:val="single" w:sz="4" w:space="0" w:color="auto"/>
            </w:tcBorders>
            <w:shd w:val="clear" w:color="auto" w:fill="auto"/>
            <w:noWrap/>
            <w:hideMark/>
          </w:tcPr>
          <w:p w14:paraId="4FE7675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7B733F5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89 122,93</w:t>
            </w:r>
          </w:p>
        </w:tc>
        <w:tc>
          <w:tcPr>
            <w:tcW w:w="1087" w:type="pct"/>
            <w:tcBorders>
              <w:top w:val="nil"/>
              <w:left w:val="nil"/>
              <w:bottom w:val="single" w:sz="4" w:space="0" w:color="auto"/>
              <w:right w:val="single" w:sz="4" w:space="0" w:color="auto"/>
            </w:tcBorders>
            <w:shd w:val="clear" w:color="auto" w:fill="auto"/>
            <w:noWrap/>
            <w:vAlign w:val="bottom"/>
            <w:hideMark/>
          </w:tcPr>
          <w:p w14:paraId="0F5250F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106 621,64</w:t>
            </w:r>
          </w:p>
        </w:tc>
      </w:tr>
      <w:tr w:rsidR="009D6C98" w:rsidRPr="00E56406" w14:paraId="084DCE25"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02C563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Suwałki (W)</w:t>
            </w:r>
          </w:p>
        </w:tc>
        <w:tc>
          <w:tcPr>
            <w:tcW w:w="1197" w:type="pct"/>
            <w:tcBorders>
              <w:top w:val="nil"/>
              <w:left w:val="nil"/>
              <w:bottom w:val="single" w:sz="4" w:space="0" w:color="auto"/>
              <w:right w:val="single" w:sz="4" w:space="0" w:color="auto"/>
            </w:tcBorders>
            <w:shd w:val="clear" w:color="auto" w:fill="auto"/>
            <w:noWrap/>
            <w:hideMark/>
          </w:tcPr>
          <w:p w14:paraId="3FF472B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1FE2B90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254 707,12</w:t>
            </w:r>
          </w:p>
        </w:tc>
        <w:tc>
          <w:tcPr>
            <w:tcW w:w="1087" w:type="pct"/>
            <w:tcBorders>
              <w:top w:val="nil"/>
              <w:left w:val="nil"/>
              <w:bottom w:val="single" w:sz="4" w:space="0" w:color="auto"/>
              <w:right w:val="single" w:sz="4" w:space="0" w:color="auto"/>
            </w:tcBorders>
            <w:shd w:val="clear" w:color="auto" w:fill="auto"/>
            <w:noWrap/>
            <w:vAlign w:val="bottom"/>
            <w:hideMark/>
          </w:tcPr>
          <w:p w14:paraId="57E1B0F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168 129,59</w:t>
            </w:r>
          </w:p>
        </w:tc>
      </w:tr>
      <w:tr w:rsidR="009D6C98" w:rsidRPr="00E56406" w14:paraId="1EC2894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BEA049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Szczuczyn</w:t>
            </w:r>
          </w:p>
        </w:tc>
        <w:tc>
          <w:tcPr>
            <w:tcW w:w="1197" w:type="pct"/>
            <w:tcBorders>
              <w:top w:val="nil"/>
              <w:left w:val="nil"/>
              <w:bottom w:val="single" w:sz="4" w:space="0" w:color="auto"/>
              <w:right w:val="single" w:sz="4" w:space="0" w:color="auto"/>
            </w:tcBorders>
            <w:shd w:val="clear" w:color="auto" w:fill="auto"/>
            <w:noWrap/>
            <w:hideMark/>
          </w:tcPr>
          <w:p w14:paraId="4BBEA93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6C6F4C3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217 127,08</w:t>
            </w:r>
          </w:p>
        </w:tc>
        <w:tc>
          <w:tcPr>
            <w:tcW w:w="1087" w:type="pct"/>
            <w:tcBorders>
              <w:top w:val="nil"/>
              <w:left w:val="nil"/>
              <w:bottom w:val="single" w:sz="4" w:space="0" w:color="auto"/>
              <w:right w:val="single" w:sz="4" w:space="0" w:color="auto"/>
            </w:tcBorders>
            <w:shd w:val="clear" w:color="auto" w:fill="auto"/>
            <w:noWrap/>
            <w:vAlign w:val="bottom"/>
            <w:hideMark/>
          </w:tcPr>
          <w:p w14:paraId="04CBEFFE"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177 206,95</w:t>
            </w:r>
          </w:p>
        </w:tc>
      </w:tr>
      <w:tr w:rsidR="009D6C98" w:rsidRPr="00E56406" w14:paraId="0CCF799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818ACB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Szepietowo</w:t>
            </w:r>
          </w:p>
        </w:tc>
        <w:tc>
          <w:tcPr>
            <w:tcW w:w="1197" w:type="pct"/>
            <w:tcBorders>
              <w:top w:val="nil"/>
              <w:left w:val="nil"/>
              <w:bottom w:val="single" w:sz="4" w:space="0" w:color="auto"/>
              <w:right w:val="single" w:sz="4" w:space="0" w:color="auto"/>
            </w:tcBorders>
            <w:shd w:val="clear" w:color="auto" w:fill="auto"/>
            <w:noWrap/>
            <w:hideMark/>
          </w:tcPr>
          <w:p w14:paraId="55A6354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6457C8D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222 979,76</w:t>
            </w:r>
          </w:p>
        </w:tc>
        <w:tc>
          <w:tcPr>
            <w:tcW w:w="1087" w:type="pct"/>
            <w:tcBorders>
              <w:top w:val="nil"/>
              <w:left w:val="nil"/>
              <w:bottom w:val="single" w:sz="4" w:space="0" w:color="auto"/>
              <w:right w:val="single" w:sz="4" w:space="0" w:color="auto"/>
            </w:tcBorders>
            <w:shd w:val="clear" w:color="auto" w:fill="auto"/>
            <w:noWrap/>
            <w:vAlign w:val="bottom"/>
            <w:hideMark/>
          </w:tcPr>
          <w:p w14:paraId="16C1330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161 892,89</w:t>
            </w:r>
          </w:p>
        </w:tc>
      </w:tr>
      <w:tr w:rsidR="009D6C98" w:rsidRPr="00E56406" w14:paraId="6170CAA1"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E78A53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Sztabin</w:t>
            </w:r>
          </w:p>
        </w:tc>
        <w:tc>
          <w:tcPr>
            <w:tcW w:w="1197" w:type="pct"/>
            <w:tcBorders>
              <w:top w:val="nil"/>
              <w:left w:val="nil"/>
              <w:bottom w:val="single" w:sz="4" w:space="0" w:color="auto"/>
              <w:right w:val="single" w:sz="4" w:space="0" w:color="auto"/>
            </w:tcBorders>
            <w:shd w:val="clear" w:color="auto" w:fill="auto"/>
            <w:noWrap/>
            <w:hideMark/>
          </w:tcPr>
          <w:p w14:paraId="456634F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augustowski</w:t>
            </w:r>
          </w:p>
        </w:tc>
        <w:tc>
          <w:tcPr>
            <w:tcW w:w="1087" w:type="pct"/>
            <w:tcBorders>
              <w:top w:val="nil"/>
              <w:left w:val="nil"/>
              <w:bottom w:val="single" w:sz="4" w:space="0" w:color="auto"/>
              <w:right w:val="single" w:sz="4" w:space="0" w:color="auto"/>
            </w:tcBorders>
            <w:shd w:val="clear" w:color="auto" w:fill="auto"/>
            <w:noWrap/>
            <w:vAlign w:val="bottom"/>
            <w:hideMark/>
          </w:tcPr>
          <w:p w14:paraId="7D0BFF9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347 809,45</w:t>
            </w:r>
          </w:p>
        </w:tc>
        <w:tc>
          <w:tcPr>
            <w:tcW w:w="1087" w:type="pct"/>
            <w:tcBorders>
              <w:top w:val="nil"/>
              <w:left w:val="nil"/>
              <w:bottom w:val="single" w:sz="4" w:space="0" w:color="auto"/>
              <w:right w:val="single" w:sz="4" w:space="0" w:color="auto"/>
            </w:tcBorders>
            <w:shd w:val="clear" w:color="auto" w:fill="auto"/>
            <w:noWrap/>
            <w:vAlign w:val="bottom"/>
            <w:hideMark/>
          </w:tcPr>
          <w:p w14:paraId="50582AD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132 725,45</w:t>
            </w:r>
          </w:p>
        </w:tc>
      </w:tr>
      <w:tr w:rsidR="009D6C98" w:rsidRPr="00E56406" w14:paraId="09395FE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F1A6FB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Szudziałowo</w:t>
            </w:r>
          </w:p>
        </w:tc>
        <w:tc>
          <w:tcPr>
            <w:tcW w:w="1197" w:type="pct"/>
            <w:tcBorders>
              <w:top w:val="nil"/>
              <w:left w:val="nil"/>
              <w:bottom w:val="single" w:sz="4" w:space="0" w:color="auto"/>
              <w:right w:val="single" w:sz="4" w:space="0" w:color="auto"/>
            </w:tcBorders>
            <w:shd w:val="clear" w:color="auto" w:fill="auto"/>
            <w:noWrap/>
            <w:hideMark/>
          </w:tcPr>
          <w:p w14:paraId="743D52B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sokólski</w:t>
            </w:r>
          </w:p>
        </w:tc>
        <w:tc>
          <w:tcPr>
            <w:tcW w:w="1087" w:type="pct"/>
            <w:tcBorders>
              <w:top w:val="nil"/>
              <w:left w:val="nil"/>
              <w:bottom w:val="single" w:sz="4" w:space="0" w:color="auto"/>
              <w:right w:val="single" w:sz="4" w:space="0" w:color="auto"/>
            </w:tcBorders>
            <w:shd w:val="clear" w:color="auto" w:fill="auto"/>
            <w:noWrap/>
            <w:vAlign w:val="bottom"/>
            <w:hideMark/>
          </w:tcPr>
          <w:p w14:paraId="6F9A308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243 058,97</w:t>
            </w:r>
          </w:p>
        </w:tc>
        <w:tc>
          <w:tcPr>
            <w:tcW w:w="1087" w:type="pct"/>
            <w:tcBorders>
              <w:top w:val="nil"/>
              <w:left w:val="nil"/>
              <w:bottom w:val="single" w:sz="4" w:space="0" w:color="auto"/>
              <w:right w:val="single" w:sz="4" w:space="0" w:color="auto"/>
            </w:tcBorders>
            <w:shd w:val="clear" w:color="auto" w:fill="auto"/>
            <w:noWrap/>
            <w:vAlign w:val="bottom"/>
            <w:hideMark/>
          </w:tcPr>
          <w:p w14:paraId="0943CDC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114 909,15</w:t>
            </w:r>
          </w:p>
        </w:tc>
      </w:tr>
      <w:tr w:rsidR="009D6C98" w:rsidRPr="00E56406" w14:paraId="0D77D5A0"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921AF6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Szumowo</w:t>
            </w:r>
          </w:p>
        </w:tc>
        <w:tc>
          <w:tcPr>
            <w:tcW w:w="1197" w:type="pct"/>
            <w:tcBorders>
              <w:top w:val="nil"/>
              <w:left w:val="nil"/>
              <w:bottom w:val="single" w:sz="4" w:space="0" w:color="auto"/>
              <w:right w:val="single" w:sz="4" w:space="0" w:color="auto"/>
            </w:tcBorders>
            <w:shd w:val="clear" w:color="auto" w:fill="auto"/>
            <w:noWrap/>
            <w:hideMark/>
          </w:tcPr>
          <w:p w14:paraId="1C531E5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zambrowski</w:t>
            </w:r>
          </w:p>
        </w:tc>
        <w:tc>
          <w:tcPr>
            <w:tcW w:w="1087" w:type="pct"/>
            <w:tcBorders>
              <w:top w:val="nil"/>
              <w:left w:val="nil"/>
              <w:bottom w:val="single" w:sz="4" w:space="0" w:color="auto"/>
              <w:right w:val="single" w:sz="4" w:space="0" w:color="auto"/>
            </w:tcBorders>
            <w:shd w:val="clear" w:color="auto" w:fill="auto"/>
            <w:noWrap/>
            <w:vAlign w:val="bottom"/>
            <w:hideMark/>
          </w:tcPr>
          <w:p w14:paraId="3BBFEFA9"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170 429,06</w:t>
            </w:r>
          </w:p>
        </w:tc>
        <w:tc>
          <w:tcPr>
            <w:tcW w:w="1087" w:type="pct"/>
            <w:tcBorders>
              <w:top w:val="nil"/>
              <w:left w:val="nil"/>
              <w:bottom w:val="single" w:sz="4" w:space="0" w:color="auto"/>
              <w:right w:val="single" w:sz="4" w:space="0" w:color="auto"/>
            </w:tcBorders>
            <w:shd w:val="clear" w:color="auto" w:fill="auto"/>
            <w:noWrap/>
            <w:vAlign w:val="bottom"/>
            <w:hideMark/>
          </w:tcPr>
          <w:p w14:paraId="4D59EA21"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115 235,60</w:t>
            </w:r>
          </w:p>
        </w:tc>
      </w:tr>
      <w:tr w:rsidR="009D6C98" w:rsidRPr="00E56406" w14:paraId="7410608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494B023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Szypliszki</w:t>
            </w:r>
          </w:p>
        </w:tc>
        <w:tc>
          <w:tcPr>
            <w:tcW w:w="1197" w:type="pct"/>
            <w:tcBorders>
              <w:top w:val="nil"/>
              <w:left w:val="nil"/>
              <w:bottom w:val="single" w:sz="4" w:space="0" w:color="auto"/>
              <w:right w:val="single" w:sz="4" w:space="0" w:color="auto"/>
            </w:tcBorders>
            <w:shd w:val="clear" w:color="auto" w:fill="auto"/>
            <w:noWrap/>
            <w:hideMark/>
          </w:tcPr>
          <w:p w14:paraId="5DA1B0F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1F0E75D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166 208,14</w:t>
            </w:r>
          </w:p>
        </w:tc>
        <w:tc>
          <w:tcPr>
            <w:tcW w:w="1087" w:type="pct"/>
            <w:tcBorders>
              <w:top w:val="nil"/>
              <w:left w:val="nil"/>
              <w:bottom w:val="single" w:sz="4" w:space="0" w:color="auto"/>
              <w:right w:val="single" w:sz="4" w:space="0" w:color="auto"/>
            </w:tcBorders>
            <w:shd w:val="clear" w:color="auto" w:fill="auto"/>
            <w:noWrap/>
            <w:vAlign w:val="bottom"/>
            <w:hideMark/>
          </w:tcPr>
          <w:p w14:paraId="08CB232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118 949,47</w:t>
            </w:r>
          </w:p>
        </w:tc>
      </w:tr>
      <w:tr w:rsidR="009D6C98" w:rsidRPr="00E56406" w14:paraId="4D2F6BA1"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354720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Śniadowo</w:t>
            </w:r>
          </w:p>
        </w:tc>
        <w:tc>
          <w:tcPr>
            <w:tcW w:w="1197" w:type="pct"/>
            <w:tcBorders>
              <w:top w:val="nil"/>
              <w:left w:val="nil"/>
              <w:bottom w:val="single" w:sz="4" w:space="0" w:color="auto"/>
              <w:right w:val="single" w:sz="4" w:space="0" w:color="auto"/>
            </w:tcBorders>
            <w:shd w:val="clear" w:color="auto" w:fill="auto"/>
            <w:noWrap/>
            <w:hideMark/>
          </w:tcPr>
          <w:p w14:paraId="49A6BBE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1C82519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214 667,46</w:t>
            </w:r>
          </w:p>
        </w:tc>
        <w:tc>
          <w:tcPr>
            <w:tcW w:w="1087" w:type="pct"/>
            <w:tcBorders>
              <w:top w:val="nil"/>
              <w:left w:val="nil"/>
              <w:bottom w:val="single" w:sz="4" w:space="0" w:color="auto"/>
              <w:right w:val="single" w:sz="4" w:space="0" w:color="auto"/>
            </w:tcBorders>
            <w:shd w:val="clear" w:color="auto" w:fill="auto"/>
            <w:noWrap/>
            <w:vAlign w:val="bottom"/>
            <w:hideMark/>
          </w:tcPr>
          <w:p w14:paraId="4E81308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135 278,67</w:t>
            </w:r>
          </w:p>
        </w:tc>
      </w:tr>
      <w:tr w:rsidR="009D6C98" w:rsidRPr="00E56406" w14:paraId="1CEDDEC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F40EF5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lastRenderedPageBreak/>
              <w:t>Trzcianne</w:t>
            </w:r>
          </w:p>
        </w:tc>
        <w:tc>
          <w:tcPr>
            <w:tcW w:w="1197" w:type="pct"/>
            <w:tcBorders>
              <w:top w:val="nil"/>
              <w:left w:val="nil"/>
              <w:bottom w:val="single" w:sz="4" w:space="0" w:color="auto"/>
              <w:right w:val="single" w:sz="4" w:space="0" w:color="auto"/>
            </w:tcBorders>
            <w:shd w:val="clear" w:color="auto" w:fill="auto"/>
            <w:noWrap/>
            <w:hideMark/>
          </w:tcPr>
          <w:p w14:paraId="692B572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moniecki</w:t>
            </w:r>
          </w:p>
        </w:tc>
        <w:tc>
          <w:tcPr>
            <w:tcW w:w="1087" w:type="pct"/>
            <w:tcBorders>
              <w:top w:val="nil"/>
              <w:left w:val="nil"/>
              <w:bottom w:val="single" w:sz="4" w:space="0" w:color="auto"/>
              <w:right w:val="single" w:sz="4" w:space="0" w:color="auto"/>
            </w:tcBorders>
            <w:shd w:val="clear" w:color="auto" w:fill="auto"/>
            <w:noWrap/>
            <w:vAlign w:val="bottom"/>
            <w:hideMark/>
          </w:tcPr>
          <w:p w14:paraId="3EBBCFA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348 454,84</w:t>
            </w:r>
          </w:p>
        </w:tc>
        <w:tc>
          <w:tcPr>
            <w:tcW w:w="1087" w:type="pct"/>
            <w:tcBorders>
              <w:top w:val="nil"/>
              <w:left w:val="nil"/>
              <w:bottom w:val="single" w:sz="4" w:space="0" w:color="auto"/>
              <w:right w:val="single" w:sz="4" w:space="0" w:color="auto"/>
            </w:tcBorders>
            <w:shd w:val="clear" w:color="auto" w:fill="auto"/>
            <w:noWrap/>
            <w:vAlign w:val="bottom"/>
            <w:hideMark/>
          </w:tcPr>
          <w:p w14:paraId="461B35DB"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162 841,07</w:t>
            </w:r>
          </w:p>
        </w:tc>
      </w:tr>
      <w:tr w:rsidR="009D6C98" w:rsidRPr="00E56406" w14:paraId="6821905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C87AE4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Turośl</w:t>
            </w:r>
          </w:p>
        </w:tc>
        <w:tc>
          <w:tcPr>
            <w:tcW w:w="1197" w:type="pct"/>
            <w:tcBorders>
              <w:top w:val="nil"/>
              <w:left w:val="nil"/>
              <w:bottom w:val="single" w:sz="4" w:space="0" w:color="auto"/>
              <w:right w:val="single" w:sz="4" w:space="0" w:color="auto"/>
            </w:tcBorders>
            <w:shd w:val="clear" w:color="auto" w:fill="auto"/>
            <w:noWrap/>
            <w:hideMark/>
          </w:tcPr>
          <w:p w14:paraId="2C352ED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kolneński</w:t>
            </w:r>
          </w:p>
        </w:tc>
        <w:tc>
          <w:tcPr>
            <w:tcW w:w="1087" w:type="pct"/>
            <w:tcBorders>
              <w:top w:val="nil"/>
              <w:left w:val="nil"/>
              <w:bottom w:val="single" w:sz="4" w:space="0" w:color="auto"/>
              <w:right w:val="single" w:sz="4" w:space="0" w:color="auto"/>
            </w:tcBorders>
            <w:shd w:val="clear" w:color="auto" w:fill="auto"/>
            <w:noWrap/>
            <w:vAlign w:val="bottom"/>
            <w:hideMark/>
          </w:tcPr>
          <w:p w14:paraId="0F5384C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362 111,03</w:t>
            </w:r>
          </w:p>
        </w:tc>
        <w:tc>
          <w:tcPr>
            <w:tcW w:w="1087" w:type="pct"/>
            <w:tcBorders>
              <w:top w:val="nil"/>
              <w:left w:val="nil"/>
              <w:bottom w:val="single" w:sz="4" w:space="0" w:color="auto"/>
              <w:right w:val="single" w:sz="4" w:space="0" w:color="auto"/>
            </w:tcBorders>
            <w:shd w:val="clear" w:color="auto" w:fill="auto"/>
            <w:noWrap/>
            <w:vAlign w:val="bottom"/>
            <w:hideMark/>
          </w:tcPr>
          <w:p w14:paraId="12191AB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212 678,58</w:t>
            </w:r>
          </w:p>
        </w:tc>
      </w:tr>
      <w:tr w:rsidR="009D6C98" w:rsidRPr="00E56406" w14:paraId="44BC787A"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AABB24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Turośń Kościelna</w:t>
            </w:r>
          </w:p>
        </w:tc>
        <w:tc>
          <w:tcPr>
            <w:tcW w:w="1197" w:type="pct"/>
            <w:tcBorders>
              <w:top w:val="nil"/>
              <w:left w:val="nil"/>
              <w:bottom w:val="single" w:sz="4" w:space="0" w:color="auto"/>
              <w:right w:val="single" w:sz="4" w:space="0" w:color="auto"/>
            </w:tcBorders>
            <w:shd w:val="clear" w:color="auto" w:fill="auto"/>
            <w:noWrap/>
            <w:hideMark/>
          </w:tcPr>
          <w:p w14:paraId="57E3F323"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EF3644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198 867,24</w:t>
            </w:r>
          </w:p>
        </w:tc>
        <w:tc>
          <w:tcPr>
            <w:tcW w:w="1087" w:type="pct"/>
            <w:tcBorders>
              <w:top w:val="nil"/>
              <w:left w:val="nil"/>
              <w:bottom w:val="single" w:sz="4" w:space="0" w:color="auto"/>
              <w:right w:val="single" w:sz="4" w:space="0" w:color="auto"/>
            </w:tcBorders>
            <w:shd w:val="clear" w:color="auto" w:fill="auto"/>
            <w:noWrap/>
            <w:vAlign w:val="bottom"/>
            <w:hideMark/>
          </w:tcPr>
          <w:p w14:paraId="3A5AB41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169 713,82</w:t>
            </w:r>
          </w:p>
        </w:tc>
      </w:tr>
      <w:tr w:rsidR="009D6C98" w:rsidRPr="00E56406" w14:paraId="3C3F6436"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D66C62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Tykocin</w:t>
            </w:r>
          </w:p>
        </w:tc>
        <w:tc>
          <w:tcPr>
            <w:tcW w:w="1197" w:type="pct"/>
            <w:tcBorders>
              <w:top w:val="nil"/>
              <w:left w:val="nil"/>
              <w:bottom w:val="single" w:sz="4" w:space="0" w:color="auto"/>
              <w:right w:val="single" w:sz="4" w:space="0" w:color="auto"/>
            </w:tcBorders>
            <w:shd w:val="clear" w:color="auto" w:fill="auto"/>
            <w:noWrap/>
            <w:hideMark/>
          </w:tcPr>
          <w:p w14:paraId="3ACC73E0"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50862A92"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256 738,27</w:t>
            </w:r>
          </w:p>
        </w:tc>
        <w:tc>
          <w:tcPr>
            <w:tcW w:w="1087" w:type="pct"/>
            <w:tcBorders>
              <w:top w:val="nil"/>
              <w:left w:val="nil"/>
              <w:bottom w:val="single" w:sz="4" w:space="0" w:color="auto"/>
              <w:right w:val="single" w:sz="4" w:space="0" w:color="auto"/>
            </w:tcBorders>
            <w:shd w:val="clear" w:color="auto" w:fill="auto"/>
            <w:noWrap/>
            <w:vAlign w:val="bottom"/>
            <w:hideMark/>
          </w:tcPr>
          <w:p w14:paraId="461C06D8"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168 511,99</w:t>
            </w:r>
          </w:p>
        </w:tc>
      </w:tr>
      <w:tr w:rsidR="009D6C98" w:rsidRPr="00E56406" w14:paraId="60B25EC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6F439F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Wasilków</w:t>
            </w:r>
          </w:p>
        </w:tc>
        <w:tc>
          <w:tcPr>
            <w:tcW w:w="1197" w:type="pct"/>
            <w:tcBorders>
              <w:top w:val="nil"/>
              <w:left w:val="nil"/>
              <w:bottom w:val="single" w:sz="4" w:space="0" w:color="auto"/>
              <w:right w:val="single" w:sz="4" w:space="0" w:color="auto"/>
            </w:tcBorders>
            <w:shd w:val="clear" w:color="auto" w:fill="auto"/>
            <w:noWrap/>
            <w:hideMark/>
          </w:tcPr>
          <w:p w14:paraId="42619EF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361C2D7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333 437,67</w:t>
            </w:r>
          </w:p>
        </w:tc>
        <w:tc>
          <w:tcPr>
            <w:tcW w:w="1087" w:type="pct"/>
            <w:tcBorders>
              <w:top w:val="nil"/>
              <w:left w:val="nil"/>
              <w:bottom w:val="single" w:sz="4" w:space="0" w:color="auto"/>
              <w:right w:val="single" w:sz="4" w:space="0" w:color="auto"/>
            </w:tcBorders>
            <w:shd w:val="clear" w:color="auto" w:fill="auto"/>
            <w:noWrap/>
            <w:vAlign w:val="bottom"/>
            <w:hideMark/>
          </w:tcPr>
          <w:p w14:paraId="72090FD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378 912,40</w:t>
            </w:r>
          </w:p>
        </w:tc>
      </w:tr>
      <w:tr w:rsidR="009D6C98" w:rsidRPr="00E56406" w14:paraId="3C5010A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35EA31C9"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Wąsosz</w:t>
            </w:r>
          </w:p>
        </w:tc>
        <w:tc>
          <w:tcPr>
            <w:tcW w:w="1197" w:type="pct"/>
            <w:tcBorders>
              <w:top w:val="nil"/>
              <w:left w:val="nil"/>
              <w:bottom w:val="single" w:sz="4" w:space="0" w:color="auto"/>
              <w:right w:val="single" w:sz="4" w:space="0" w:color="auto"/>
            </w:tcBorders>
            <w:shd w:val="clear" w:color="auto" w:fill="auto"/>
            <w:noWrap/>
            <w:hideMark/>
          </w:tcPr>
          <w:p w14:paraId="7484C8C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grajewski</w:t>
            </w:r>
          </w:p>
        </w:tc>
        <w:tc>
          <w:tcPr>
            <w:tcW w:w="1087" w:type="pct"/>
            <w:tcBorders>
              <w:top w:val="nil"/>
              <w:left w:val="nil"/>
              <w:bottom w:val="single" w:sz="4" w:space="0" w:color="auto"/>
              <w:right w:val="single" w:sz="4" w:space="0" w:color="auto"/>
            </w:tcBorders>
            <w:shd w:val="clear" w:color="auto" w:fill="auto"/>
            <w:noWrap/>
            <w:vAlign w:val="bottom"/>
            <w:hideMark/>
          </w:tcPr>
          <w:p w14:paraId="2517758D"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189 092,33</w:t>
            </w:r>
          </w:p>
        </w:tc>
        <w:tc>
          <w:tcPr>
            <w:tcW w:w="1087" w:type="pct"/>
            <w:tcBorders>
              <w:top w:val="nil"/>
              <w:left w:val="nil"/>
              <w:bottom w:val="single" w:sz="4" w:space="0" w:color="auto"/>
              <w:right w:val="single" w:sz="4" w:space="0" w:color="auto"/>
            </w:tcBorders>
            <w:shd w:val="clear" w:color="auto" w:fill="auto"/>
            <w:noWrap/>
            <w:vAlign w:val="bottom"/>
            <w:hideMark/>
          </w:tcPr>
          <w:p w14:paraId="1005746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170 365,40</w:t>
            </w:r>
          </w:p>
        </w:tc>
      </w:tr>
      <w:tr w:rsidR="009D6C98" w:rsidRPr="00E56406" w14:paraId="5B34960D"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69C9496"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Wizna</w:t>
            </w:r>
          </w:p>
        </w:tc>
        <w:tc>
          <w:tcPr>
            <w:tcW w:w="1197" w:type="pct"/>
            <w:tcBorders>
              <w:top w:val="nil"/>
              <w:left w:val="nil"/>
              <w:bottom w:val="single" w:sz="4" w:space="0" w:color="auto"/>
              <w:right w:val="single" w:sz="4" w:space="0" w:color="auto"/>
            </w:tcBorders>
            <w:shd w:val="clear" w:color="auto" w:fill="auto"/>
            <w:noWrap/>
            <w:hideMark/>
          </w:tcPr>
          <w:p w14:paraId="1FFD333C"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4FA3381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228 067,31</w:t>
            </w:r>
          </w:p>
        </w:tc>
        <w:tc>
          <w:tcPr>
            <w:tcW w:w="1087" w:type="pct"/>
            <w:tcBorders>
              <w:top w:val="nil"/>
              <w:left w:val="nil"/>
              <w:bottom w:val="single" w:sz="4" w:space="0" w:color="auto"/>
              <w:right w:val="single" w:sz="4" w:space="0" w:color="auto"/>
            </w:tcBorders>
            <w:shd w:val="clear" w:color="auto" w:fill="auto"/>
            <w:noWrap/>
            <w:vAlign w:val="bottom"/>
            <w:hideMark/>
          </w:tcPr>
          <w:p w14:paraId="43ACE75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115 638,64</w:t>
            </w:r>
          </w:p>
        </w:tc>
      </w:tr>
      <w:tr w:rsidR="009D6C98" w:rsidRPr="00E56406" w14:paraId="03920B4E"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0B6D6491"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Wiżajny</w:t>
            </w:r>
          </w:p>
        </w:tc>
        <w:tc>
          <w:tcPr>
            <w:tcW w:w="1197" w:type="pct"/>
            <w:tcBorders>
              <w:top w:val="nil"/>
              <w:left w:val="nil"/>
              <w:bottom w:val="single" w:sz="4" w:space="0" w:color="auto"/>
              <w:right w:val="single" w:sz="4" w:space="0" w:color="auto"/>
            </w:tcBorders>
            <w:shd w:val="clear" w:color="auto" w:fill="auto"/>
            <w:noWrap/>
            <w:hideMark/>
          </w:tcPr>
          <w:p w14:paraId="7EB7BB1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suwalski</w:t>
            </w:r>
          </w:p>
        </w:tc>
        <w:tc>
          <w:tcPr>
            <w:tcW w:w="1087" w:type="pct"/>
            <w:tcBorders>
              <w:top w:val="nil"/>
              <w:left w:val="nil"/>
              <w:bottom w:val="single" w:sz="4" w:space="0" w:color="auto"/>
              <w:right w:val="single" w:sz="4" w:space="0" w:color="auto"/>
            </w:tcBorders>
            <w:shd w:val="clear" w:color="auto" w:fill="auto"/>
            <w:noWrap/>
            <w:vAlign w:val="bottom"/>
            <w:hideMark/>
          </w:tcPr>
          <w:p w14:paraId="6991EFF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164 378,02</w:t>
            </w:r>
          </w:p>
        </w:tc>
        <w:tc>
          <w:tcPr>
            <w:tcW w:w="1087" w:type="pct"/>
            <w:tcBorders>
              <w:top w:val="nil"/>
              <w:left w:val="nil"/>
              <w:bottom w:val="single" w:sz="4" w:space="0" w:color="auto"/>
              <w:right w:val="single" w:sz="4" w:space="0" w:color="auto"/>
            </w:tcBorders>
            <w:shd w:val="clear" w:color="auto" w:fill="auto"/>
            <w:noWrap/>
            <w:vAlign w:val="bottom"/>
            <w:hideMark/>
          </w:tcPr>
          <w:p w14:paraId="1EB0E6C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156 669,80</w:t>
            </w:r>
          </w:p>
        </w:tc>
      </w:tr>
      <w:tr w:rsidR="009D6C98" w:rsidRPr="00E56406" w14:paraId="71DF65F4"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4C86CD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Wysokie Mazowieckie (M)</w:t>
            </w:r>
          </w:p>
        </w:tc>
        <w:tc>
          <w:tcPr>
            <w:tcW w:w="1197" w:type="pct"/>
            <w:tcBorders>
              <w:top w:val="nil"/>
              <w:left w:val="nil"/>
              <w:bottom w:val="single" w:sz="4" w:space="0" w:color="auto"/>
              <w:right w:val="single" w:sz="4" w:space="0" w:color="auto"/>
            </w:tcBorders>
            <w:shd w:val="clear" w:color="auto" w:fill="auto"/>
            <w:noWrap/>
            <w:hideMark/>
          </w:tcPr>
          <w:p w14:paraId="6804C5E7"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1A291F8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167 039,59</w:t>
            </w:r>
          </w:p>
        </w:tc>
        <w:tc>
          <w:tcPr>
            <w:tcW w:w="1087" w:type="pct"/>
            <w:tcBorders>
              <w:top w:val="nil"/>
              <w:left w:val="nil"/>
              <w:bottom w:val="single" w:sz="4" w:space="0" w:color="auto"/>
              <w:right w:val="single" w:sz="4" w:space="0" w:color="auto"/>
            </w:tcBorders>
            <w:shd w:val="clear" w:color="auto" w:fill="auto"/>
            <w:noWrap/>
            <w:vAlign w:val="bottom"/>
            <w:hideMark/>
          </w:tcPr>
          <w:p w14:paraId="36ABA4D6"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201 155,83</w:t>
            </w:r>
          </w:p>
        </w:tc>
      </w:tr>
      <w:tr w:rsidR="009D6C98" w:rsidRPr="00E56406" w14:paraId="3E9F1BF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2257350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Wysokie Mazowieckie (W)</w:t>
            </w:r>
          </w:p>
        </w:tc>
        <w:tc>
          <w:tcPr>
            <w:tcW w:w="1197" w:type="pct"/>
            <w:tcBorders>
              <w:top w:val="nil"/>
              <w:left w:val="nil"/>
              <w:bottom w:val="single" w:sz="4" w:space="0" w:color="auto"/>
              <w:right w:val="single" w:sz="4" w:space="0" w:color="auto"/>
            </w:tcBorders>
            <w:shd w:val="clear" w:color="auto" w:fill="auto"/>
            <w:noWrap/>
            <w:hideMark/>
          </w:tcPr>
          <w:p w14:paraId="069A434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wysokomazowiecki</w:t>
            </w:r>
          </w:p>
        </w:tc>
        <w:tc>
          <w:tcPr>
            <w:tcW w:w="1087" w:type="pct"/>
            <w:tcBorders>
              <w:top w:val="nil"/>
              <w:left w:val="nil"/>
              <w:bottom w:val="single" w:sz="4" w:space="0" w:color="auto"/>
              <w:right w:val="single" w:sz="4" w:space="0" w:color="auto"/>
            </w:tcBorders>
            <w:shd w:val="clear" w:color="auto" w:fill="auto"/>
            <w:noWrap/>
            <w:vAlign w:val="bottom"/>
            <w:hideMark/>
          </w:tcPr>
          <w:p w14:paraId="6712FC2A"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194 104,73</w:t>
            </w:r>
          </w:p>
        </w:tc>
        <w:tc>
          <w:tcPr>
            <w:tcW w:w="1087" w:type="pct"/>
            <w:tcBorders>
              <w:top w:val="nil"/>
              <w:left w:val="nil"/>
              <w:bottom w:val="single" w:sz="4" w:space="0" w:color="auto"/>
              <w:right w:val="single" w:sz="4" w:space="0" w:color="auto"/>
            </w:tcBorders>
            <w:shd w:val="clear" w:color="auto" w:fill="auto"/>
            <w:noWrap/>
            <w:vAlign w:val="bottom"/>
            <w:hideMark/>
          </w:tcPr>
          <w:p w14:paraId="5E60B22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135 750,50</w:t>
            </w:r>
          </w:p>
        </w:tc>
      </w:tr>
      <w:tr w:rsidR="009D6C98" w:rsidRPr="00E56406" w14:paraId="78D4F9C7"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8FFD8F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Wyszki</w:t>
            </w:r>
          </w:p>
        </w:tc>
        <w:tc>
          <w:tcPr>
            <w:tcW w:w="1197" w:type="pct"/>
            <w:tcBorders>
              <w:top w:val="nil"/>
              <w:left w:val="nil"/>
              <w:bottom w:val="single" w:sz="4" w:space="0" w:color="auto"/>
              <w:right w:val="single" w:sz="4" w:space="0" w:color="auto"/>
            </w:tcBorders>
            <w:shd w:val="clear" w:color="auto" w:fill="auto"/>
            <w:noWrap/>
            <w:hideMark/>
          </w:tcPr>
          <w:p w14:paraId="0A339BEE"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bielski</w:t>
            </w:r>
          </w:p>
        </w:tc>
        <w:tc>
          <w:tcPr>
            <w:tcW w:w="1087" w:type="pct"/>
            <w:tcBorders>
              <w:top w:val="nil"/>
              <w:left w:val="nil"/>
              <w:bottom w:val="single" w:sz="4" w:space="0" w:color="auto"/>
              <w:right w:val="single" w:sz="4" w:space="0" w:color="auto"/>
            </w:tcBorders>
            <w:shd w:val="clear" w:color="auto" w:fill="auto"/>
            <w:noWrap/>
            <w:vAlign w:val="bottom"/>
            <w:hideMark/>
          </w:tcPr>
          <w:p w14:paraId="78F1BA6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245 113,28</w:t>
            </w:r>
          </w:p>
        </w:tc>
        <w:tc>
          <w:tcPr>
            <w:tcW w:w="1087" w:type="pct"/>
            <w:tcBorders>
              <w:top w:val="nil"/>
              <w:left w:val="nil"/>
              <w:bottom w:val="single" w:sz="4" w:space="0" w:color="auto"/>
              <w:right w:val="single" w:sz="4" w:space="0" w:color="auto"/>
            </w:tcBorders>
            <w:shd w:val="clear" w:color="auto" w:fill="auto"/>
            <w:noWrap/>
            <w:vAlign w:val="bottom"/>
            <w:hideMark/>
          </w:tcPr>
          <w:p w14:paraId="6C89AD9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158 914,60</w:t>
            </w:r>
          </w:p>
        </w:tc>
      </w:tr>
      <w:tr w:rsidR="009D6C98" w:rsidRPr="00E56406" w14:paraId="23E0B0A3"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D7F409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Zabłudów</w:t>
            </w:r>
          </w:p>
        </w:tc>
        <w:tc>
          <w:tcPr>
            <w:tcW w:w="1197" w:type="pct"/>
            <w:tcBorders>
              <w:top w:val="nil"/>
              <w:left w:val="nil"/>
              <w:bottom w:val="single" w:sz="4" w:space="0" w:color="auto"/>
              <w:right w:val="single" w:sz="4" w:space="0" w:color="auto"/>
            </w:tcBorders>
            <w:shd w:val="clear" w:color="auto" w:fill="auto"/>
            <w:noWrap/>
            <w:hideMark/>
          </w:tcPr>
          <w:p w14:paraId="35DE30C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28024485"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327 749,63</w:t>
            </w:r>
          </w:p>
        </w:tc>
        <w:tc>
          <w:tcPr>
            <w:tcW w:w="1087" w:type="pct"/>
            <w:tcBorders>
              <w:top w:val="nil"/>
              <w:left w:val="nil"/>
              <w:bottom w:val="single" w:sz="4" w:space="0" w:color="auto"/>
              <w:right w:val="single" w:sz="4" w:space="0" w:color="auto"/>
            </w:tcBorders>
            <w:shd w:val="clear" w:color="auto" w:fill="auto"/>
            <w:noWrap/>
            <w:vAlign w:val="bottom"/>
            <w:hideMark/>
          </w:tcPr>
          <w:p w14:paraId="7A0B705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204 005,42</w:t>
            </w:r>
          </w:p>
        </w:tc>
      </w:tr>
      <w:tr w:rsidR="009D6C98" w:rsidRPr="00E56406" w14:paraId="3258E388"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7DE5358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Zambrów (M)</w:t>
            </w:r>
          </w:p>
        </w:tc>
        <w:tc>
          <w:tcPr>
            <w:tcW w:w="1197" w:type="pct"/>
            <w:tcBorders>
              <w:top w:val="nil"/>
              <w:left w:val="nil"/>
              <w:bottom w:val="single" w:sz="4" w:space="0" w:color="auto"/>
              <w:right w:val="single" w:sz="4" w:space="0" w:color="auto"/>
            </w:tcBorders>
            <w:shd w:val="clear" w:color="auto" w:fill="auto"/>
            <w:noWrap/>
            <w:hideMark/>
          </w:tcPr>
          <w:p w14:paraId="5D446858"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zambrowski</w:t>
            </w:r>
          </w:p>
        </w:tc>
        <w:tc>
          <w:tcPr>
            <w:tcW w:w="1087" w:type="pct"/>
            <w:tcBorders>
              <w:top w:val="nil"/>
              <w:left w:val="nil"/>
              <w:bottom w:val="single" w:sz="4" w:space="0" w:color="auto"/>
              <w:right w:val="single" w:sz="4" w:space="0" w:color="auto"/>
            </w:tcBorders>
            <w:shd w:val="clear" w:color="auto" w:fill="auto"/>
            <w:noWrap/>
            <w:vAlign w:val="bottom"/>
            <w:hideMark/>
          </w:tcPr>
          <w:p w14:paraId="2463D73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337 433,18</w:t>
            </w:r>
          </w:p>
        </w:tc>
        <w:tc>
          <w:tcPr>
            <w:tcW w:w="1087" w:type="pct"/>
            <w:tcBorders>
              <w:top w:val="nil"/>
              <w:left w:val="nil"/>
              <w:bottom w:val="single" w:sz="4" w:space="0" w:color="auto"/>
              <w:right w:val="single" w:sz="4" w:space="0" w:color="auto"/>
            </w:tcBorders>
            <w:shd w:val="clear" w:color="auto" w:fill="auto"/>
            <w:noWrap/>
            <w:vAlign w:val="bottom"/>
            <w:hideMark/>
          </w:tcPr>
          <w:p w14:paraId="2543BA90"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462 430,43</w:t>
            </w:r>
          </w:p>
        </w:tc>
      </w:tr>
      <w:tr w:rsidR="009D6C98" w:rsidRPr="00E56406" w14:paraId="4EC7E6D9"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171D9B3F"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Zambrów (W)</w:t>
            </w:r>
          </w:p>
        </w:tc>
        <w:tc>
          <w:tcPr>
            <w:tcW w:w="1197" w:type="pct"/>
            <w:tcBorders>
              <w:top w:val="nil"/>
              <w:left w:val="nil"/>
              <w:bottom w:val="single" w:sz="4" w:space="0" w:color="auto"/>
              <w:right w:val="single" w:sz="4" w:space="0" w:color="auto"/>
            </w:tcBorders>
            <w:shd w:val="clear" w:color="auto" w:fill="auto"/>
            <w:noWrap/>
            <w:hideMark/>
          </w:tcPr>
          <w:p w14:paraId="65D97442"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zambrowski</w:t>
            </w:r>
          </w:p>
        </w:tc>
        <w:tc>
          <w:tcPr>
            <w:tcW w:w="1087" w:type="pct"/>
            <w:tcBorders>
              <w:top w:val="nil"/>
              <w:left w:val="nil"/>
              <w:bottom w:val="single" w:sz="4" w:space="0" w:color="auto"/>
              <w:right w:val="single" w:sz="4" w:space="0" w:color="auto"/>
            </w:tcBorders>
            <w:shd w:val="clear" w:color="auto" w:fill="auto"/>
            <w:noWrap/>
            <w:vAlign w:val="bottom"/>
            <w:hideMark/>
          </w:tcPr>
          <w:p w14:paraId="624E06E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297 955,87</w:t>
            </w:r>
          </w:p>
        </w:tc>
        <w:tc>
          <w:tcPr>
            <w:tcW w:w="1087" w:type="pct"/>
            <w:tcBorders>
              <w:top w:val="nil"/>
              <w:left w:val="nil"/>
              <w:bottom w:val="single" w:sz="4" w:space="0" w:color="auto"/>
              <w:right w:val="single" w:sz="4" w:space="0" w:color="auto"/>
            </w:tcBorders>
            <w:shd w:val="clear" w:color="auto" w:fill="auto"/>
            <w:noWrap/>
            <w:vAlign w:val="bottom"/>
            <w:hideMark/>
          </w:tcPr>
          <w:p w14:paraId="666BC094"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191 094,07</w:t>
            </w:r>
          </w:p>
        </w:tc>
      </w:tr>
      <w:tr w:rsidR="009D6C98" w:rsidRPr="00E56406" w14:paraId="77D28F7C"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5F0010D"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Zawady</w:t>
            </w:r>
          </w:p>
        </w:tc>
        <w:tc>
          <w:tcPr>
            <w:tcW w:w="1197" w:type="pct"/>
            <w:tcBorders>
              <w:top w:val="nil"/>
              <w:left w:val="nil"/>
              <w:bottom w:val="single" w:sz="4" w:space="0" w:color="auto"/>
              <w:right w:val="single" w:sz="4" w:space="0" w:color="auto"/>
            </w:tcBorders>
            <w:shd w:val="clear" w:color="auto" w:fill="auto"/>
            <w:noWrap/>
            <w:hideMark/>
          </w:tcPr>
          <w:p w14:paraId="436530FB"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białostocki</w:t>
            </w:r>
          </w:p>
        </w:tc>
        <w:tc>
          <w:tcPr>
            <w:tcW w:w="1087" w:type="pct"/>
            <w:tcBorders>
              <w:top w:val="nil"/>
              <w:left w:val="nil"/>
              <w:bottom w:val="single" w:sz="4" w:space="0" w:color="auto"/>
              <w:right w:val="single" w:sz="4" w:space="0" w:color="auto"/>
            </w:tcBorders>
            <w:shd w:val="clear" w:color="auto" w:fill="auto"/>
            <w:noWrap/>
            <w:vAlign w:val="bottom"/>
            <w:hideMark/>
          </w:tcPr>
          <w:p w14:paraId="1C14DE2F"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185 969,99</w:t>
            </w:r>
          </w:p>
        </w:tc>
        <w:tc>
          <w:tcPr>
            <w:tcW w:w="1087" w:type="pct"/>
            <w:tcBorders>
              <w:top w:val="nil"/>
              <w:left w:val="nil"/>
              <w:bottom w:val="single" w:sz="4" w:space="0" w:color="auto"/>
              <w:right w:val="single" w:sz="4" w:space="0" w:color="auto"/>
            </w:tcBorders>
            <w:shd w:val="clear" w:color="auto" w:fill="auto"/>
            <w:noWrap/>
            <w:vAlign w:val="bottom"/>
            <w:hideMark/>
          </w:tcPr>
          <w:p w14:paraId="679C721C"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96 832,29</w:t>
            </w:r>
          </w:p>
        </w:tc>
      </w:tr>
      <w:tr w:rsidR="009D6C98" w:rsidRPr="00E56406" w14:paraId="0150E662" w14:textId="77777777" w:rsidTr="008D1812">
        <w:trPr>
          <w:trHeight w:val="270"/>
        </w:trPr>
        <w:tc>
          <w:tcPr>
            <w:tcW w:w="1629" w:type="pct"/>
            <w:tcBorders>
              <w:top w:val="nil"/>
              <w:left w:val="single" w:sz="4" w:space="0" w:color="auto"/>
              <w:bottom w:val="single" w:sz="4" w:space="0" w:color="auto"/>
              <w:right w:val="single" w:sz="4" w:space="0" w:color="auto"/>
            </w:tcBorders>
            <w:shd w:val="clear" w:color="auto" w:fill="auto"/>
            <w:noWrap/>
            <w:vAlign w:val="bottom"/>
            <w:hideMark/>
          </w:tcPr>
          <w:p w14:paraId="63D776CA"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Zbójna</w:t>
            </w:r>
          </w:p>
        </w:tc>
        <w:tc>
          <w:tcPr>
            <w:tcW w:w="1197" w:type="pct"/>
            <w:tcBorders>
              <w:top w:val="nil"/>
              <w:left w:val="nil"/>
              <w:bottom w:val="single" w:sz="4" w:space="0" w:color="auto"/>
              <w:right w:val="single" w:sz="4" w:space="0" w:color="auto"/>
            </w:tcBorders>
            <w:shd w:val="clear" w:color="auto" w:fill="auto"/>
            <w:noWrap/>
            <w:hideMark/>
          </w:tcPr>
          <w:p w14:paraId="5BF50F34" w14:textId="77777777" w:rsidR="009D6C98" w:rsidRPr="00E56406" w:rsidRDefault="009D6C98" w:rsidP="000803B3">
            <w:pPr>
              <w:spacing w:line="240" w:lineRule="auto"/>
              <w:rPr>
                <w:rFonts w:asciiTheme="minorHAnsi" w:hAnsiTheme="minorHAnsi" w:cstheme="minorHAnsi"/>
                <w:sz w:val="20"/>
                <w:szCs w:val="20"/>
              </w:rPr>
            </w:pPr>
            <w:r w:rsidRPr="00E56406">
              <w:rPr>
                <w:rFonts w:asciiTheme="minorHAnsi" w:hAnsiTheme="minorHAnsi" w:cstheme="minorHAnsi"/>
                <w:sz w:val="20"/>
                <w:szCs w:val="20"/>
              </w:rPr>
              <w:t>łomżyński</w:t>
            </w:r>
          </w:p>
        </w:tc>
        <w:tc>
          <w:tcPr>
            <w:tcW w:w="1087" w:type="pct"/>
            <w:tcBorders>
              <w:top w:val="nil"/>
              <w:left w:val="nil"/>
              <w:bottom w:val="single" w:sz="4" w:space="0" w:color="auto"/>
              <w:right w:val="single" w:sz="4" w:space="0" w:color="auto"/>
            </w:tcBorders>
            <w:shd w:val="clear" w:color="auto" w:fill="auto"/>
            <w:noWrap/>
            <w:vAlign w:val="bottom"/>
            <w:hideMark/>
          </w:tcPr>
          <w:p w14:paraId="63552657"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303 918,09</w:t>
            </w:r>
          </w:p>
        </w:tc>
        <w:tc>
          <w:tcPr>
            <w:tcW w:w="1087" w:type="pct"/>
            <w:tcBorders>
              <w:top w:val="nil"/>
              <w:left w:val="nil"/>
              <w:bottom w:val="single" w:sz="4" w:space="0" w:color="auto"/>
              <w:right w:val="single" w:sz="4" w:space="0" w:color="auto"/>
            </w:tcBorders>
            <w:shd w:val="clear" w:color="auto" w:fill="auto"/>
            <w:noWrap/>
            <w:vAlign w:val="bottom"/>
            <w:hideMark/>
          </w:tcPr>
          <w:p w14:paraId="54ACB963" w14:textId="77777777" w:rsidR="009D6C98" w:rsidRPr="00E56406" w:rsidRDefault="009D6C98" w:rsidP="000803B3">
            <w:pPr>
              <w:spacing w:line="240" w:lineRule="auto"/>
              <w:jc w:val="right"/>
              <w:rPr>
                <w:rFonts w:asciiTheme="minorHAnsi" w:hAnsiTheme="minorHAnsi" w:cstheme="minorHAnsi"/>
                <w:b/>
                <w:bCs/>
                <w:sz w:val="20"/>
                <w:szCs w:val="20"/>
              </w:rPr>
            </w:pPr>
            <w:r w:rsidRPr="00E56406">
              <w:rPr>
                <w:rFonts w:asciiTheme="minorHAnsi" w:hAnsiTheme="minorHAnsi" w:cstheme="minorHAnsi"/>
                <w:b/>
                <w:bCs/>
                <w:sz w:val="20"/>
                <w:szCs w:val="20"/>
              </w:rPr>
              <w:t>201 014,06</w:t>
            </w:r>
          </w:p>
        </w:tc>
      </w:tr>
    </w:tbl>
    <w:p w14:paraId="5AB2FD32" w14:textId="77777777" w:rsidR="00281174" w:rsidRDefault="00281174">
      <w:pPr>
        <w:spacing w:after="160" w:line="259" w:lineRule="auto"/>
        <w:rPr>
          <w:szCs w:val="32"/>
        </w:rPr>
      </w:pPr>
    </w:p>
    <w:p w14:paraId="708D7A97" w14:textId="522E7107" w:rsidR="009C4158" w:rsidRDefault="009C4158">
      <w:pPr>
        <w:spacing w:after="160" w:line="259" w:lineRule="auto"/>
        <w:rPr>
          <w:rFonts w:asciiTheme="minorHAnsi" w:hAnsiTheme="minorHAnsi" w:cstheme="minorHAnsi"/>
          <w:b/>
          <w:sz w:val="32"/>
          <w:szCs w:val="32"/>
        </w:rPr>
      </w:pPr>
      <w:r>
        <w:rPr>
          <w:szCs w:val="32"/>
        </w:rPr>
        <w:br w:type="page"/>
      </w:r>
    </w:p>
    <w:p w14:paraId="1003A67C" w14:textId="261F9014" w:rsidR="008F04E7" w:rsidRPr="00096DF4" w:rsidRDefault="00A4466E" w:rsidP="008F04E7">
      <w:pPr>
        <w:pStyle w:val="Nagwek1"/>
        <w:spacing w:line="276" w:lineRule="auto"/>
        <w:jc w:val="both"/>
        <w:rPr>
          <w:szCs w:val="32"/>
        </w:rPr>
      </w:pPr>
      <w:bookmarkStart w:id="6" w:name="_Toc117597603"/>
      <w:r w:rsidRPr="00E56406">
        <w:rPr>
          <w:szCs w:val="32"/>
        </w:rPr>
        <w:lastRenderedPageBreak/>
        <w:t xml:space="preserve">G. </w:t>
      </w:r>
      <w:r w:rsidR="008F04E7" w:rsidRPr="00096DF4">
        <w:rPr>
          <w:szCs w:val="32"/>
        </w:rPr>
        <w:t>Wysokość dostępnych środków przeznaczonych na realizację LSR w ramach programu Fundusze Europejskie dla Pomorza 2021-2027</w:t>
      </w:r>
      <w:bookmarkEnd w:id="6"/>
    </w:p>
    <w:p w14:paraId="7716A5A8" w14:textId="77777777" w:rsidR="008F04E7" w:rsidRDefault="008F04E7" w:rsidP="008F04E7">
      <w:pPr>
        <w:pStyle w:val="AkapitStandardowyRyczat"/>
        <w:spacing w:line="276" w:lineRule="auto"/>
        <w:rPr>
          <w:rFonts w:asciiTheme="minorHAnsi" w:hAnsiTheme="minorHAnsi" w:cstheme="minorHAnsi"/>
          <w:sz w:val="24"/>
          <w:szCs w:val="24"/>
        </w:rPr>
      </w:pPr>
      <w:r w:rsidRPr="00096DF4">
        <w:rPr>
          <w:rFonts w:asciiTheme="minorHAnsi" w:hAnsiTheme="minorHAnsi" w:cstheme="minorHAnsi"/>
          <w:sz w:val="24"/>
          <w:szCs w:val="24"/>
        </w:rPr>
        <w:t xml:space="preserve">W województwie pomorskim wysokość środków FEP 2021-2027 na instrument RLKS wynosi 40 mln EUR, w tym 30 mln EUR pochodzących ze środków Europejskiego Funduszu Rozwoju Regionalnego, 10 mln EUR ze środków Europejskiego Funduszu Społecznego+. </w:t>
      </w:r>
    </w:p>
    <w:p w14:paraId="3ADE0A3A" w14:textId="77777777" w:rsidR="008F04E7" w:rsidRPr="00096DF4" w:rsidRDefault="008F04E7" w:rsidP="008F04E7">
      <w:pPr>
        <w:pStyle w:val="AkapitStandardowyRyczat"/>
        <w:spacing w:line="276" w:lineRule="auto"/>
        <w:rPr>
          <w:rFonts w:asciiTheme="minorHAnsi" w:hAnsiTheme="minorHAnsi" w:cstheme="minorHAnsi"/>
          <w:sz w:val="24"/>
          <w:szCs w:val="24"/>
        </w:rPr>
      </w:pPr>
      <w:r>
        <w:rPr>
          <w:rFonts w:asciiTheme="minorHAnsi" w:hAnsiTheme="minorHAnsi" w:cstheme="minorHAnsi"/>
        </w:rPr>
        <w:t>Kwota 40 mln euro to kwota przeznaczona na całokształt wdrażania i zarządzania instrumentem RLKS w ramach FEP 2021-2027.</w:t>
      </w:r>
    </w:p>
    <w:p w14:paraId="733B37FF" w14:textId="77777777" w:rsidR="008F04E7" w:rsidRPr="00096DF4" w:rsidRDefault="008F04E7" w:rsidP="008F04E7">
      <w:pPr>
        <w:pStyle w:val="AkapitStandardowyRyczat"/>
        <w:spacing w:line="276" w:lineRule="auto"/>
        <w:rPr>
          <w:rFonts w:asciiTheme="minorHAnsi" w:hAnsiTheme="minorHAnsi" w:cstheme="minorHAnsi"/>
          <w:sz w:val="24"/>
          <w:szCs w:val="24"/>
        </w:rPr>
      </w:pPr>
      <w:r w:rsidRPr="00096DF4">
        <w:rPr>
          <w:rFonts w:asciiTheme="minorHAnsi" w:hAnsiTheme="minorHAnsi" w:cstheme="minorHAnsi"/>
          <w:sz w:val="24"/>
          <w:szCs w:val="24"/>
        </w:rPr>
        <w:t>Instrument RLKS realizowany będzie w 3-ech Priorytetach FEP 2021-2027, w ramach 5-iu celów szczegółowych</w:t>
      </w:r>
      <w:r>
        <w:rPr>
          <w:rFonts w:asciiTheme="minorHAnsi" w:hAnsiTheme="minorHAnsi" w:cstheme="minorHAnsi"/>
          <w:sz w:val="24"/>
          <w:szCs w:val="24"/>
        </w:rPr>
        <w:t xml:space="preserve">, </w:t>
      </w:r>
      <w:r w:rsidRPr="00F92AD6">
        <w:rPr>
          <w:rFonts w:asciiTheme="minorHAnsi" w:hAnsiTheme="minorHAnsi" w:cstheme="minorHAnsi"/>
        </w:rPr>
        <w:t>zawartych w dwóch celach głównych polityki.</w:t>
      </w:r>
      <w:r w:rsidRPr="00096DF4">
        <w:rPr>
          <w:rFonts w:asciiTheme="minorHAnsi" w:hAnsiTheme="minorHAnsi" w:cstheme="minorHAnsi"/>
          <w:sz w:val="24"/>
          <w:szCs w:val="24"/>
        </w:rPr>
        <w:t>.</w:t>
      </w:r>
    </w:p>
    <w:p w14:paraId="41E0252D" w14:textId="77777777" w:rsidR="008F04E7" w:rsidRPr="00096DF4" w:rsidRDefault="008F04E7" w:rsidP="008F04E7">
      <w:pPr>
        <w:pStyle w:val="AkapitStandardowyRyczat"/>
        <w:numPr>
          <w:ilvl w:val="0"/>
          <w:numId w:val="38"/>
        </w:numPr>
        <w:spacing w:line="276" w:lineRule="auto"/>
        <w:rPr>
          <w:rFonts w:asciiTheme="minorHAnsi" w:hAnsiTheme="minorHAnsi" w:cstheme="minorHAnsi"/>
          <w:sz w:val="24"/>
          <w:szCs w:val="24"/>
          <w:u w:val="single"/>
        </w:rPr>
      </w:pPr>
      <w:r w:rsidRPr="00096DF4">
        <w:rPr>
          <w:rFonts w:asciiTheme="minorHAnsi" w:hAnsiTheme="minorHAnsi" w:cstheme="minorHAnsi"/>
          <w:bCs/>
          <w:sz w:val="24"/>
          <w:szCs w:val="24"/>
          <w:u w:val="single"/>
        </w:rPr>
        <w:t xml:space="preserve">Priorytet 2. </w:t>
      </w:r>
      <w:r w:rsidRPr="006F4B88">
        <w:rPr>
          <w:rFonts w:asciiTheme="minorHAnsi" w:hAnsiTheme="minorHAnsi" w:cstheme="minorHAnsi"/>
          <w:bCs/>
          <w:sz w:val="24"/>
          <w:szCs w:val="24"/>
          <w:u w:val="single"/>
        </w:rPr>
        <w:t>Fundusze europejskie dla zielonego Po</w:t>
      </w:r>
      <w:r>
        <w:rPr>
          <w:rFonts w:asciiTheme="minorHAnsi" w:hAnsiTheme="minorHAnsi" w:cstheme="minorHAnsi"/>
          <w:bCs/>
          <w:sz w:val="24"/>
          <w:szCs w:val="24"/>
          <w:u w:val="single"/>
        </w:rPr>
        <w:t>morza (CP2) - EFRR - 15 mln EUR</w:t>
      </w:r>
    </w:p>
    <w:p w14:paraId="4EFF0CC8" w14:textId="77777777" w:rsidR="008F04E7" w:rsidRPr="00096DF4" w:rsidRDefault="008F04E7" w:rsidP="008F04E7">
      <w:pPr>
        <w:pStyle w:val="AkapitStandardowyRyczat"/>
        <w:spacing w:line="276" w:lineRule="auto"/>
        <w:ind w:left="360"/>
        <w:rPr>
          <w:rFonts w:asciiTheme="minorHAnsi" w:hAnsiTheme="minorHAnsi" w:cstheme="minorHAnsi"/>
          <w:bCs/>
          <w:sz w:val="24"/>
          <w:szCs w:val="24"/>
        </w:rPr>
      </w:pPr>
      <w:r w:rsidRPr="00096DF4">
        <w:rPr>
          <w:rFonts w:asciiTheme="minorHAnsi" w:hAnsiTheme="minorHAnsi" w:cstheme="minorHAnsi"/>
          <w:bCs/>
          <w:sz w:val="24"/>
          <w:szCs w:val="24"/>
        </w:rPr>
        <w:t xml:space="preserve">(ii) wspieranie energii odnawialnej zgodnie z dyrektywą (UE) 2018/2001, w tym z określonymi w niej kryteriami zrównoważonego rozwoju – </w:t>
      </w:r>
      <w:r w:rsidRPr="00150A94">
        <w:rPr>
          <w:rFonts w:asciiTheme="minorHAnsi" w:hAnsiTheme="minorHAnsi" w:cstheme="minorHAnsi"/>
          <w:bCs/>
          <w:sz w:val="24"/>
          <w:szCs w:val="24"/>
          <w:u w:val="single"/>
        </w:rPr>
        <w:t>10 mln EUR</w:t>
      </w:r>
    </w:p>
    <w:p w14:paraId="299A41E7" w14:textId="77777777" w:rsidR="008F04E7" w:rsidRPr="00096DF4" w:rsidRDefault="008F04E7" w:rsidP="008F04E7">
      <w:pPr>
        <w:pStyle w:val="AkapitStandardowyRyczat"/>
        <w:spacing w:line="276" w:lineRule="auto"/>
        <w:ind w:left="360"/>
        <w:rPr>
          <w:rFonts w:asciiTheme="minorHAnsi" w:hAnsiTheme="minorHAnsi" w:cstheme="minorHAnsi"/>
          <w:sz w:val="24"/>
          <w:szCs w:val="24"/>
        </w:rPr>
      </w:pPr>
      <w:r w:rsidRPr="00096DF4">
        <w:rPr>
          <w:rFonts w:asciiTheme="minorHAnsi" w:hAnsiTheme="minorHAnsi" w:cstheme="minorHAnsi"/>
          <w:bCs/>
          <w:sz w:val="24"/>
          <w:szCs w:val="24"/>
        </w:rPr>
        <w:t xml:space="preserve">(vii) wzmacnianie ochrony i zachowania przyrody, różnorodności biologicznej oraz zielonej infrastruktury, w tym na obszarach miejskich, oraz ograniczenie wszelkich rodzajów zanieczyszczenia – </w:t>
      </w:r>
      <w:r w:rsidRPr="00150A94">
        <w:rPr>
          <w:rFonts w:asciiTheme="minorHAnsi" w:hAnsiTheme="minorHAnsi" w:cstheme="minorHAnsi"/>
          <w:bCs/>
          <w:sz w:val="24"/>
          <w:szCs w:val="24"/>
          <w:u w:val="single"/>
        </w:rPr>
        <w:t>5 mln EUR</w:t>
      </w:r>
      <w:r w:rsidRPr="00096DF4">
        <w:rPr>
          <w:rFonts w:asciiTheme="minorHAnsi" w:hAnsiTheme="minorHAnsi" w:cstheme="minorHAnsi"/>
          <w:bCs/>
          <w:sz w:val="24"/>
          <w:szCs w:val="24"/>
        </w:rPr>
        <w:t xml:space="preserve">  </w:t>
      </w:r>
    </w:p>
    <w:p w14:paraId="1DDF0E51" w14:textId="77777777" w:rsidR="008F04E7" w:rsidRPr="00096DF4" w:rsidRDefault="008F04E7" w:rsidP="008F04E7">
      <w:pPr>
        <w:pStyle w:val="AkapitStandardowyRyczat"/>
        <w:numPr>
          <w:ilvl w:val="0"/>
          <w:numId w:val="38"/>
        </w:numPr>
        <w:spacing w:line="276" w:lineRule="auto"/>
        <w:rPr>
          <w:rFonts w:asciiTheme="minorHAnsi" w:hAnsiTheme="minorHAnsi" w:cstheme="minorHAnsi"/>
          <w:sz w:val="24"/>
          <w:szCs w:val="24"/>
          <w:u w:val="single"/>
        </w:rPr>
      </w:pPr>
      <w:r w:rsidRPr="00096DF4">
        <w:rPr>
          <w:rFonts w:asciiTheme="minorHAnsi" w:hAnsiTheme="minorHAnsi" w:cstheme="minorHAnsi"/>
          <w:bCs/>
          <w:sz w:val="24"/>
          <w:szCs w:val="24"/>
          <w:u w:val="single"/>
        </w:rPr>
        <w:t xml:space="preserve">Priorytet 5. </w:t>
      </w:r>
      <w:r w:rsidRPr="006F4B88">
        <w:rPr>
          <w:rFonts w:asciiTheme="minorHAnsi" w:hAnsiTheme="minorHAnsi" w:cstheme="minorHAnsi"/>
          <w:bCs/>
          <w:sz w:val="24"/>
          <w:szCs w:val="24"/>
          <w:u w:val="single"/>
        </w:rPr>
        <w:t>Fundusze europejskie dla silnego społecznie P</w:t>
      </w:r>
      <w:r>
        <w:rPr>
          <w:rFonts w:asciiTheme="minorHAnsi" w:hAnsiTheme="minorHAnsi" w:cstheme="minorHAnsi"/>
          <w:bCs/>
          <w:sz w:val="24"/>
          <w:szCs w:val="24"/>
          <w:u w:val="single"/>
        </w:rPr>
        <w:t>omorza (CP4) – EFS+ – 10 mln EUR</w:t>
      </w:r>
    </w:p>
    <w:p w14:paraId="1134F346" w14:textId="77777777" w:rsidR="008F04E7" w:rsidRPr="00096DF4" w:rsidRDefault="008F04E7" w:rsidP="008F04E7">
      <w:pPr>
        <w:pStyle w:val="AkapitStandardowyRyczat"/>
        <w:spacing w:line="276" w:lineRule="auto"/>
        <w:ind w:left="360"/>
        <w:rPr>
          <w:rFonts w:asciiTheme="minorHAnsi" w:hAnsiTheme="minorHAnsi" w:cstheme="minorHAnsi"/>
          <w:bCs/>
          <w:sz w:val="24"/>
          <w:szCs w:val="24"/>
        </w:rPr>
      </w:pPr>
      <w:r w:rsidRPr="00096DF4">
        <w:rPr>
          <w:rFonts w:asciiTheme="minorHAnsi" w:hAnsiTheme="minorHAnsi" w:cstheme="minorHAnsi"/>
          <w:bCs/>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37658099" w14:textId="77777777" w:rsidR="008F04E7" w:rsidRPr="00096DF4" w:rsidRDefault="008F04E7" w:rsidP="008F04E7">
      <w:pPr>
        <w:pStyle w:val="AkapitStandardowyRyczat"/>
        <w:numPr>
          <w:ilvl w:val="0"/>
          <w:numId w:val="38"/>
        </w:numPr>
        <w:spacing w:line="276" w:lineRule="auto"/>
        <w:ind w:left="426"/>
        <w:rPr>
          <w:rFonts w:asciiTheme="minorHAnsi" w:hAnsiTheme="minorHAnsi" w:cstheme="minorHAnsi"/>
          <w:bCs/>
          <w:sz w:val="24"/>
          <w:szCs w:val="24"/>
          <w:u w:val="single"/>
        </w:rPr>
      </w:pPr>
      <w:r w:rsidRPr="00096DF4">
        <w:rPr>
          <w:rFonts w:asciiTheme="minorHAnsi" w:hAnsiTheme="minorHAnsi" w:cstheme="minorHAnsi"/>
          <w:bCs/>
          <w:sz w:val="24"/>
          <w:szCs w:val="24"/>
          <w:u w:val="single"/>
        </w:rPr>
        <w:t xml:space="preserve">Priorytet 6. </w:t>
      </w:r>
      <w:r w:rsidRPr="00F92AD6">
        <w:rPr>
          <w:rFonts w:asciiTheme="minorHAnsi" w:hAnsiTheme="minorHAnsi" w:cstheme="minorHAnsi"/>
          <w:bCs/>
          <w:u w:val="single"/>
        </w:rPr>
        <w:t xml:space="preserve">Fundusze europejskie dla silnego społecznie Pomorza (CP4) </w:t>
      </w:r>
      <w:r>
        <w:rPr>
          <w:rFonts w:asciiTheme="minorHAnsi" w:hAnsiTheme="minorHAnsi" w:cstheme="minorHAnsi"/>
          <w:bCs/>
          <w:u w:val="single"/>
        </w:rPr>
        <w:t>–</w:t>
      </w:r>
      <w:r w:rsidRPr="00F92AD6">
        <w:rPr>
          <w:rFonts w:asciiTheme="minorHAnsi" w:hAnsiTheme="minorHAnsi" w:cstheme="minorHAnsi"/>
          <w:bCs/>
          <w:u w:val="single"/>
        </w:rPr>
        <w:t xml:space="preserve"> EFRR</w:t>
      </w:r>
      <w:r>
        <w:rPr>
          <w:rFonts w:asciiTheme="minorHAnsi" w:hAnsiTheme="minorHAnsi" w:cstheme="minorHAnsi"/>
          <w:bCs/>
          <w:u w:val="single"/>
        </w:rPr>
        <w:t xml:space="preserve"> </w:t>
      </w:r>
      <w:r w:rsidRPr="00F92AD6">
        <w:rPr>
          <w:rFonts w:asciiTheme="minorHAnsi" w:hAnsiTheme="minorHAnsi" w:cstheme="minorHAnsi"/>
          <w:bCs/>
          <w:u w:val="single"/>
        </w:rPr>
        <w:t xml:space="preserve">– </w:t>
      </w:r>
      <w:r>
        <w:rPr>
          <w:rFonts w:asciiTheme="minorHAnsi" w:hAnsiTheme="minorHAnsi" w:cstheme="minorHAnsi"/>
          <w:b/>
          <w:bCs/>
          <w:u w:val="single"/>
        </w:rPr>
        <w:t>15 mln EUR</w:t>
      </w:r>
    </w:p>
    <w:p w14:paraId="4C0341F3" w14:textId="77777777" w:rsidR="008F04E7" w:rsidRPr="00096DF4" w:rsidRDefault="008F04E7" w:rsidP="008F04E7">
      <w:pPr>
        <w:pStyle w:val="AkapitStandardowyRyczat"/>
        <w:spacing w:line="276" w:lineRule="auto"/>
        <w:ind w:left="360"/>
        <w:rPr>
          <w:rFonts w:asciiTheme="minorHAnsi" w:hAnsiTheme="minorHAnsi" w:cstheme="minorHAnsi"/>
          <w:bCs/>
          <w:sz w:val="24"/>
          <w:szCs w:val="24"/>
        </w:rPr>
      </w:pPr>
      <w:r w:rsidRPr="00096DF4">
        <w:rPr>
          <w:rFonts w:asciiTheme="minorHAnsi" w:hAnsiTheme="minorHAnsi" w:cstheme="minorHAnsi"/>
          <w:bCs/>
          <w:sz w:val="24"/>
          <w:szCs w:val="24"/>
        </w:rPr>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 </w:t>
      </w:r>
      <w:r w:rsidRPr="00150A94">
        <w:rPr>
          <w:rFonts w:asciiTheme="minorHAnsi" w:hAnsiTheme="minorHAnsi" w:cstheme="minorHAnsi"/>
          <w:bCs/>
          <w:sz w:val="24"/>
          <w:szCs w:val="24"/>
          <w:u w:val="single"/>
        </w:rPr>
        <w:t>5 mln EUR</w:t>
      </w:r>
      <w:r w:rsidRPr="00096DF4">
        <w:rPr>
          <w:rFonts w:asciiTheme="minorHAnsi" w:hAnsiTheme="minorHAnsi" w:cstheme="minorHAnsi"/>
          <w:bCs/>
          <w:sz w:val="24"/>
          <w:szCs w:val="24"/>
        </w:rPr>
        <w:t xml:space="preserve"> </w:t>
      </w:r>
    </w:p>
    <w:p w14:paraId="3405F559" w14:textId="77777777" w:rsidR="008F04E7" w:rsidRPr="00096DF4" w:rsidRDefault="008F04E7" w:rsidP="008F04E7">
      <w:pPr>
        <w:pStyle w:val="AkapitStandardowyRyczat"/>
        <w:spacing w:line="276" w:lineRule="auto"/>
        <w:ind w:left="360"/>
        <w:rPr>
          <w:rFonts w:asciiTheme="minorHAnsi" w:hAnsiTheme="minorHAnsi" w:cstheme="minorHAnsi"/>
          <w:bCs/>
          <w:sz w:val="24"/>
          <w:szCs w:val="24"/>
        </w:rPr>
      </w:pPr>
      <w:r w:rsidRPr="00096DF4">
        <w:rPr>
          <w:rFonts w:asciiTheme="minorHAnsi" w:hAnsiTheme="minorHAnsi" w:cstheme="minorHAnsi"/>
          <w:bCs/>
          <w:sz w:val="24"/>
          <w:szCs w:val="24"/>
        </w:rPr>
        <w:t xml:space="preserve">(vi) wzmacnianie roli kultury i zrównoważonej turystyki w rozwoju gospodarczym, włączeniu społecznym i innowacjach społecznych – </w:t>
      </w:r>
      <w:r w:rsidRPr="00150A94">
        <w:rPr>
          <w:rFonts w:asciiTheme="minorHAnsi" w:hAnsiTheme="minorHAnsi" w:cstheme="minorHAnsi"/>
          <w:bCs/>
          <w:sz w:val="24"/>
          <w:szCs w:val="24"/>
          <w:u w:val="single"/>
        </w:rPr>
        <w:t>10 mln EUR.</w:t>
      </w:r>
    </w:p>
    <w:p w14:paraId="63A22AA7" w14:textId="77777777" w:rsidR="008F04E7" w:rsidRPr="00150A94" w:rsidRDefault="008F04E7" w:rsidP="008F04E7">
      <w:pPr>
        <w:pStyle w:val="Default"/>
        <w:spacing w:after="0" w:line="276" w:lineRule="auto"/>
        <w:rPr>
          <w:b/>
        </w:rPr>
      </w:pPr>
      <w:r w:rsidRPr="00150A94">
        <w:rPr>
          <w:b/>
        </w:rPr>
        <w:lastRenderedPageBreak/>
        <w:t xml:space="preserve">Wysokość dostępnych środków na wdrażanie LSR w odniesieniu do pojedynczej LSR stanowić będzie sumę środków ustalonych odrębnie dla każdego z celów szczegółowych. </w:t>
      </w:r>
    </w:p>
    <w:p w14:paraId="5F4B21E8" w14:textId="77777777" w:rsidR="008F04E7" w:rsidRPr="00096DF4" w:rsidRDefault="008F04E7" w:rsidP="008F04E7">
      <w:pPr>
        <w:pStyle w:val="Default"/>
        <w:spacing w:before="0" w:line="276" w:lineRule="auto"/>
      </w:pPr>
      <w:r w:rsidRPr="00096DF4">
        <w:t xml:space="preserve">W odniesieniu do poszczególnych celów szczegółowych, wysokość środków dla pojedynczej LSR ustalana będzie w następujący sposób. </w:t>
      </w:r>
    </w:p>
    <w:p w14:paraId="6060A7EE" w14:textId="77777777" w:rsidR="008F04E7" w:rsidRPr="00F92AD6" w:rsidRDefault="008F04E7" w:rsidP="008F04E7">
      <w:pPr>
        <w:pStyle w:val="Default"/>
        <w:numPr>
          <w:ilvl w:val="0"/>
          <w:numId w:val="58"/>
        </w:numPr>
        <w:autoSpaceDE w:val="0"/>
        <w:autoSpaceDN w:val="0"/>
        <w:adjustRightInd w:val="0"/>
        <w:spacing w:before="0" w:after="0" w:line="276" w:lineRule="auto"/>
        <w:rPr>
          <w:bCs/>
          <w:sz w:val="22"/>
          <w:szCs w:val="22"/>
        </w:rPr>
      </w:pPr>
      <w:r w:rsidRPr="00F92AD6">
        <w:rPr>
          <w:bCs/>
          <w:sz w:val="22"/>
          <w:szCs w:val="22"/>
          <w:u w:val="single"/>
        </w:rPr>
        <w:t>Priorytet 2. Fundusze europejskie dla zielonego Pomorza (CP2)</w:t>
      </w:r>
      <w:r w:rsidRPr="00F92AD6">
        <w:rPr>
          <w:bCs/>
          <w:sz w:val="22"/>
          <w:szCs w:val="22"/>
        </w:rPr>
        <w:t xml:space="preserve"> – </w:t>
      </w:r>
      <w:r w:rsidRPr="00F92AD6">
        <w:rPr>
          <w:b/>
          <w:bCs/>
          <w:sz w:val="22"/>
          <w:szCs w:val="22"/>
        </w:rPr>
        <w:t>cel (ii)</w:t>
      </w:r>
      <w:r w:rsidRPr="00EB144B">
        <w:rPr>
          <w:bCs/>
          <w:sz w:val="22"/>
          <w:szCs w:val="22"/>
        </w:rPr>
        <w:t xml:space="preserve"> </w:t>
      </w:r>
      <w:r w:rsidRPr="00B505EF">
        <w:rPr>
          <w:bCs/>
          <w:i/>
          <w:sz w:val="22"/>
          <w:szCs w:val="22"/>
        </w:rPr>
        <w:t>wspieranie energii odnawialnej zgodnie z dyrektywą (UE) 2018/2001, w tym z określonymi w niej kryteriami zrównoważonego rozwoju</w:t>
      </w:r>
      <w:r w:rsidRPr="00EB144B">
        <w:rPr>
          <w:bCs/>
          <w:sz w:val="22"/>
          <w:szCs w:val="22"/>
        </w:rPr>
        <w:t xml:space="preserve"> </w:t>
      </w:r>
      <w:r>
        <w:rPr>
          <w:b/>
          <w:bCs/>
          <w:sz w:val="22"/>
          <w:szCs w:val="22"/>
        </w:rPr>
        <w:t>(10 mln EUR EFRR</w:t>
      </w:r>
      <w:r w:rsidRPr="00B505EF">
        <w:rPr>
          <w:b/>
          <w:bCs/>
          <w:sz w:val="22"/>
          <w:szCs w:val="22"/>
        </w:rPr>
        <w:t>)</w:t>
      </w:r>
      <w:r>
        <w:rPr>
          <w:b/>
          <w:bCs/>
          <w:sz w:val="22"/>
          <w:szCs w:val="22"/>
        </w:rPr>
        <w:t xml:space="preserve"> </w:t>
      </w:r>
    </w:p>
    <w:p w14:paraId="77174FD1" w14:textId="77777777" w:rsidR="008F04E7" w:rsidRPr="00F25471" w:rsidRDefault="008F04E7" w:rsidP="008F04E7">
      <w:pPr>
        <w:pStyle w:val="Default"/>
        <w:spacing w:line="276" w:lineRule="auto"/>
        <w:ind w:left="720"/>
        <w:rPr>
          <w:bCs/>
          <w:sz w:val="22"/>
          <w:szCs w:val="22"/>
        </w:rPr>
      </w:pPr>
    </w:p>
    <w:p w14:paraId="545DF684" w14:textId="77777777" w:rsidR="008F04E7" w:rsidRPr="00123825" w:rsidRDefault="008F04E7" w:rsidP="008F04E7">
      <w:pPr>
        <w:pStyle w:val="Default"/>
        <w:numPr>
          <w:ilvl w:val="0"/>
          <w:numId w:val="40"/>
        </w:numPr>
        <w:autoSpaceDE w:val="0"/>
        <w:autoSpaceDN w:val="0"/>
        <w:adjustRightInd w:val="0"/>
        <w:spacing w:before="0" w:after="0" w:line="276" w:lineRule="auto"/>
        <w:rPr>
          <w:bCs/>
          <w:sz w:val="22"/>
          <w:szCs w:val="22"/>
        </w:rPr>
      </w:pPr>
      <w:r>
        <w:rPr>
          <w:bCs/>
          <w:sz w:val="22"/>
          <w:szCs w:val="22"/>
        </w:rPr>
        <w:t>100% kwoty wg liczby mieszkańców</w:t>
      </w:r>
      <w:r>
        <w:rPr>
          <w:rStyle w:val="Odwoanieprzypisudolnego"/>
          <w:bCs/>
          <w:sz w:val="22"/>
          <w:szCs w:val="22"/>
        </w:rPr>
        <w:footnoteReference w:id="7"/>
      </w:r>
      <w:r>
        <w:rPr>
          <w:bCs/>
          <w:sz w:val="22"/>
          <w:szCs w:val="22"/>
        </w:rPr>
        <w:t xml:space="preserve"> danej LSR </w:t>
      </w:r>
    </w:p>
    <w:p w14:paraId="33C70DE1" w14:textId="77777777" w:rsidR="008F04E7" w:rsidRDefault="008F04E7" w:rsidP="008F04E7">
      <w:pPr>
        <w:pStyle w:val="Default"/>
        <w:spacing w:line="276" w:lineRule="auto"/>
        <w:rPr>
          <w:rFonts w:ascii="Calibri" w:hAnsi="Calibri" w:cs="Calibri"/>
          <w:bCs/>
          <w:sz w:val="22"/>
          <w:szCs w:val="22"/>
        </w:rPr>
      </w:pPr>
    </w:p>
    <w:p w14:paraId="766C481A" w14:textId="77777777" w:rsidR="008F04E7" w:rsidRDefault="008F04E7" w:rsidP="008F04E7">
      <w:pPr>
        <w:pStyle w:val="Default"/>
        <w:spacing w:line="276" w:lineRule="auto"/>
        <w:jc w:val="center"/>
        <w:rPr>
          <w:rFonts w:ascii="Calibri" w:hAnsi="Calibri" w:cs="Calibri"/>
          <w:bCs/>
          <w:sz w:val="22"/>
          <w:szCs w:val="22"/>
        </w:rPr>
      </w:pPr>
      <w:r>
        <w:rPr>
          <w:rFonts w:ascii="Calibri" w:hAnsi="Calibri" w:cs="Calibri"/>
          <w:bCs/>
          <w:sz w:val="22"/>
          <w:szCs w:val="22"/>
        </w:rPr>
        <w:t xml:space="preserve">Kwota LSR </w:t>
      </w:r>
      <m:oMath>
        <m:r>
          <m:rPr>
            <m:sty m:val="p"/>
          </m:rPr>
          <w:rPr>
            <w:rFonts w:ascii="Cambria Math" w:hAnsi="Cambria Math" w:cs="Calibri"/>
            <w:sz w:val="22"/>
            <w:szCs w:val="22"/>
          </w:rPr>
          <m:t>=</m:t>
        </m:r>
        <m:f>
          <m:fPr>
            <m:ctrlPr>
              <w:rPr>
                <w:rFonts w:ascii="Cambria Math" w:hAnsi="Cambria Math" w:cs="Calibri"/>
                <w:bCs/>
                <w:i/>
                <w:iCs/>
                <w:sz w:val="22"/>
                <w:szCs w:val="22"/>
              </w:rPr>
            </m:ctrlPr>
          </m:fPr>
          <m:num>
            <m:r>
              <m:rPr>
                <m:sty m:val="p"/>
              </m:rPr>
              <w:rPr>
                <w:rFonts w:ascii="Cambria Math" w:hAnsi="Cambria Math" w:cs="Calibri"/>
                <w:sz w:val="22"/>
                <w:szCs w:val="22"/>
              </w:rPr>
              <m:t>liczba mieszkańców obszaru danej LSR</m:t>
            </m:r>
          </m:num>
          <m:den>
            <m:r>
              <m:rPr>
                <m:sty m:val="p"/>
              </m:rPr>
              <w:rPr>
                <w:rFonts w:ascii="Cambria Math" w:hAnsi="Cambria Math" w:cs="Calibri"/>
                <w:sz w:val="22"/>
                <w:szCs w:val="22"/>
              </w:rPr>
              <m:t>1 067 253</m:t>
            </m:r>
          </m:den>
        </m:f>
      </m:oMath>
      <w:r>
        <w:rPr>
          <w:rFonts w:ascii="Calibri" w:hAnsi="Calibri" w:cs="Calibri"/>
          <w:bCs/>
          <w:sz w:val="22"/>
          <w:szCs w:val="22"/>
        </w:rPr>
        <w:t xml:space="preserve"> x 10 mln EUR,</w:t>
      </w:r>
    </w:p>
    <w:p w14:paraId="331705B5" w14:textId="77777777" w:rsidR="008F04E7" w:rsidRDefault="008F04E7" w:rsidP="008F04E7">
      <w:pPr>
        <w:pStyle w:val="Default"/>
        <w:spacing w:line="276" w:lineRule="auto"/>
        <w:jc w:val="center"/>
        <w:rPr>
          <w:rFonts w:ascii="Calibri" w:hAnsi="Calibri" w:cs="Calibri"/>
          <w:bCs/>
          <w:sz w:val="22"/>
          <w:szCs w:val="22"/>
        </w:rPr>
      </w:pPr>
    </w:p>
    <w:p w14:paraId="1542B8C3" w14:textId="77777777" w:rsidR="008F04E7" w:rsidRPr="00953C6A" w:rsidRDefault="008F04E7" w:rsidP="008F04E7">
      <w:pPr>
        <w:numPr>
          <w:ilvl w:val="0"/>
          <w:numId w:val="58"/>
        </w:numPr>
        <w:autoSpaceDE w:val="0"/>
        <w:autoSpaceDN w:val="0"/>
        <w:adjustRightInd w:val="0"/>
        <w:spacing w:after="0"/>
        <w:jc w:val="both"/>
        <w:rPr>
          <w:rFonts w:asciiTheme="minorHAnsi" w:eastAsiaTheme="minorHAnsi" w:hAnsiTheme="minorHAnsi" w:cstheme="minorHAnsi"/>
          <w:bCs/>
          <w:color w:val="000000"/>
          <w:lang w:eastAsia="en-US"/>
        </w:rPr>
      </w:pPr>
      <w:r w:rsidRPr="00953C6A">
        <w:rPr>
          <w:rFonts w:asciiTheme="minorHAnsi" w:hAnsiTheme="minorHAnsi" w:cstheme="minorHAnsi"/>
          <w:bCs/>
          <w:color w:val="000000"/>
          <w:u w:val="single"/>
          <w:lang w:eastAsia="en-US"/>
        </w:rPr>
        <w:t>P</w:t>
      </w:r>
      <w:r w:rsidRPr="00953C6A">
        <w:rPr>
          <w:rFonts w:asciiTheme="minorHAnsi" w:eastAsiaTheme="minorHAnsi" w:hAnsiTheme="minorHAnsi" w:cstheme="minorHAnsi"/>
          <w:bCs/>
          <w:color w:val="000000"/>
          <w:u w:val="single"/>
          <w:lang w:eastAsia="en-US"/>
        </w:rPr>
        <w:t>riorytet</w:t>
      </w:r>
      <w:r w:rsidRPr="00953C6A">
        <w:rPr>
          <w:rFonts w:asciiTheme="minorHAnsi" w:hAnsiTheme="minorHAnsi" w:cstheme="minorHAnsi"/>
          <w:bCs/>
          <w:color w:val="000000"/>
          <w:u w:val="single"/>
          <w:lang w:eastAsia="en-US"/>
        </w:rPr>
        <w:t xml:space="preserve"> 2. </w:t>
      </w:r>
      <w:r w:rsidRPr="00953C6A">
        <w:rPr>
          <w:rFonts w:asciiTheme="minorHAnsi" w:eastAsiaTheme="minorHAnsi" w:hAnsiTheme="minorHAnsi" w:cstheme="minorHAnsi"/>
          <w:bCs/>
          <w:color w:val="000000"/>
          <w:u w:val="single"/>
          <w:lang w:eastAsia="en-US"/>
        </w:rPr>
        <w:t xml:space="preserve">Fundusze europejskie dla zielonego Pomorza (CP2) </w:t>
      </w:r>
      <w:r w:rsidRPr="00953C6A">
        <w:rPr>
          <w:rFonts w:asciiTheme="minorHAnsi" w:eastAsiaTheme="minorHAnsi" w:hAnsiTheme="minorHAnsi" w:cstheme="minorHAnsi"/>
          <w:bCs/>
          <w:color w:val="000000"/>
          <w:lang w:eastAsia="en-US"/>
        </w:rPr>
        <w:t xml:space="preserve">– </w:t>
      </w:r>
      <w:r w:rsidRPr="00953C6A">
        <w:rPr>
          <w:rFonts w:asciiTheme="minorHAnsi" w:eastAsiaTheme="minorHAnsi" w:hAnsiTheme="minorHAnsi" w:cstheme="minorHAnsi"/>
          <w:b/>
          <w:bCs/>
          <w:color w:val="000000"/>
          <w:lang w:eastAsia="en-US"/>
        </w:rPr>
        <w:t>cel (vii)</w:t>
      </w:r>
      <w:r w:rsidRPr="00953C6A">
        <w:rPr>
          <w:rFonts w:asciiTheme="minorHAnsi" w:eastAsiaTheme="minorHAnsi" w:hAnsiTheme="minorHAnsi" w:cstheme="minorHAnsi"/>
          <w:bCs/>
          <w:color w:val="000000"/>
          <w:lang w:eastAsia="en-US"/>
        </w:rPr>
        <w:t xml:space="preserve"> </w:t>
      </w:r>
      <w:r w:rsidRPr="00953C6A">
        <w:rPr>
          <w:rFonts w:asciiTheme="minorHAnsi" w:hAnsiTheme="minorHAnsi" w:cstheme="minorHAnsi"/>
          <w:bCs/>
          <w:i/>
          <w:color w:val="000000"/>
          <w:lang w:eastAsia="en-US"/>
        </w:rPr>
        <w:t>wzmacnianie ochrony i zachowania przyrody, różnorodności biologicznej oraz zielonej infrastruktury, w tym na obszarach miejskich, oraz ograniczenie wszelkich rodzajów zanieczyszczenia</w:t>
      </w:r>
      <w:r w:rsidRPr="00953C6A">
        <w:rPr>
          <w:rFonts w:asciiTheme="minorHAnsi" w:hAnsiTheme="minorHAnsi" w:cstheme="minorHAnsi"/>
          <w:bCs/>
          <w:color w:val="000000"/>
          <w:lang w:eastAsia="en-US"/>
        </w:rPr>
        <w:t xml:space="preserve"> </w:t>
      </w:r>
      <w:r w:rsidRPr="00953C6A">
        <w:rPr>
          <w:rFonts w:asciiTheme="minorHAnsi" w:hAnsiTheme="minorHAnsi" w:cstheme="minorHAnsi"/>
          <w:b/>
          <w:bCs/>
          <w:color w:val="000000"/>
          <w:lang w:eastAsia="en-US"/>
        </w:rPr>
        <w:t>(</w:t>
      </w:r>
      <w:r>
        <w:rPr>
          <w:rFonts w:asciiTheme="minorHAnsi" w:hAnsiTheme="minorHAnsi" w:cstheme="minorHAnsi"/>
          <w:b/>
          <w:bCs/>
          <w:color w:val="000000"/>
          <w:lang w:eastAsia="en-US"/>
        </w:rPr>
        <w:t>5 mln EUR</w:t>
      </w:r>
      <w:r w:rsidRPr="00953C6A">
        <w:rPr>
          <w:rFonts w:asciiTheme="minorHAnsi" w:hAnsiTheme="minorHAnsi" w:cstheme="minorHAnsi"/>
          <w:b/>
          <w:bCs/>
          <w:color w:val="000000"/>
          <w:lang w:eastAsia="en-US"/>
        </w:rPr>
        <w:t xml:space="preserve"> EFRR)</w:t>
      </w:r>
      <w:r w:rsidRPr="00953C6A">
        <w:rPr>
          <w:rFonts w:asciiTheme="minorHAnsi" w:hAnsiTheme="minorHAnsi" w:cstheme="minorHAnsi"/>
          <w:bCs/>
          <w:color w:val="000000"/>
          <w:lang w:eastAsia="en-US"/>
        </w:rPr>
        <w:t xml:space="preserve"> </w:t>
      </w:r>
    </w:p>
    <w:p w14:paraId="3BB6D9AC" w14:textId="77777777" w:rsidR="008F04E7" w:rsidRPr="00953C6A" w:rsidRDefault="008F04E7" w:rsidP="008F04E7">
      <w:pPr>
        <w:autoSpaceDE w:val="0"/>
        <w:autoSpaceDN w:val="0"/>
        <w:adjustRightInd w:val="0"/>
        <w:spacing w:after="0"/>
        <w:ind w:left="720"/>
        <w:jc w:val="both"/>
        <w:rPr>
          <w:rFonts w:asciiTheme="minorHAnsi" w:eastAsiaTheme="minorHAnsi" w:hAnsiTheme="minorHAnsi" w:cstheme="minorHAnsi"/>
          <w:bCs/>
          <w:color w:val="000000"/>
          <w:lang w:eastAsia="en-US"/>
        </w:rPr>
      </w:pPr>
    </w:p>
    <w:p w14:paraId="70C9643D" w14:textId="77777777" w:rsidR="008F04E7" w:rsidRPr="00953C6A" w:rsidRDefault="008F04E7" w:rsidP="008F04E7">
      <w:pPr>
        <w:numPr>
          <w:ilvl w:val="0"/>
          <w:numId w:val="41"/>
        </w:numPr>
        <w:autoSpaceDE w:val="0"/>
        <w:autoSpaceDN w:val="0"/>
        <w:adjustRightInd w:val="0"/>
        <w:spacing w:after="0"/>
        <w:jc w:val="both"/>
        <w:rPr>
          <w:rFonts w:asciiTheme="minorHAnsi" w:eastAsiaTheme="minorHAnsi" w:hAnsiTheme="minorHAnsi" w:cstheme="minorHAnsi"/>
          <w:bCs/>
          <w:color w:val="000000"/>
          <w:lang w:eastAsia="en-US"/>
        </w:rPr>
      </w:pPr>
      <w:r w:rsidRPr="00953C6A">
        <w:rPr>
          <w:rFonts w:asciiTheme="minorHAnsi" w:eastAsiaTheme="minorHAnsi" w:hAnsiTheme="minorHAnsi" w:cstheme="minorHAnsi"/>
          <w:bCs/>
          <w:color w:val="000000"/>
          <w:lang w:eastAsia="en-US"/>
        </w:rPr>
        <w:t>50% kwoty wg liczby mieszkańców danej LSR;</w:t>
      </w:r>
    </w:p>
    <w:p w14:paraId="7917604F" w14:textId="77777777" w:rsidR="008F04E7" w:rsidRPr="00953C6A" w:rsidRDefault="008F04E7" w:rsidP="008F04E7">
      <w:pPr>
        <w:numPr>
          <w:ilvl w:val="0"/>
          <w:numId w:val="41"/>
        </w:numPr>
        <w:autoSpaceDE w:val="0"/>
        <w:autoSpaceDN w:val="0"/>
        <w:adjustRightInd w:val="0"/>
        <w:spacing w:after="0"/>
        <w:jc w:val="both"/>
        <w:rPr>
          <w:rFonts w:asciiTheme="minorHAnsi" w:eastAsiaTheme="minorHAnsi" w:hAnsiTheme="minorHAnsi" w:cstheme="minorHAnsi"/>
          <w:bCs/>
          <w:color w:val="000000"/>
          <w:lang w:eastAsia="en-US"/>
        </w:rPr>
      </w:pPr>
      <w:r w:rsidRPr="00953C6A">
        <w:rPr>
          <w:rFonts w:asciiTheme="minorHAnsi" w:eastAsiaTheme="minorHAnsi" w:hAnsiTheme="minorHAnsi" w:cstheme="minorHAnsi"/>
          <w:bCs/>
          <w:color w:val="000000"/>
          <w:lang w:eastAsia="en-US"/>
        </w:rPr>
        <w:t>50% kwoty z wykorzystaniem wskaźnika udziału powierzchni obszarów prawnie chronionych</w:t>
      </w:r>
      <w:r w:rsidRPr="00953C6A">
        <w:rPr>
          <w:rFonts w:asciiTheme="minorHAnsi" w:eastAsiaTheme="minorHAnsi" w:hAnsiTheme="minorHAnsi" w:cstheme="minorHAnsi"/>
          <w:bCs/>
          <w:color w:val="000000"/>
          <w:vertAlign w:val="superscript"/>
          <w:lang w:eastAsia="en-US"/>
        </w:rPr>
        <w:footnoteReference w:id="8"/>
      </w:r>
      <w:r w:rsidRPr="00953C6A">
        <w:rPr>
          <w:rFonts w:asciiTheme="minorHAnsi" w:eastAsiaTheme="minorHAnsi" w:hAnsiTheme="minorHAnsi" w:cstheme="minorHAnsi"/>
          <w:bCs/>
          <w:color w:val="000000"/>
          <w:lang w:eastAsia="en-US"/>
        </w:rPr>
        <w:t xml:space="preserve">. </w:t>
      </w:r>
    </w:p>
    <w:p w14:paraId="10D6A320" w14:textId="77777777" w:rsidR="008F04E7" w:rsidRPr="00953C6A" w:rsidRDefault="008F04E7" w:rsidP="008F04E7">
      <w:pPr>
        <w:autoSpaceDE w:val="0"/>
        <w:autoSpaceDN w:val="0"/>
        <w:adjustRightInd w:val="0"/>
        <w:spacing w:after="0"/>
        <w:jc w:val="both"/>
        <w:rPr>
          <w:rFonts w:ascii="Cambria" w:eastAsiaTheme="minorHAnsi" w:hAnsi="Cambria" w:cstheme="minorHAnsi"/>
          <w:bCs/>
          <w:color w:val="000000"/>
          <w:lang w:eastAsia="en-US"/>
        </w:rPr>
      </w:pPr>
    </w:p>
    <w:p w14:paraId="153CAFCF" w14:textId="77777777" w:rsidR="008F04E7" w:rsidRPr="00953C6A" w:rsidRDefault="008F04E7" w:rsidP="008F04E7">
      <w:pPr>
        <w:autoSpaceDE w:val="0"/>
        <w:autoSpaceDN w:val="0"/>
        <w:adjustRightInd w:val="0"/>
        <w:spacing w:after="0"/>
        <w:jc w:val="center"/>
        <w:rPr>
          <w:rFonts w:asciiTheme="minorHAnsi" w:eastAsiaTheme="minorHAnsi" w:hAnsiTheme="minorHAnsi" w:cstheme="minorHAnsi"/>
          <w:b/>
          <w:bCs/>
          <w:color w:val="000000"/>
          <w:lang w:eastAsia="en-US"/>
        </w:rPr>
      </w:pPr>
    </w:p>
    <w:p w14:paraId="54315FFB" w14:textId="77777777" w:rsidR="008F04E7" w:rsidRPr="00953C6A" w:rsidRDefault="008F04E7" w:rsidP="008F04E7">
      <w:pPr>
        <w:autoSpaceDE w:val="0"/>
        <w:autoSpaceDN w:val="0"/>
        <w:adjustRightInd w:val="0"/>
        <w:spacing w:after="0"/>
        <w:jc w:val="center"/>
        <w:rPr>
          <w:rFonts w:ascii="Cambria" w:eastAsiaTheme="minorHAnsi" w:hAnsi="Cambria" w:cstheme="minorHAnsi"/>
          <w:bCs/>
          <w:color w:val="000000"/>
          <w:lang w:eastAsia="en-US"/>
        </w:rPr>
      </w:pPr>
      <w:r w:rsidRPr="00953C6A">
        <w:rPr>
          <w:rFonts w:asciiTheme="minorHAnsi" w:eastAsiaTheme="minorHAnsi" w:hAnsiTheme="minorHAnsi" w:cstheme="minorHAnsi"/>
          <w:bCs/>
          <w:color w:val="000000"/>
          <w:lang w:eastAsia="en-US"/>
        </w:rPr>
        <w:t xml:space="preserve">Kwota LSR </w:t>
      </w:r>
      <m:oMath>
        <m:r>
          <m:rPr>
            <m:sty m:val="b"/>
          </m:rPr>
          <w:rPr>
            <w:rFonts w:ascii="Cambria Math" w:eastAsiaTheme="minorHAnsi" w:hAnsi="Cambria Math" w:cstheme="minorHAnsi"/>
            <w:color w:val="000000"/>
            <w:lang w:eastAsia="en-US"/>
          </w:rPr>
          <m:t>=</m:t>
        </m:r>
        <m:f>
          <m:fPr>
            <m:ctrlPr>
              <w:rPr>
                <w:rFonts w:ascii="Cambria Math" w:eastAsiaTheme="minorHAnsi" w:hAnsi="Cambria Math" w:cstheme="minorHAnsi"/>
                <w:bCs/>
                <w:i/>
                <w:iCs/>
                <w:color w:val="000000"/>
                <w:lang w:eastAsia="en-US"/>
              </w:rPr>
            </m:ctrlPr>
          </m:fPr>
          <m:num>
            <m:r>
              <m:rPr>
                <m:sty m:val="p"/>
              </m:rPr>
              <w:rPr>
                <w:rFonts w:ascii="Cambria Math" w:eastAsiaTheme="minorHAnsi" w:hAnsi="Cambria Math" w:cstheme="minorHAnsi"/>
                <w:color w:val="000000"/>
                <w:lang w:eastAsia="en-US"/>
              </w:rPr>
              <m:t>liczba </m:t>
            </m:r>
            <m:r>
              <w:rPr>
                <w:rFonts w:ascii="Cambria Math" w:eastAsiaTheme="minorHAnsi" w:hAnsi="Cambria Math" w:cstheme="minorHAnsi"/>
                <w:color w:val="000000"/>
                <w:lang w:eastAsia="en-US"/>
              </w:rPr>
              <m:t>mieszkańców</m:t>
            </m:r>
            <m:r>
              <m:rPr>
                <m:sty m:val="p"/>
              </m:rPr>
              <w:rPr>
                <w:rFonts w:ascii="Cambria Math" w:eastAsiaTheme="minorHAnsi" w:hAnsi="Cambria Math" w:cstheme="minorHAnsi"/>
                <w:color w:val="000000"/>
                <w:lang w:eastAsia="en-US"/>
              </w:rPr>
              <m:t> obszaru danej LSR</m:t>
            </m:r>
          </m:num>
          <m:den>
            <m:r>
              <m:rPr>
                <m:sty m:val="p"/>
              </m:rPr>
              <w:rPr>
                <w:rFonts w:ascii="Cambria Math" w:eastAsiaTheme="minorHAnsi" w:hAnsi="Cambria Math" w:cstheme="minorHAnsi"/>
                <w:color w:val="000000"/>
                <w:lang w:eastAsia="en-US"/>
              </w:rPr>
              <m:t>1 067 253 </m:t>
            </m:r>
          </m:den>
        </m:f>
      </m:oMath>
      <w:r w:rsidRPr="00953C6A">
        <w:rPr>
          <w:rFonts w:ascii="Cambria" w:eastAsiaTheme="minorHAnsi" w:hAnsi="Cambria" w:cstheme="minorHAnsi"/>
          <w:bCs/>
          <w:color w:val="000000"/>
          <w:lang w:eastAsia="en-US"/>
        </w:rPr>
        <w:t xml:space="preserve"> x 2,5 mln </w:t>
      </w:r>
      <w:r>
        <w:rPr>
          <w:rFonts w:ascii="Cambria" w:eastAsiaTheme="minorHAnsi" w:hAnsi="Cambria" w:cstheme="minorHAnsi"/>
          <w:bCs/>
          <w:color w:val="000000"/>
          <w:lang w:eastAsia="en-US"/>
        </w:rPr>
        <w:t xml:space="preserve"> EUR</w:t>
      </w:r>
      <w:r w:rsidRPr="00953C6A">
        <w:rPr>
          <w:rFonts w:ascii="Cambria" w:eastAsiaTheme="minorHAnsi" w:hAnsi="Cambria" w:cstheme="minorHAnsi"/>
          <w:bCs/>
          <w:color w:val="000000"/>
          <w:lang w:eastAsia="en-US"/>
        </w:rPr>
        <w:t xml:space="preserve">    </w:t>
      </w:r>
      <w:r w:rsidRPr="00953C6A">
        <w:rPr>
          <w:rFonts w:ascii="Cambria" w:eastAsiaTheme="minorHAnsi" w:hAnsi="Cambria" w:cstheme="minorHAnsi"/>
          <w:b/>
          <w:bCs/>
          <w:color w:val="000000"/>
          <w:lang w:eastAsia="en-US"/>
        </w:rPr>
        <w:t>+</w:t>
      </w:r>
    </w:p>
    <w:p w14:paraId="053BFA7A" w14:textId="77777777" w:rsidR="008F04E7" w:rsidRPr="00953C6A" w:rsidRDefault="007E40F4" w:rsidP="008F04E7">
      <w:pPr>
        <w:autoSpaceDE w:val="0"/>
        <w:autoSpaceDN w:val="0"/>
        <w:adjustRightInd w:val="0"/>
        <w:spacing w:after="0"/>
        <w:jc w:val="center"/>
        <w:rPr>
          <w:rFonts w:ascii="Cambria" w:eastAsiaTheme="minorEastAsia" w:hAnsi="Cambria" w:cstheme="minorHAnsi"/>
          <w:color w:val="000000"/>
          <w:sz w:val="20"/>
          <w:szCs w:val="20"/>
          <w:lang w:eastAsia="en-US"/>
        </w:rPr>
      </w:pPr>
      <m:oMathPara>
        <m:oMathParaPr>
          <m:jc m:val="center"/>
        </m:oMathParaPr>
        <m:oMath>
          <m:f>
            <m:fPr>
              <m:ctrlPr>
                <w:rPr>
                  <w:rFonts w:ascii="Cambria Math" w:eastAsiaTheme="minorHAnsi" w:hAnsi="Cambria Math" w:cs="Calibri"/>
                  <w:bCs/>
                  <w:iCs/>
                  <w:color w:val="000000"/>
                  <w:sz w:val="20"/>
                  <w:szCs w:val="20"/>
                  <w:lang w:eastAsia="en-US"/>
                </w:rPr>
              </m:ctrlPr>
            </m:fPr>
            <m:num>
              <m:eqArr>
                <m:eqArrPr>
                  <m:ctrlPr>
                    <w:rPr>
                      <w:rFonts w:ascii="Cambria Math" w:eastAsiaTheme="minorHAnsi" w:hAnsi="Cambria Math" w:cs="Calibri"/>
                      <w:bCs/>
                      <w:iCs/>
                      <w:color w:val="000000"/>
                      <w:sz w:val="20"/>
                      <w:szCs w:val="20"/>
                      <w:lang w:eastAsia="en-US"/>
                    </w:rPr>
                  </m:ctrlPr>
                </m:eqArrPr>
                <m:e/>
                <m:e>
                  <m:f>
                    <m:fPr>
                      <m:ctrlPr>
                        <w:rPr>
                          <w:rFonts w:ascii="Cambria Math" w:eastAsiaTheme="minorHAnsi" w:hAnsi="Cambria Math" w:cs="Calibri"/>
                          <w:bCs/>
                          <w:iCs/>
                          <w:color w:val="000000"/>
                          <w:sz w:val="20"/>
                          <w:szCs w:val="20"/>
                          <w:lang w:eastAsia="en-US"/>
                        </w:rPr>
                      </m:ctrlPr>
                    </m:fPr>
                    <m:num>
                      <m:eqArr>
                        <m:eqArrPr>
                          <m:ctrlPr>
                            <w:rPr>
                              <w:rFonts w:ascii="Cambria Math" w:eastAsiaTheme="minorHAnsi" w:hAnsi="Cambria Math" w:cs="Calibri"/>
                              <w:bCs/>
                              <w:color w:val="000000"/>
                              <w:sz w:val="20"/>
                              <w:szCs w:val="20"/>
                              <w:lang w:eastAsia="en-US"/>
                            </w:rPr>
                          </m:ctrlPr>
                        </m:eqArrPr>
                        <m:e/>
                        <m:e>
                          <m:r>
                            <m:rPr>
                              <m:sty m:val="p"/>
                            </m:rPr>
                            <w:rPr>
                              <w:rFonts w:ascii="Cambria Math" w:eastAsiaTheme="minorHAnsi" w:hAnsi="Cambria Math" w:cs="Calibri"/>
                              <w:color w:val="000000"/>
                              <w:sz w:val="20"/>
                              <w:szCs w:val="20"/>
                              <w:lang w:eastAsia="en-US"/>
                            </w:rPr>
                            <m:t>powierzchnia obszarów prawnie chronionych danej LSR (ha)</m:t>
                          </m:r>
                        </m:e>
                      </m:eqArr>
                    </m:num>
                    <m:den>
                      <m:r>
                        <m:rPr>
                          <m:sty m:val="p"/>
                        </m:rPr>
                        <w:rPr>
                          <w:rFonts w:ascii="Cambria Math" w:eastAsiaTheme="minorHAnsi" w:hAnsi="Cambria Math" w:cs="Calibri"/>
                          <w:color w:val="000000"/>
                          <w:sz w:val="20"/>
                          <w:szCs w:val="20"/>
                          <w:lang w:eastAsia="en-US"/>
                        </w:rPr>
                        <m:t>powierzchnia ogółem danej LSR (ha)</m:t>
                      </m:r>
                    </m:den>
                  </m:f>
                </m:e>
              </m:eqArr>
            </m:num>
            <m:den>
              <m:r>
                <w:rPr>
                  <w:rFonts w:ascii="Cambria Math" w:eastAsiaTheme="minorHAnsi" w:hAnsi="Cambria Math" w:cs="Calibri"/>
                  <w:color w:val="000000"/>
                  <w:sz w:val="20"/>
                  <w:szCs w:val="20"/>
                  <w:lang w:eastAsia="en-US"/>
                </w:rPr>
                <m:t>5,21</m:t>
              </m:r>
            </m:den>
          </m:f>
          <m:r>
            <m:rPr>
              <m:sty m:val="p"/>
            </m:rPr>
            <w:rPr>
              <w:rFonts w:ascii="Cambria Math" w:eastAsiaTheme="minorHAnsi" w:hAnsi="Cambria Math" w:cs="Calibri"/>
              <w:color w:val="000000"/>
              <w:sz w:val="20"/>
              <w:szCs w:val="20"/>
              <w:lang w:eastAsia="en-US"/>
            </w:rPr>
            <m:t> x 2,5 mln EUR</m:t>
          </m:r>
        </m:oMath>
      </m:oMathPara>
    </w:p>
    <w:p w14:paraId="6904C913" w14:textId="77777777" w:rsidR="008F04E7" w:rsidRPr="00953C6A" w:rsidRDefault="008F04E7" w:rsidP="008F04E7">
      <w:pPr>
        <w:autoSpaceDE w:val="0"/>
        <w:autoSpaceDN w:val="0"/>
        <w:adjustRightInd w:val="0"/>
        <w:spacing w:after="0"/>
        <w:jc w:val="center"/>
        <w:rPr>
          <w:rFonts w:ascii="Cambria" w:eastAsiaTheme="minorHAnsi" w:hAnsi="Cambria" w:cstheme="minorHAnsi"/>
          <w:bCs/>
          <w:color w:val="000000"/>
          <w:lang w:eastAsia="en-US"/>
        </w:rPr>
      </w:pPr>
    </w:p>
    <w:p w14:paraId="77A2C4ED" w14:textId="77777777" w:rsidR="008F04E7" w:rsidRDefault="008F04E7" w:rsidP="008F04E7">
      <w:pPr>
        <w:pStyle w:val="AkapitStandardowyRyczat"/>
        <w:numPr>
          <w:ilvl w:val="0"/>
          <w:numId w:val="58"/>
        </w:numPr>
        <w:spacing w:before="0" w:after="0" w:line="276" w:lineRule="auto"/>
        <w:ind w:left="714" w:hanging="357"/>
        <w:rPr>
          <w:rFonts w:asciiTheme="minorHAnsi" w:hAnsiTheme="minorHAnsi" w:cstheme="minorHAnsi"/>
          <w:bCs/>
        </w:rPr>
      </w:pPr>
      <w:r w:rsidRPr="004E236D">
        <w:rPr>
          <w:rFonts w:asciiTheme="minorHAnsi" w:hAnsiTheme="minorHAnsi" w:cstheme="minorHAnsi"/>
          <w:bCs/>
          <w:u w:val="single"/>
        </w:rPr>
        <w:t xml:space="preserve">Priorytet 5. </w:t>
      </w:r>
      <w:r w:rsidRPr="00F92AD6">
        <w:rPr>
          <w:rFonts w:asciiTheme="minorHAnsi" w:hAnsiTheme="minorHAnsi" w:cstheme="minorHAnsi"/>
          <w:bCs/>
          <w:u w:val="single"/>
        </w:rPr>
        <w:t>Fundusze europejskie dla silnego społecznie Pomorza (CP4)</w:t>
      </w:r>
      <w:r w:rsidRPr="001706C7">
        <w:rPr>
          <w:rFonts w:asciiTheme="minorHAnsi" w:hAnsiTheme="minorHAnsi" w:cstheme="minorHAnsi"/>
          <w:bCs/>
        </w:rPr>
        <w:t xml:space="preserve"> - </w:t>
      </w:r>
      <w:r w:rsidRPr="001706C7">
        <w:rPr>
          <w:rFonts w:asciiTheme="minorHAnsi" w:hAnsiTheme="minorHAnsi" w:cstheme="minorHAnsi"/>
          <w:b/>
          <w:bCs/>
        </w:rPr>
        <w:t>cel (k)</w:t>
      </w:r>
      <w:r w:rsidRPr="001706C7">
        <w:rPr>
          <w:rFonts w:asciiTheme="minorHAnsi" w:hAnsiTheme="minorHAnsi" w:cstheme="minorHAnsi"/>
          <w:bCs/>
        </w:rPr>
        <w:t xml:space="preserve"> </w:t>
      </w:r>
      <w:r w:rsidRPr="001706C7">
        <w:rPr>
          <w:rFonts w:asciiTheme="minorHAnsi" w:hAnsiTheme="minorHAnsi" w:cstheme="minorHAnsi"/>
          <w:bCs/>
          <w:i/>
        </w:rPr>
        <w:t>zwiększanie</w:t>
      </w:r>
      <w:r w:rsidRPr="00B505EF">
        <w:rPr>
          <w:rFonts w:asciiTheme="minorHAnsi" w:hAnsiTheme="minorHAnsi" w:cstheme="minorHAnsi"/>
          <w:bCs/>
          <w:i/>
        </w:rPr>
        <w:t xml:space="preserve"> równego i szybkiego dostępu do dobrej jakości, trwałych i przystępnych cenowo usług (…)</w:t>
      </w:r>
      <w:r>
        <w:rPr>
          <w:rFonts w:asciiTheme="minorHAnsi" w:hAnsiTheme="minorHAnsi" w:cstheme="minorHAnsi"/>
          <w:bCs/>
        </w:rPr>
        <w:t xml:space="preserve"> </w:t>
      </w:r>
      <w:r>
        <w:rPr>
          <w:rFonts w:asciiTheme="minorHAnsi" w:hAnsiTheme="minorHAnsi" w:cstheme="minorHAnsi"/>
          <w:b/>
          <w:bCs/>
        </w:rPr>
        <w:t>(10 mln EUR EFS+</w:t>
      </w:r>
      <w:r w:rsidRPr="00B505EF">
        <w:rPr>
          <w:rFonts w:asciiTheme="minorHAnsi" w:hAnsiTheme="minorHAnsi" w:cstheme="minorHAnsi"/>
          <w:b/>
          <w:bCs/>
        </w:rPr>
        <w:t xml:space="preserve">) </w:t>
      </w:r>
      <w:r>
        <w:rPr>
          <w:rFonts w:asciiTheme="minorHAnsi" w:hAnsiTheme="minorHAnsi" w:cstheme="minorHAnsi"/>
          <w:bCs/>
        </w:rPr>
        <w:t xml:space="preserve">wg wskaźników: </w:t>
      </w:r>
    </w:p>
    <w:p w14:paraId="3A69AEEF" w14:textId="77777777" w:rsidR="008F04E7" w:rsidRDefault="008F04E7" w:rsidP="008F04E7">
      <w:pPr>
        <w:pStyle w:val="AkapitStandardowyRyczat"/>
        <w:numPr>
          <w:ilvl w:val="0"/>
          <w:numId w:val="42"/>
        </w:numPr>
        <w:spacing w:before="0" w:after="0" w:line="276" w:lineRule="auto"/>
        <w:rPr>
          <w:rFonts w:asciiTheme="minorHAnsi" w:hAnsiTheme="minorHAnsi" w:cstheme="minorHAnsi"/>
          <w:bCs/>
        </w:rPr>
      </w:pPr>
      <w:r w:rsidRPr="00B505EF">
        <w:rPr>
          <w:rFonts w:asciiTheme="minorHAnsi" w:hAnsiTheme="minorHAnsi" w:cstheme="minorHAnsi"/>
          <w:bCs/>
        </w:rPr>
        <w:t xml:space="preserve">50% kwoty wg liczby mieszkańców </w:t>
      </w:r>
      <w:r>
        <w:rPr>
          <w:rFonts w:asciiTheme="minorHAnsi" w:hAnsiTheme="minorHAnsi" w:cstheme="minorHAnsi"/>
          <w:bCs/>
        </w:rPr>
        <w:t xml:space="preserve">danej </w:t>
      </w:r>
      <w:r w:rsidRPr="00B505EF">
        <w:rPr>
          <w:rFonts w:asciiTheme="minorHAnsi" w:hAnsiTheme="minorHAnsi" w:cstheme="minorHAnsi"/>
          <w:bCs/>
        </w:rPr>
        <w:t>LSR;</w:t>
      </w:r>
    </w:p>
    <w:p w14:paraId="0368E3F7" w14:textId="77777777" w:rsidR="008F04E7" w:rsidRDefault="008F04E7" w:rsidP="008F04E7">
      <w:pPr>
        <w:pStyle w:val="AkapitStandardowyRyczat"/>
        <w:numPr>
          <w:ilvl w:val="0"/>
          <w:numId w:val="42"/>
        </w:numPr>
        <w:spacing w:before="0" w:after="0" w:line="276" w:lineRule="auto"/>
        <w:rPr>
          <w:rFonts w:asciiTheme="minorHAnsi" w:hAnsiTheme="minorHAnsi" w:cstheme="minorHAnsi"/>
          <w:bCs/>
        </w:rPr>
      </w:pPr>
      <w:r>
        <w:rPr>
          <w:rFonts w:asciiTheme="minorHAnsi" w:hAnsiTheme="minorHAnsi" w:cstheme="minorHAnsi"/>
          <w:bCs/>
        </w:rPr>
        <w:t>25% kwoty z wykorzystaniem wskaźnika udziału liczby osób w wieku przedprodukcyjnym</w:t>
      </w:r>
      <w:r>
        <w:rPr>
          <w:rStyle w:val="Odwoanieprzypisudolnego"/>
          <w:rFonts w:asciiTheme="minorHAnsi" w:hAnsiTheme="minorHAnsi" w:cstheme="minorHAnsi"/>
          <w:bCs/>
        </w:rPr>
        <w:footnoteReference w:id="9"/>
      </w:r>
      <w:r>
        <w:rPr>
          <w:rFonts w:asciiTheme="minorHAnsi" w:hAnsiTheme="minorHAnsi" w:cstheme="minorHAnsi"/>
          <w:bCs/>
        </w:rPr>
        <w:t xml:space="preserve">; </w:t>
      </w:r>
    </w:p>
    <w:p w14:paraId="69FE25BD" w14:textId="77777777" w:rsidR="008F04E7" w:rsidRDefault="008F04E7" w:rsidP="008F04E7">
      <w:pPr>
        <w:pStyle w:val="AkapitStandardowyRyczat"/>
        <w:numPr>
          <w:ilvl w:val="0"/>
          <w:numId w:val="42"/>
        </w:numPr>
        <w:spacing w:before="0" w:after="0" w:line="276" w:lineRule="auto"/>
        <w:rPr>
          <w:rFonts w:asciiTheme="minorHAnsi" w:hAnsiTheme="minorHAnsi" w:cstheme="minorHAnsi"/>
          <w:bCs/>
        </w:rPr>
      </w:pPr>
      <w:r>
        <w:rPr>
          <w:rFonts w:asciiTheme="minorHAnsi" w:hAnsiTheme="minorHAnsi" w:cstheme="minorHAnsi"/>
          <w:bCs/>
        </w:rPr>
        <w:t>25% kwoty z wykorzystaniem wskaźnika udziału liczby osób w wieku poprodukcyjnym</w:t>
      </w:r>
      <w:r>
        <w:rPr>
          <w:rStyle w:val="Odwoanieprzypisudolnego"/>
          <w:rFonts w:asciiTheme="minorHAnsi" w:hAnsiTheme="minorHAnsi" w:cstheme="minorHAnsi"/>
          <w:bCs/>
        </w:rPr>
        <w:footnoteReference w:id="10"/>
      </w:r>
      <w:r>
        <w:rPr>
          <w:rFonts w:asciiTheme="minorHAnsi" w:hAnsiTheme="minorHAnsi" w:cstheme="minorHAnsi"/>
          <w:bCs/>
        </w:rPr>
        <w:t>;</w:t>
      </w:r>
    </w:p>
    <w:p w14:paraId="55FAA78A" w14:textId="77777777" w:rsidR="008F04E7" w:rsidRPr="00AC7192" w:rsidRDefault="008F04E7" w:rsidP="008F04E7">
      <w:pPr>
        <w:pStyle w:val="Default"/>
        <w:spacing w:line="276" w:lineRule="auto"/>
        <w:rPr>
          <w:b/>
          <w:bCs/>
          <w:sz w:val="22"/>
          <w:szCs w:val="22"/>
        </w:rPr>
      </w:pPr>
    </w:p>
    <w:p w14:paraId="0BFA37D8" w14:textId="77777777" w:rsidR="008F04E7" w:rsidRPr="00AC7192" w:rsidRDefault="008F04E7" w:rsidP="008F04E7">
      <w:pPr>
        <w:pStyle w:val="Default"/>
        <w:spacing w:line="276" w:lineRule="auto"/>
        <w:jc w:val="center"/>
        <w:rPr>
          <w:rFonts w:ascii="Cambria" w:hAnsi="Cambria"/>
          <w:bCs/>
          <w:sz w:val="22"/>
          <w:szCs w:val="22"/>
        </w:rPr>
      </w:pPr>
      <w:r w:rsidRPr="00AC7192">
        <w:rPr>
          <w:bCs/>
          <w:sz w:val="22"/>
          <w:szCs w:val="22"/>
        </w:rPr>
        <w:t xml:space="preserve">Kwota LSR </w:t>
      </w:r>
      <m:oMath>
        <m:r>
          <m:rPr>
            <m:sty m:val="b"/>
          </m:rPr>
          <w:rPr>
            <w:rFonts w:ascii="Cambria Math" w:hAnsi="Cambria Math"/>
            <w:sz w:val="22"/>
            <w:szCs w:val="22"/>
          </w:rPr>
          <m:t>=</m:t>
        </m:r>
        <m:f>
          <m:fPr>
            <m:ctrlPr>
              <w:rPr>
                <w:rFonts w:ascii="Cambria Math" w:hAnsi="Cambria Math"/>
                <w:bCs/>
                <w:i/>
                <w:iCs/>
                <w:sz w:val="22"/>
                <w:szCs w:val="22"/>
              </w:rPr>
            </m:ctrlPr>
          </m:fPr>
          <m:num>
            <m:r>
              <m:rPr>
                <m:sty m:val="p"/>
              </m:rPr>
              <w:rPr>
                <w:rFonts w:ascii="Cambria Math" w:hAnsi="Cambria Math"/>
                <w:sz w:val="22"/>
                <w:szCs w:val="22"/>
              </w:rPr>
              <m:t>liczba </m:t>
            </m:r>
            <m:r>
              <w:rPr>
                <w:rFonts w:ascii="Cambria Math" w:hAnsi="Cambria Math"/>
                <w:sz w:val="22"/>
                <w:szCs w:val="22"/>
              </w:rPr>
              <m:t>mieszkańców</m:t>
            </m:r>
            <m:r>
              <m:rPr>
                <m:sty m:val="p"/>
              </m:rPr>
              <w:rPr>
                <w:rFonts w:ascii="Cambria Math" w:hAnsi="Cambria Math"/>
                <w:sz w:val="22"/>
                <w:szCs w:val="22"/>
              </w:rPr>
              <m:t> obszaru danej LSR</m:t>
            </m:r>
          </m:num>
          <m:den>
            <m:r>
              <m:rPr>
                <m:sty m:val="p"/>
              </m:rPr>
              <w:rPr>
                <w:rFonts w:ascii="Cambria Math" w:hAnsi="Cambria Math"/>
                <w:sz w:val="22"/>
                <w:szCs w:val="22"/>
              </w:rPr>
              <m:t>1 067 253</m:t>
            </m:r>
          </m:den>
        </m:f>
      </m:oMath>
      <w:r w:rsidRPr="00AC7192">
        <w:rPr>
          <w:rFonts w:ascii="Cambria" w:hAnsi="Cambria"/>
          <w:bCs/>
          <w:sz w:val="22"/>
          <w:szCs w:val="22"/>
        </w:rPr>
        <w:t xml:space="preserve"> </w:t>
      </w:r>
      <w:r>
        <w:rPr>
          <w:rFonts w:ascii="Cambria" w:hAnsi="Cambria"/>
          <w:bCs/>
          <w:sz w:val="22"/>
          <w:szCs w:val="22"/>
        </w:rPr>
        <w:t xml:space="preserve">x </w:t>
      </w:r>
      <w:r w:rsidRPr="00AC7192">
        <w:rPr>
          <w:rFonts w:ascii="Cambria" w:hAnsi="Cambria"/>
          <w:bCs/>
          <w:sz w:val="22"/>
          <w:szCs w:val="22"/>
        </w:rPr>
        <w:t xml:space="preserve">5 mln </w:t>
      </w:r>
      <w:r>
        <w:rPr>
          <w:rFonts w:ascii="Cambria" w:hAnsi="Cambria"/>
          <w:bCs/>
          <w:sz w:val="22"/>
          <w:szCs w:val="22"/>
        </w:rPr>
        <w:t xml:space="preserve"> EUR    </w:t>
      </w:r>
      <w:r w:rsidRPr="00AC7192">
        <w:rPr>
          <w:rFonts w:ascii="Cambria" w:hAnsi="Cambria"/>
          <w:b/>
          <w:bCs/>
          <w:sz w:val="22"/>
          <w:szCs w:val="22"/>
        </w:rPr>
        <w:t>+</w:t>
      </w:r>
    </w:p>
    <w:p w14:paraId="193D23BA" w14:textId="77777777" w:rsidR="008F04E7" w:rsidRPr="00AC7192" w:rsidRDefault="007E40F4" w:rsidP="008F04E7">
      <w:pPr>
        <w:pStyle w:val="Default"/>
        <w:spacing w:line="276" w:lineRule="auto"/>
        <w:rPr>
          <w:rFonts w:ascii="Cambria" w:hAnsi="Cambria"/>
          <w:bCs/>
          <w:sz w:val="22"/>
          <w:szCs w:val="22"/>
        </w:rPr>
      </w:pPr>
      <m:oMathPara>
        <m:oMathParaPr>
          <m:jc m:val="centerGroup"/>
        </m:oMathParaPr>
        <m:oMath>
          <m:f>
            <m:fPr>
              <m:ctrlPr>
                <w:rPr>
                  <w:rFonts w:ascii="Cambria Math" w:hAnsi="Cambria Math" w:cs="Calibri"/>
                  <w:bCs/>
                  <w:iCs/>
                  <w:sz w:val="20"/>
                  <w:szCs w:val="20"/>
                </w:rPr>
              </m:ctrlPr>
            </m:fPr>
            <m:num>
              <m:eqArr>
                <m:eqArrPr>
                  <m:ctrlPr>
                    <w:rPr>
                      <w:rFonts w:ascii="Cambria Math" w:hAnsi="Cambria Math" w:cs="Calibri"/>
                      <w:bCs/>
                      <w:iCs/>
                      <w:sz w:val="20"/>
                      <w:szCs w:val="20"/>
                    </w:rPr>
                  </m:ctrlPr>
                </m:eqArrPr>
                <m:e/>
                <m:e>
                  <m:f>
                    <m:fPr>
                      <m:ctrlPr>
                        <w:rPr>
                          <w:rFonts w:ascii="Cambria Math" w:hAnsi="Cambria Math" w:cs="Calibri"/>
                          <w:bCs/>
                          <w:iCs/>
                          <w:sz w:val="20"/>
                          <w:szCs w:val="20"/>
                        </w:rPr>
                      </m:ctrlPr>
                    </m:fPr>
                    <m:num>
                      <m:eqArr>
                        <m:eqArrPr>
                          <m:ctrlPr>
                            <w:rPr>
                              <w:rFonts w:ascii="Cambria Math" w:hAnsi="Cambria Math" w:cs="Calibri"/>
                              <w:bCs/>
                              <w:sz w:val="20"/>
                              <w:szCs w:val="20"/>
                            </w:rPr>
                          </m:ctrlPr>
                        </m:eqArrPr>
                        <m:e/>
                        <m:e>
                          <m:r>
                            <m:rPr>
                              <m:sty m:val="p"/>
                            </m:rPr>
                            <w:rPr>
                              <w:rFonts w:ascii="Cambria Math" w:hAnsi="Cambria Math" w:cs="Calibri"/>
                              <w:sz w:val="20"/>
                              <w:szCs w:val="20"/>
                            </w:rPr>
                            <m:t>liczba osób w wieku przedprodukcyjnym na obszarze danej LSR</m:t>
                          </m:r>
                        </m:e>
                      </m:eqArr>
                    </m:num>
                    <m:den>
                      <m:r>
                        <m:rPr>
                          <m:sty m:val="p"/>
                        </m:rPr>
                        <w:rPr>
                          <w:rFonts w:ascii="Cambria Math" w:hAnsi="Cambria Math" w:cs="Calibri"/>
                          <w:sz w:val="20"/>
                          <w:szCs w:val="20"/>
                        </w:rPr>
                        <m:t xml:space="preserve">łączna liczba mieszkańców danej LSR </m:t>
                      </m:r>
                    </m:den>
                  </m:f>
                </m:e>
              </m:eqArr>
            </m:num>
            <m:den>
              <m:r>
                <m:rPr>
                  <m:sty m:val="p"/>
                </m:rPr>
                <w:rPr>
                  <w:rFonts w:ascii="Cambria Math" w:hAnsi="Cambria Math" w:cs="Calibri"/>
                  <w:sz w:val="20"/>
                  <w:szCs w:val="20"/>
                </w:rPr>
                <m:t>3,23</m:t>
              </m:r>
            </m:den>
          </m:f>
          <m:r>
            <m:rPr>
              <m:sty m:val="p"/>
            </m:rPr>
            <w:rPr>
              <w:rFonts w:ascii="Cambria Math" w:hAnsi="Cambria Math" w:cs="Calibri"/>
              <w:sz w:val="20"/>
              <w:szCs w:val="20"/>
            </w:rPr>
            <m:t> x 2,5 mln EUR</m:t>
          </m:r>
        </m:oMath>
      </m:oMathPara>
    </w:p>
    <w:p w14:paraId="59904A45" w14:textId="77777777" w:rsidR="008F04E7" w:rsidRDefault="008F04E7" w:rsidP="008F04E7">
      <w:pPr>
        <w:pStyle w:val="AkapitStandardowyRyczat"/>
        <w:spacing w:before="0" w:after="0" w:line="276" w:lineRule="auto"/>
        <w:rPr>
          <w:rFonts w:asciiTheme="minorHAnsi" w:hAnsiTheme="minorHAnsi" w:cstheme="minorHAnsi"/>
          <w:bCs/>
        </w:rPr>
      </w:pPr>
    </w:p>
    <w:p w14:paraId="0F7E1FA6" w14:textId="77777777" w:rsidR="008F04E7" w:rsidRPr="00AC7192" w:rsidRDefault="008F04E7" w:rsidP="008F04E7">
      <w:pPr>
        <w:pStyle w:val="Default"/>
        <w:spacing w:line="276" w:lineRule="auto"/>
        <w:rPr>
          <w:rFonts w:ascii="Cambria" w:hAnsi="Cambria"/>
          <w:bCs/>
          <w:sz w:val="22"/>
          <w:szCs w:val="22"/>
        </w:rPr>
      </w:pPr>
      <w:r>
        <w:rPr>
          <w:b/>
          <w:bCs/>
        </w:rPr>
        <w:t xml:space="preserve">+ </w:t>
      </w:r>
      <m:oMath>
        <m:r>
          <m:rPr>
            <m:sty m:val="p"/>
          </m:rPr>
          <w:rPr>
            <w:rFonts w:ascii="Cambria Math" w:hAnsi="Cambria Math" w:cs="Calibri"/>
            <w:sz w:val="20"/>
            <w:szCs w:val="20"/>
          </w:rPr>
          <w:br/>
        </m:r>
      </m:oMath>
      <m:oMathPara>
        <m:oMathParaPr>
          <m:jc m:val="centerGroup"/>
        </m:oMathParaPr>
        <m:oMath>
          <m:f>
            <m:fPr>
              <m:ctrlPr>
                <w:rPr>
                  <w:rFonts w:ascii="Cambria Math" w:hAnsi="Cambria Math" w:cs="Calibri"/>
                  <w:bCs/>
                  <w:iCs/>
                  <w:sz w:val="20"/>
                  <w:szCs w:val="20"/>
                </w:rPr>
              </m:ctrlPr>
            </m:fPr>
            <m:num>
              <m:eqArr>
                <m:eqArrPr>
                  <m:ctrlPr>
                    <w:rPr>
                      <w:rFonts w:ascii="Cambria Math" w:hAnsi="Cambria Math" w:cs="Calibri"/>
                      <w:bCs/>
                      <w:iCs/>
                      <w:sz w:val="20"/>
                      <w:szCs w:val="20"/>
                    </w:rPr>
                  </m:ctrlPr>
                </m:eqArrPr>
                <m:e/>
                <m:e>
                  <m:f>
                    <m:fPr>
                      <m:ctrlPr>
                        <w:rPr>
                          <w:rFonts w:ascii="Cambria Math" w:hAnsi="Cambria Math" w:cs="Calibri"/>
                          <w:bCs/>
                          <w:iCs/>
                          <w:sz w:val="20"/>
                          <w:szCs w:val="20"/>
                        </w:rPr>
                      </m:ctrlPr>
                    </m:fPr>
                    <m:num>
                      <m:eqArr>
                        <m:eqArrPr>
                          <m:ctrlPr>
                            <w:rPr>
                              <w:rFonts w:ascii="Cambria Math" w:hAnsi="Cambria Math" w:cs="Calibri"/>
                              <w:bCs/>
                              <w:sz w:val="20"/>
                              <w:szCs w:val="20"/>
                            </w:rPr>
                          </m:ctrlPr>
                        </m:eqArrPr>
                        <m:e/>
                        <m:e>
                          <m:r>
                            <m:rPr>
                              <m:sty m:val="p"/>
                            </m:rPr>
                            <w:rPr>
                              <w:rFonts w:ascii="Cambria Math" w:hAnsi="Cambria Math" w:cs="Calibri"/>
                              <w:sz w:val="20"/>
                              <w:szCs w:val="20"/>
                            </w:rPr>
                            <m:t>liczba osób w wieku poprodukcyjnym na obszarze danej LSR</m:t>
                          </m:r>
                        </m:e>
                      </m:eqArr>
                    </m:num>
                    <m:den>
                      <m:r>
                        <m:rPr>
                          <m:sty m:val="p"/>
                        </m:rPr>
                        <w:rPr>
                          <w:rFonts w:ascii="Cambria Math" w:hAnsi="Cambria Math" w:cs="Calibri"/>
                          <w:sz w:val="20"/>
                          <w:szCs w:val="20"/>
                        </w:rPr>
                        <m:t xml:space="preserve">łączna liczba mieszkańców danej LSR </m:t>
                      </m:r>
                    </m:den>
                  </m:f>
                </m:e>
              </m:eqArr>
            </m:num>
            <m:den>
              <m:r>
                <m:rPr>
                  <m:sty m:val="p"/>
                </m:rPr>
                <w:rPr>
                  <w:rFonts w:ascii="Cambria Math" w:hAnsi="Cambria Math" w:cs="Calibri"/>
                  <w:sz w:val="20"/>
                  <w:szCs w:val="20"/>
                </w:rPr>
                <m:t>2,58</m:t>
              </m:r>
            </m:den>
          </m:f>
          <m:r>
            <m:rPr>
              <m:sty m:val="p"/>
            </m:rPr>
            <w:rPr>
              <w:rFonts w:ascii="Cambria Math" w:hAnsi="Cambria Math" w:cs="Calibri"/>
              <w:sz w:val="20"/>
              <w:szCs w:val="20"/>
            </w:rPr>
            <m:t> x 2,5 mln EUR</m:t>
          </m:r>
        </m:oMath>
      </m:oMathPara>
    </w:p>
    <w:p w14:paraId="7490C9F7" w14:textId="77777777" w:rsidR="008F04E7" w:rsidRPr="00564E4A" w:rsidRDefault="008F04E7" w:rsidP="008F04E7">
      <w:pPr>
        <w:pStyle w:val="AkapitStandardowyRyczat"/>
        <w:spacing w:before="0" w:after="0" w:line="276" w:lineRule="auto"/>
        <w:rPr>
          <w:rFonts w:asciiTheme="minorHAnsi" w:hAnsiTheme="minorHAnsi" w:cstheme="minorHAnsi"/>
          <w:b/>
          <w:bCs/>
        </w:rPr>
      </w:pPr>
    </w:p>
    <w:p w14:paraId="71A0FE71" w14:textId="77777777" w:rsidR="008F04E7" w:rsidRPr="00436006" w:rsidRDefault="008F04E7" w:rsidP="008F04E7">
      <w:pPr>
        <w:pStyle w:val="AkapitStandardowyRyczat"/>
        <w:numPr>
          <w:ilvl w:val="0"/>
          <w:numId w:val="58"/>
        </w:numPr>
        <w:rPr>
          <w:rFonts w:asciiTheme="minorHAnsi" w:hAnsiTheme="minorHAnsi" w:cstheme="minorHAnsi"/>
          <w:bCs/>
          <w:u w:val="single"/>
        </w:rPr>
      </w:pPr>
      <w:r w:rsidRPr="00F92AD6">
        <w:rPr>
          <w:rFonts w:asciiTheme="minorHAnsi" w:hAnsiTheme="minorHAnsi" w:cstheme="minorHAnsi"/>
          <w:bCs/>
          <w:u w:val="single"/>
        </w:rPr>
        <w:t>Priorytet 6. Fundusze europejskie dla silnego społecznie Pomorza (CP4)</w:t>
      </w:r>
      <w:r w:rsidRPr="00CD5E01">
        <w:rPr>
          <w:rFonts w:asciiTheme="minorHAnsi" w:hAnsiTheme="minorHAnsi" w:cstheme="minorHAnsi"/>
          <w:bCs/>
        </w:rPr>
        <w:t xml:space="preserve"> - </w:t>
      </w:r>
      <w:r w:rsidRPr="00CD5E01">
        <w:rPr>
          <w:rFonts w:asciiTheme="minorHAnsi" w:hAnsiTheme="minorHAnsi" w:cstheme="minorHAnsi"/>
          <w:b/>
          <w:bCs/>
        </w:rPr>
        <w:t>cel (iii)</w:t>
      </w:r>
      <w:r w:rsidRPr="00436006">
        <w:rPr>
          <w:rFonts w:asciiTheme="minorHAnsi" w:hAnsiTheme="minorHAnsi" w:cstheme="minorHAnsi"/>
          <w:bCs/>
        </w:rPr>
        <w:t xml:space="preserve"> </w:t>
      </w:r>
      <w:r w:rsidRPr="00436006">
        <w:rPr>
          <w:rFonts w:asciiTheme="minorHAnsi" w:hAnsiTheme="minorHAnsi" w:cstheme="minorHAnsi"/>
          <w:bCs/>
          <w:i/>
        </w:rPr>
        <w:t xml:space="preserve">wspieranie włączenia społeczno-gospodarczego społeczności marginalizowanych, gospodarstw domowych o niskich dochodach oraz grup w niekorzystnej sytuacji </w:t>
      </w:r>
      <w:r>
        <w:rPr>
          <w:rFonts w:asciiTheme="minorHAnsi" w:hAnsiTheme="minorHAnsi" w:cstheme="minorHAnsi"/>
          <w:bCs/>
        </w:rPr>
        <w:t>(…)</w:t>
      </w:r>
      <w:r w:rsidRPr="00436006">
        <w:rPr>
          <w:rFonts w:asciiTheme="minorHAnsi" w:hAnsiTheme="minorHAnsi" w:cstheme="minorHAnsi"/>
          <w:bCs/>
        </w:rPr>
        <w:t xml:space="preserve"> </w:t>
      </w:r>
      <w:r>
        <w:rPr>
          <w:rFonts w:asciiTheme="minorHAnsi" w:hAnsiTheme="minorHAnsi" w:cstheme="minorHAnsi"/>
          <w:b/>
          <w:bCs/>
        </w:rPr>
        <w:t>(5 mln EUR EFRR</w:t>
      </w:r>
      <w:r w:rsidRPr="00436006">
        <w:rPr>
          <w:rFonts w:asciiTheme="minorHAnsi" w:hAnsiTheme="minorHAnsi" w:cstheme="minorHAnsi"/>
          <w:b/>
          <w:bCs/>
        </w:rPr>
        <w:t xml:space="preserve">) </w:t>
      </w:r>
    </w:p>
    <w:p w14:paraId="484E1CAD" w14:textId="77777777" w:rsidR="008F04E7" w:rsidRDefault="008F04E7" w:rsidP="008F04E7">
      <w:pPr>
        <w:pStyle w:val="AkapitStandardowyRyczat"/>
        <w:numPr>
          <w:ilvl w:val="0"/>
          <w:numId w:val="59"/>
        </w:numPr>
        <w:spacing w:before="0" w:after="0" w:line="276" w:lineRule="auto"/>
        <w:rPr>
          <w:rFonts w:asciiTheme="minorHAnsi" w:hAnsiTheme="minorHAnsi" w:cstheme="minorHAnsi"/>
          <w:bCs/>
        </w:rPr>
      </w:pPr>
      <w:r w:rsidRPr="00B505EF">
        <w:rPr>
          <w:rFonts w:asciiTheme="minorHAnsi" w:hAnsiTheme="minorHAnsi" w:cstheme="minorHAnsi"/>
          <w:bCs/>
        </w:rPr>
        <w:t xml:space="preserve">50% kwoty wg liczby mieszkańców </w:t>
      </w:r>
      <w:r>
        <w:rPr>
          <w:rFonts w:asciiTheme="minorHAnsi" w:hAnsiTheme="minorHAnsi" w:cstheme="minorHAnsi"/>
          <w:bCs/>
        </w:rPr>
        <w:t xml:space="preserve">danej </w:t>
      </w:r>
      <w:r w:rsidRPr="00B505EF">
        <w:rPr>
          <w:rFonts w:asciiTheme="minorHAnsi" w:hAnsiTheme="minorHAnsi" w:cstheme="minorHAnsi"/>
          <w:bCs/>
        </w:rPr>
        <w:t>LSR;</w:t>
      </w:r>
    </w:p>
    <w:p w14:paraId="77AEFAC7" w14:textId="77777777" w:rsidR="008F04E7" w:rsidRDefault="008F04E7" w:rsidP="008F04E7">
      <w:pPr>
        <w:pStyle w:val="AkapitStandardowyRyczat"/>
        <w:numPr>
          <w:ilvl w:val="0"/>
          <w:numId w:val="59"/>
        </w:numPr>
        <w:spacing w:before="0" w:after="0" w:line="276" w:lineRule="auto"/>
        <w:rPr>
          <w:rFonts w:asciiTheme="minorHAnsi" w:hAnsiTheme="minorHAnsi" w:cstheme="minorHAnsi"/>
          <w:bCs/>
        </w:rPr>
      </w:pPr>
      <w:r w:rsidRPr="00E71B9F">
        <w:rPr>
          <w:rFonts w:asciiTheme="minorHAnsi" w:hAnsiTheme="minorHAnsi" w:cstheme="minorHAnsi"/>
          <w:bCs/>
        </w:rPr>
        <w:t>25% kwoty z wykorzystaniem wskaźnika udziału liczby osób w wieku przedprodukcyjnym</w:t>
      </w:r>
      <w:r>
        <w:rPr>
          <w:rStyle w:val="Odwoanieprzypisudolnego"/>
          <w:rFonts w:asciiTheme="minorHAnsi" w:hAnsiTheme="minorHAnsi" w:cstheme="minorHAnsi"/>
          <w:bCs/>
        </w:rPr>
        <w:footnoteReference w:id="11"/>
      </w:r>
      <w:r w:rsidRPr="00E71B9F">
        <w:rPr>
          <w:rFonts w:asciiTheme="minorHAnsi" w:hAnsiTheme="minorHAnsi" w:cstheme="minorHAnsi"/>
          <w:bCs/>
        </w:rPr>
        <w:t>;</w:t>
      </w:r>
    </w:p>
    <w:p w14:paraId="0ED78DA5" w14:textId="77777777" w:rsidR="008F04E7" w:rsidRPr="00E71B9F" w:rsidRDefault="008F04E7" w:rsidP="008F04E7">
      <w:pPr>
        <w:pStyle w:val="AkapitStandardowyRyczat"/>
        <w:numPr>
          <w:ilvl w:val="0"/>
          <w:numId w:val="59"/>
        </w:numPr>
        <w:spacing w:before="0" w:after="0" w:line="276" w:lineRule="auto"/>
        <w:rPr>
          <w:rFonts w:asciiTheme="minorHAnsi" w:hAnsiTheme="minorHAnsi" w:cstheme="minorHAnsi"/>
          <w:bCs/>
        </w:rPr>
      </w:pPr>
      <w:r w:rsidRPr="00E71B9F">
        <w:rPr>
          <w:rFonts w:asciiTheme="minorHAnsi" w:hAnsiTheme="minorHAnsi" w:cstheme="minorHAnsi"/>
          <w:bCs/>
        </w:rPr>
        <w:t xml:space="preserve"> 25% kwoty z wykorzystaniem wskaźnika udziału liczby osób w wieku poprodukcyjnym</w:t>
      </w:r>
      <w:r>
        <w:rPr>
          <w:rStyle w:val="Odwoanieprzypisudolnego"/>
          <w:rFonts w:asciiTheme="minorHAnsi" w:hAnsiTheme="minorHAnsi" w:cstheme="minorHAnsi"/>
          <w:bCs/>
        </w:rPr>
        <w:footnoteReference w:id="12"/>
      </w:r>
      <w:r w:rsidRPr="00E71B9F">
        <w:rPr>
          <w:rFonts w:asciiTheme="minorHAnsi" w:hAnsiTheme="minorHAnsi" w:cstheme="minorHAnsi"/>
          <w:bCs/>
        </w:rPr>
        <w:t>;</w:t>
      </w:r>
    </w:p>
    <w:p w14:paraId="7E61B566" w14:textId="77777777" w:rsidR="008F04E7" w:rsidRDefault="008F04E7" w:rsidP="008F04E7">
      <w:pPr>
        <w:pStyle w:val="Default"/>
        <w:spacing w:line="276" w:lineRule="auto"/>
        <w:rPr>
          <w:sz w:val="22"/>
          <w:szCs w:val="22"/>
        </w:rPr>
      </w:pPr>
    </w:p>
    <w:p w14:paraId="05790EAF" w14:textId="77777777" w:rsidR="008F04E7" w:rsidRPr="00AC7192" w:rsidRDefault="008F04E7" w:rsidP="008F04E7">
      <w:pPr>
        <w:pStyle w:val="Default"/>
        <w:spacing w:line="276" w:lineRule="auto"/>
        <w:jc w:val="center"/>
        <w:rPr>
          <w:rFonts w:ascii="Cambria" w:hAnsi="Cambria"/>
          <w:bCs/>
          <w:sz w:val="22"/>
          <w:szCs w:val="22"/>
        </w:rPr>
      </w:pPr>
      <w:r w:rsidRPr="00AC7192">
        <w:rPr>
          <w:bCs/>
          <w:sz w:val="22"/>
          <w:szCs w:val="22"/>
        </w:rPr>
        <w:t xml:space="preserve">Kwota LSR </w:t>
      </w:r>
      <m:oMath>
        <m:r>
          <m:rPr>
            <m:sty m:val="b"/>
          </m:rPr>
          <w:rPr>
            <w:rFonts w:ascii="Cambria Math" w:hAnsi="Cambria Math"/>
            <w:sz w:val="22"/>
            <w:szCs w:val="22"/>
          </w:rPr>
          <m:t>=</m:t>
        </m:r>
        <m:f>
          <m:fPr>
            <m:ctrlPr>
              <w:rPr>
                <w:rFonts w:ascii="Cambria Math" w:hAnsi="Cambria Math"/>
                <w:bCs/>
                <w:i/>
                <w:iCs/>
                <w:sz w:val="22"/>
                <w:szCs w:val="22"/>
              </w:rPr>
            </m:ctrlPr>
          </m:fPr>
          <m:num>
            <m:r>
              <m:rPr>
                <m:sty m:val="p"/>
              </m:rPr>
              <w:rPr>
                <w:rFonts w:ascii="Cambria Math" w:hAnsi="Cambria Math"/>
                <w:sz w:val="22"/>
                <w:szCs w:val="22"/>
              </w:rPr>
              <m:t>liczba </m:t>
            </m:r>
            <m:r>
              <w:rPr>
                <w:rFonts w:ascii="Cambria Math" w:hAnsi="Cambria Math"/>
                <w:sz w:val="22"/>
                <w:szCs w:val="22"/>
              </w:rPr>
              <m:t>mieszkańców</m:t>
            </m:r>
            <m:r>
              <m:rPr>
                <m:sty m:val="p"/>
              </m:rPr>
              <w:rPr>
                <w:rFonts w:ascii="Cambria Math" w:hAnsi="Cambria Math"/>
                <w:sz w:val="22"/>
                <w:szCs w:val="22"/>
              </w:rPr>
              <m:t> obszaru danej LSR</m:t>
            </m:r>
          </m:num>
          <m:den>
            <m:r>
              <m:rPr>
                <m:sty m:val="p"/>
              </m:rPr>
              <w:rPr>
                <w:rFonts w:ascii="Cambria Math" w:hAnsi="Cambria Math"/>
                <w:sz w:val="22"/>
                <w:szCs w:val="22"/>
              </w:rPr>
              <m:t>1 067 253</m:t>
            </m:r>
          </m:den>
        </m:f>
      </m:oMath>
      <w:r w:rsidRPr="00AC7192">
        <w:rPr>
          <w:rFonts w:ascii="Cambria" w:hAnsi="Cambria"/>
          <w:bCs/>
          <w:sz w:val="22"/>
          <w:szCs w:val="22"/>
        </w:rPr>
        <w:t xml:space="preserve"> </w:t>
      </w:r>
      <w:r>
        <w:rPr>
          <w:rFonts w:ascii="Cambria" w:hAnsi="Cambria"/>
          <w:bCs/>
          <w:sz w:val="22"/>
          <w:szCs w:val="22"/>
        </w:rPr>
        <w:t>x 2,5</w:t>
      </w:r>
      <w:r w:rsidRPr="00AC7192">
        <w:rPr>
          <w:rFonts w:ascii="Cambria" w:hAnsi="Cambria"/>
          <w:bCs/>
          <w:sz w:val="22"/>
          <w:szCs w:val="22"/>
        </w:rPr>
        <w:t xml:space="preserve"> mln </w:t>
      </w:r>
      <w:r>
        <w:rPr>
          <w:rFonts w:ascii="Cambria" w:hAnsi="Cambria"/>
          <w:bCs/>
          <w:sz w:val="22"/>
          <w:szCs w:val="22"/>
        </w:rPr>
        <w:t xml:space="preserve"> EUR    </w:t>
      </w:r>
      <w:r w:rsidRPr="00AC7192">
        <w:rPr>
          <w:rFonts w:ascii="Cambria" w:hAnsi="Cambria"/>
          <w:b/>
          <w:bCs/>
          <w:sz w:val="22"/>
          <w:szCs w:val="22"/>
        </w:rPr>
        <w:t>+</w:t>
      </w:r>
    </w:p>
    <w:p w14:paraId="1034F02C" w14:textId="77777777" w:rsidR="008F04E7" w:rsidRPr="00AC7192" w:rsidRDefault="007E40F4" w:rsidP="008F04E7">
      <w:pPr>
        <w:pStyle w:val="Default"/>
        <w:spacing w:line="276" w:lineRule="auto"/>
        <w:rPr>
          <w:rFonts w:ascii="Cambria" w:hAnsi="Cambria"/>
          <w:bCs/>
          <w:sz w:val="22"/>
          <w:szCs w:val="22"/>
        </w:rPr>
      </w:pPr>
      <m:oMathPara>
        <m:oMathParaPr>
          <m:jc m:val="centerGroup"/>
        </m:oMathParaPr>
        <m:oMath>
          <m:f>
            <m:fPr>
              <m:ctrlPr>
                <w:rPr>
                  <w:rFonts w:ascii="Cambria Math" w:hAnsi="Cambria Math" w:cs="Calibri"/>
                  <w:bCs/>
                  <w:iCs/>
                  <w:sz w:val="20"/>
                  <w:szCs w:val="20"/>
                </w:rPr>
              </m:ctrlPr>
            </m:fPr>
            <m:num>
              <m:eqArr>
                <m:eqArrPr>
                  <m:ctrlPr>
                    <w:rPr>
                      <w:rFonts w:ascii="Cambria Math" w:hAnsi="Cambria Math" w:cs="Calibri"/>
                      <w:bCs/>
                      <w:iCs/>
                      <w:sz w:val="20"/>
                      <w:szCs w:val="20"/>
                    </w:rPr>
                  </m:ctrlPr>
                </m:eqArrPr>
                <m:e/>
                <m:e>
                  <m:f>
                    <m:fPr>
                      <m:ctrlPr>
                        <w:rPr>
                          <w:rFonts w:ascii="Cambria Math" w:hAnsi="Cambria Math" w:cs="Calibri"/>
                          <w:bCs/>
                          <w:iCs/>
                          <w:sz w:val="20"/>
                          <w:szCs w:val="20"/>
                        </w:rPr>
                      </m:ctrlPr>
                    </m:fPr>
                    <m:num>
                      <m:eqArr>
                        <m:eqArrPr>
                          <m:ctrlPr>
                            <w:rPr>
                              <w:rFonts w:ascii="Cambria Math" w:hAnsi="Cambria Math" w:cs="Calibri"/>
                              <w:bCs/>
                              <w:sz w:val="20"/>
                              <w:szCs w:val="20"/>
                            </w:rPr>
                          </m:ctrlPr>
                        </m:eqArrPr>
                        <m:e/>
                        <m:e>
                          <m:r>
                            <m:rPr>
                              <m:sty m:val="p"/>
                            </m:rPr>
                            <w:rPr>
                              <w:rFonts w:ascii="Cambria Math" w:hAnsi="Cambria Math" w:cs="Calibri"/>
                              <w:sz w:val="20"/>
                              <w:szCs w:val="20"/>
                            </w:rPr>
                            <m:t>liczba osób w wieku przedprodukcyjnym na obszarze danej LSR</m:t>
                          </m:r>
                        </m:e>
                      </m:eqArr>
                    </m:num>
                    <m:den>
                      <m:r>
                        <m:rPr>
                          <m:sty m:val="p"/>
                        </m:rPr>
                        <w:rPr>
                          <w:rFonts w:ascii="Cambria Math" w:hAnsi="Cambria Math" w:cs="Calibri"/>
                          <w:sz w:val="20"/>
                          <w:szCs w:val="20"/>
                        </w:rPr>
                        <m:t xml:space="preserve">łączna liczba mieszkańców danej LSR </m:t>
                      </m:r>
                    </m:den>
                  </m:f>
                </m:e>
              </m:eqArr>
            </m:num>
            <m:den>
              <m:r>
                <m:rPr>
                  <m:sty m:val="p"/>
                </m:rPr>
                <w:rPr>
                  <w:rFonts w:ascii="Cambria Math" w:hAnsi="Cambria Math" w:cs="Calibri"/>
                  <w:sz w:val="20"/>
                  <w:szCs w:val="20"/>
                </w:rPr>
                <m:t>3,23</m:t>
              </m:r>
            </m:den>
          </m:f>
          <m:r>
            <m:rPr>
              <m:sty m:val="p"/>
            </m:rPr>
            <w:rPr>
              <w:rFonts w:ascii="Cambria Math" w:hAnsi="Cambria Math" w:cs="Calibri"/>
              <w:sz w:val="20"/>
              <w:szCs w:val="20"/>
            </w:rPr>
            <m:t> x 1,25 mln EUR</m:t>
          </m:r>
        </m:oMath>
      </m:oMathPara>
    </w:p>
    <w:p w14:paraId="59EE7BFC" w14:textId="77777777" w:rsidR="008F04E7" w:rsidRDefault="008F04E7" w:rsidP="008F04E7">
      <w:pPr>
        <w:pStyle w:val="AkapitStandardowyRyczat"/>
        <w:spacing w:before="0" w:after="0" w:line="276" w:lineRule="auto"/>
        <w:rPr>
          <w:rFonts w:asciiTheme="minorHAnsi" w:hAnsiTheme="minorHAnsi" w:cstheme="minorHAnsi"/>
          <w:bCs/>
        </w:rPr>
      </w:pPr>
    </w:p>
    <w:p w14:paraId="2D174EA3" w14:textId="77777777" w:rsidR="008F04E7" w:rsidRPr="00AC7192" w:rsidRDefault="008F04E7" w:rsidP="008F04E7">
      <w:pPr>
        <w:pStyle w:val="Default"/>
        <w:spacing w:line="276" w:lineRule="auto"/>
        <w:rPr>
          <w:rFonts w:ascii="Cambria" w:hAnsi="Cambria"/>
          <w:bCs/>
          <w:sz w:val="22"/>
          <w:szCs w:val="22"/>
        </w:rPr>
      </w:pPr>
      <w:r>
        <w:rPr>
          <w:b/>
          <w:bCs/>
        </w:rPr>
        <w:t xml:space="preserve">+ </w:t>
      </w:r>
      <m:oMath>
        <m:r>
          <m:rPr>
            <m:sty m:val="p"/>
          </m:rPr>
          <w:rPr>
            <w:rFonts w:ascii="Cambria Math" w:hAnsi="Cambria Math" w:cs="Calibri"/>
            <w:sz w:val="20"/>
            <w:szCs w:val="20"/>
          </w:rPr>
          <w:br/>
        </m:r>
      </m:oMath>
      <m:oMathPara>
        <m:oMathParaPr>
          <m:jc m:val="centerGroup"/>
        </m:oMathParaPr>
        <m:oMath>
          <m:f>
            <m:fPr>
              <m:ctrlPr>
                <w:rPr>
                  <w:rFonts w:ascii="Cambria Math" w:hAnsi="Cambria Math" w:cs="Calibri"/>
                  <w:bCs/>
                  <w:iCs/>
                  <w:sz w:val="20"/>
                  <w:szCs w:val="20"/>
                </w:rPr>
              </m:ctrlPr>
            </m:fPr>
            <m:num>
              <m:eqArr>
                <m:eqArrPr>
                  <m:ctrlPr>
                    <w:rPr>
                      <w:rFonts w:ascii="Cambria Math" w:hAnsi="Cambria Math" w:cs="Calibri"/>
                      <w:bCs/>
                      <w:iCs/>
                      <w:sz w:val="20"/>
                      <w:szCs w:val="20"/>
                    </w:rPr>
                  </m:ctrlPr>
                </m:eqArrPr>
                <m:e/>
                <m:e>
                  <m:f>
                    <m:fPr>
                      <m:ctrlPr>
                        <w:rPr>
                          <w:rFonts w:ascii="Cambria Math" w:hAnsi="Cambria Math" w:cs="Calibri"/>
                          <w:bCs/>
                          <w:iCs/>
                          <w:sz w:val="20"/>
                          <w:szCs w:val="20"/>
                        </w:rPr>
                      </m:ctrlPr>
                    </m:fPr>
                    <m:num>
                      <m:eqArr>
                        <m:eqArrPr>
                          <m:ctrlPr>
                            <w:rPr>
                              <w:rFonts w:ascii="Cambria Math" w:hAnsi="Cambria Math" w:cs="Calibri"/>
                              <w:bCs/>
                              <w:sz w:val="20"/>
                              <w:szCs w:val="20"/>
                            </w:rPr>
                          </m:ctrlPr>
                        </m:eqArrPr>
                        <m:e/>
                        <m:e>
                          <m:r>
                            <m:rPr>
                              <m:sty m:val="p"/>
                            </m:rPr>
                            <w:rPr>
                              <w:rFonts w:ascii="Cambria Math" w:hAnsi="Cambria Math" w:cs="Calibri"/>
                              <w:sz w:val="20"/>
                              <w:szCs w:val="20"/>
                            </w:rPr>
                            <m:t>liczba osób w wieku poprodukcyjnym na obszarze danej LSR</m:t>
                          </m:r>
                        </m:e>
                      </m:eqArr>
                    </m:num>
                    <m:den>
                      <m:r>
                        <m:rPr>
                          <m:sty m:val="p"/>
                        </m:rPr>
                        <w:rPr>
                          <w:rFonts w:ascii="Cambria Math" w:hAnsi="Cambria Math" w:cs="Calibri"/>
                          <w:sz w:val="20"/>
                          <w:szCs w:val="20"/>
                        </w:rPr>
                        <m:t xml:space="preserve">łączna liczba mieszkańców danej LSR </m:t>
                      </m:r>
                    </m:den>
                  </m:f>
                </m:e>
              </m:eqArr>
            </m:num>
            <m:den>
              <m:r>
                <m:rPr>
                  <m:sty m:val="p"/>
                </m:rPr>
                <w:rPr>
                  <w:rFonts w:ascii="Cambria Math" w:hAnsi="Cambria Math" w:cs="Calibri"/>
                  <w:sz w:val="20"/>
                  <w:szCs w:val="20"/>
                </w:rPr>
                <m:t>2,58</m:t>
              </m:r>
            </m:den>
          </m:f>
          <m:r>
            <m:rPr>
              <m:sty m:val="p"/>
            </m:rPr>
            <w:rPr>
              <w:rFonts w:ascii="Cambria Math" w:hAnsi="Cambria Math" w:cs="Calibri"/>
              <w:sz w:val="20"/>
              <w:szCs w:val="20"/>
            </w:rPr>
            <m:t> x 1,25 mln EUR</m:t>
          </m:r>
        </m:oMath>
      </m:oMathPara>
    </w:p>
    <w:p w14:paraId="72307FC1" w14:textId="77777777" w:rsidR="008F04E7" w:rsidRPr="00F92AD6" w:rsidRDefault="008F04E7" w:rsidP="008F04E7">
      <w:pPr>
        <w:pStyle w:val="Default"/>
        <w:numPr>
          <w:ilvl w:val="0"/>
          <w:numId w:val="58"/>
        </w:numPr>
        <w:autoSpaceDE w:val="0"/>
        <w:autoSpaceDN w:val="0"/>
        <w:adjustRightInd w:val="0"/>
        <w:spacing w:before="0" w:after="0" w:line="276" w:lineRule="auto"/>
        <w:rPr>
          <w:bCs/>
          <w:sz w:val="22"/>
          <w:szCs w:val="22"/>
        </w:rPr>
      </w:pPr>
      <w:r w:rsidRPr="00F92AD6">
        <w:rPr>
          <w:bCs/>
          <w:sz w:val="22"/>
          <w:szCs w:val="22"/>
          <w:u w:val="single"/>
        </w:rPr>
        <w:lastRenderedPageBreak/>
        <w:t xml:space="preserve">Priorytet 6. Fundusze europejskie dla silnego społecznie Pomorza (CP4) </w:t>
      </w:r>
      <w:r w:rsidRPr="00F92AD6">
        <w:rPr>
          <w:bCs/>
          <w:sz w:val="22"/>
          <w:szCs w:val="22"/>
        </w:rPr>
        <w:t xml:space="preserve">- </w:t>
      </w:r>
      <w:r w:rsidRPr="00F92AD6">
        <w:rPr>
          <w:b/>
          <w:bCs/>
          <w:sz w:val="22"/>
          <w:szCs w:val="22"/>
        </w:rPr>
        <w:t>cel (vi)</w:t>
      </w:r>
      <w:r w:rsidRPr="00EB144B">
        <w:rPr>
          <w:bCs/>
          <w:sz w:val="22"/>
          <w:szCs w:val="22"/>
        </w:rPr>
        <w:t xml:space="preserve"> </w:t>
      </w:r>
      <w:r w:rsidRPr="00436006">
        <w:rPr>
          <w:bCs/>
          <w:i/>
          <w:sz w:val="22"/>
          <w:szCs w:val="22"/>
        </w:rPr>
        <w:t>wzmacnianie roli kultury i zrównoważonej turystyki w rozwoju gospodarczym, włączeniu społecznym i innowacjach społecznych</w:t>
      </w:r>
      <w:r w:rsidRPr="00EB144B">
        <w:rPr>
          <w:bCs/>
          <w:sz w:val="22"/>
          <w:szCs w:val="22"/>
        </w:rPr>
        <w:t xml:space="preserve"> </w:t>
      </w:r>
      <w:r>
        <w:rPr>
          <w:b/>
          <w:bCs/>
          <w:sz w:val="22"/>
          <w:szCs w:val="22"/>
        </w:rPr>
        <w:t>(10 mln EUR EFRR</w:t>
      </w:r>
      <w:r w:rsidRPr="00436006">
        <w:rPr>
          <w:b/>
          <w:bCs/>
          <w:sz w:val="22"/>
          <w:szCs w:val="22"/>
        </w:rPr>
        <w:t>):</w:t>
      </w:r>
    </w:p>
    <w:p w14:paraId="67D977B1" w14:textId="77777777" w:rsidR="008F04E7" w:rsidRPr="00123825" w:rsidRDefault="008F04E7" w:rsidP="008F04E7">
      <w:pPr>
        <w:pStyle w:val="Default"/>
        <w:numPr>
          <w:ilvl w:val="0"/>
          <w:numId w:val="40"/>
        </w:numPr>
        <w:autoSpaceDE w:val="0"/>
        <w:autoSpaceDN w:val="0"/>
        <w:adjustRightInd w:val="0"/>
        <w:spacing w:before="0" w:after="0" w:line="276" w:lineRule="auto"/>
        <w:rPr>
          <w:bCs/>
          <w:sz w:val="22"/>
          <w:szCs w:val="22"/>
        </w:rPr>
      </w:pPr>
      <w:r>
        <w:rPr>
          <w:bCs/>
          <w:sz w:val="22"/>
          <w:szCs w:val="22"/>
        </w:rPr>
        <w:t>100% kwoty wg liczby mieszkańców</w:t>
      </w:r>
      <w:r>
        <w:rPr>
          <w:rStyle w:val="Odwoanieprzypisudolnego"/>
          <w:bCs/>
          <w:sz w:val="22"/>
          <w:szCs w:val="22"/>
        </w:rPr>
        <w:footnoteReference w:id="13"/>
      </w:r>
      <w:r>
        <w:rPr>
          <w:bCs/>
          <w:sz w:val="22"/>
          <w:szCs w:val="22"/>
        </w:rPr>
        <w:t xml:space="preserve"> danej LSR </w:t>
      </w:r>
    </w:p>
    <w:p w14:paraId="1CD19D77" w14:textId="77777777" w:rsidR="008F04E7" w:rsidRDefault="008F04E7" w:rsidP="008F04E7">
      <w:pPr>
        <w:pStyle w:val="Default"/>
        <w:spacing w:line="276" w:lineRule="auto"/>
        <w:ind w:left="720"/>
        <w:rPr>
          <w:b/>
          <w:bCs/>
          <w:sz w:val="22"/>
          <w:szCs w:val="22"/>
        </w:rPr>
      </w:pPr>
    </w:p>
    <w:p w14:paraId="3092A1BE" w14:textId="77777777" w:rsidR="008F04E7" w:rsidRDefault="008F04E7" w:rsidP="008F04E7">
      <w:pPr>
        <w:pStyle w:val="Default"/>
        <w:spacing w:line="276" w:lineRule="auto"/>
        <w:rPr>
          <w:rFonts w:ascii="Calibri" w:hAnsi="Calibri" w:cs="Calibri"/>
          <w:bCs/>
          <w:sz w:val="22"/>
          <w:szCs w:val="22"/>
        </w:rPr>
      </w:pPr>
    </w:p>
    <w:p w14:paraId="0453C2C1" w14:textId="77777777" w:rsidR="008F04E7" w:rsidRDefault="008F04E7" w:rsidP="008F04E7">
      <w:pPr>
        <w:pStyle w:val="Default"/>
        <w:spacing w:line="276" w:lineRule="auto"/>
        <w:jc w:val="center"/>
        <w:rPr>
          <w:rFonts w:ascii="Calibri" w:hAnsi="Calibri" w:cs="Calibri"/>
          <w:bCs/>
          <w:sz w:val="22"/>
          <w:szCs w:val="22"/>
        </w:rPr>
      </w:pPr>
      <w:r>
        <w:rPr>
          <w:rFonts w:ascii="Calibri" w:hAnsi="Calibri" w:cs="Calibri"/>
          <w:bCs/>
          <w:sz w:val="22"/>
          <w:szCs w:val="22"/>
        </w:rPr>
        <w:t xml:space="preserve">Kwota LSR </w:t>
      </w:r>
      <m:oMath>
        <m:r>
          <m:rPr>
            <m:sty m:val="p"/>
          </m:rPr>
          <w:rPr>
            <w:rFonts w:ascii="Cambria Math" w:hAnsi="Cambria Math" w:cs="Calibri"/>
            <w:sz w:val="22"/>
            <w:szCs w:val="22"/>
          </w:rPr>
          <m:t>=</m:t>
        </m:r>
        <m:f>
          <m:fPr>
            <m:ctrlPr>
              <w:rPr>
                <w:rFonts w:ascii="Cambria Math" w:hAnsi="Cambria Math" w:cs="Calibri"/>
                <w:bCs/>
                <w:i/>
                <w:iCs/>
                <w:sz w:val="22"/>
                <w:szCs w:val="22"/>
              </w:rPr>
            </m:ctrlPr>
          </m:fPr>
          <m:num>
            <m:r>
              <m:rPr>
                <m:sty m:val="p"/>
              </m:rPr>
              <w:rPr>
                <w:rFonts w:ascii="Cambria Math" w:hAnsi="Cambria Math" w:cs="Calibri"/>
                <w:sz w:val="22"/>
                <w:szCs w:val="22"/>
              </w:rPr>
              <m:t>liczba mieszkańców obszaru danej LSR</m:t>
            </m:r>
          </m:num>
          <m:den>
            <m:r>
              <m:rPr>
                <m:sty m:val="p"/>
              </m:rPr>
              <w:rPr>
                <w:rFonts w:ascii="Cambria Math" w:hAnsi="Cambria Math" w:cs="Calibri"/>
                <w:sz w:val="22"/>
                <w:szCs w:val="22"/>
              </w:rPr>
              <m:t>1 067 253</m:t>
            </m:r>
          </m:den>
        </m:f>
      </m:oMath>
      <w:r>
        <w:rPr>
          <w:rFonts w:ascii="Calibri" w:hAnsi="Calibri" w:cs="Calibri"/>
          <w:bCs/>
          <w:sz w:val="22"/>
          <w:szCs w:val="22"/>
        </w:rPr>
        <w:t xml:space="preserve"> x 10 mln EUR,</w:t>
      </w:r>
    </w:p>
    <w:p w14:paraId="1C631997" w14:textId="77777777" w:rsidR="008F04E7" w:rsidRPr="00564E4A" w:rsidRDefault="008F04E7" w:rsidP="008F04E7">
      <w:pPr>
        <w:pStyle w:val="Default"/>
        <w:spacing w:line="276" w:lineRule="auto"/>
        <w:rPr>
          <w:rFonts w:ascii="Calibri" w:hAnsi="Calibri" w:cs="Calibri"/>
          <w:bCs/>
          <w:sz w:val="22"/>
          <w:szCs w:val="22"/>
        </w:rPr>
      </w:pPr>
    </w:p>
    <w:p w14:paraId="20D98788" w14:textId="77777777" w:rsidR="008F04E7" w:rsidRPr="00096DF4" w:rsidRDefault="008F04E7" w:rsidP="008F04E7">
      <w:pPr>
        <w:pStyle w:val="Default"/>
        <w:spacing w:line="276" w:lineRule="auto"/>
      </w:pPr>
      <w:r w:rsidRPr="00096DF4">
        <w:t xml:space="preserve">Zaproponowana metodologia zabezpiecza środki na ewentualne „białe plamy” bez konieczności „blokowania” odrębnej puli.  </w:t>
      </w:r>
    </w:p>
    <w:p w14:paraId="54311F6E" w14:textId="77777777" w:rsidR="008F04E7" w:rsidRPr="00F35922" w:rsidRDefault="008F04E7" w:rsidP="008F04E7">
      <w:pPr>
        <w:pStyle w:val="Default"/>
        <w:spacing w:line="276" w:lineRule="auto"/>
        <w:rPr>
          <w:sz w:val="22"/>
          <w:szCs w:val="22"/>
        </w:rPr>
      </w:pPr>
      <w:r w:rsidRPr="00096DF4">
        <w:t xml:space="preserve">W przypadku, gdy po ustaleniu listy LSR spełniających warunki wyboru oraz określeniu ostatecznych granic LGD okaże się, że środki FEP 2021-2027 </w:t>
      </w:r>
      <w:r w:rsidRPr="00F35922">
        <w:rPr>
          <w:rFonts w:eastAsiaTheme="minorHAnsi"/>
          <w:color w:val="000000"/>
          <w:sz w:val="22"/>
          <w:szCs w:val="22"/>
        </w:rPr>
        <w:t xml:space="preserve">wg zaproponowanej metodologii nie pozwoli na objęcie wsparciem wszystkich LSR spełniających ww. warunki, Zarząd Województwa Pomorskiego zastrzega sobie prawo do proporcjonalnego obniżenia kwot dla LSR. I odwrotnie, w przypadku, gdy po ustaleniu listy LSR spełniających warunki wyboru oraz określeniu ostatecznych granic LGD okaże się, że środki FEP 2021-2027 nie zostaną w całości rozdysponowane w oparciu o powyższe wskaźniki, Zarząd Województwa Pomorskiego zastrzega sobie prawo podziału tych środków pomiędzy LSR z uwzględnieniem wyników ich oceny oraz określonego zapotrzebowania. </w:t>
      </w:r>
    </w:p>
    <w:p w14:paraId="7B8FB38C" w14:textId="77777777" w:rsidR="008F04E7" w:rsidRPr="00F35922" w:rsidRDefault="008F04E7" w:rsidP="008F04E7">
      <w:pPr>
        <w:autoSpaceDE w:val="0"/>
        <w:autoSpaceDN w:val="0"/>
        <w:adjustRightInd w:val="0"/>
        <w:spacing w:after="0"/>
        <w:jc w:val="both"/>
        <w:rPr>
          <w:rFonts w:asciiTheme="minorHAnsi" w:hAnsiTheme="minorHAnsi" w:cstheme="minorHAnsi"/>
        </w:rPr>
      </w:pPr>
    </w:p>
    <w:p w14:paraId="52E7F3F9" w14:textId="77777777" w:rsidR="008F04E7" w:rsidRPr="00F35922" w:rsidRDefault="008F04E7" w:rsidP="008F04E7">
      <w:pPr>
        <w:autoSpaceDE w:val="0"/>
        <w:autoSpaceDN w:val="0"/>
        <w:adjustRightInd w:val="0"/>
        <w:spacing w:after="0"/>
        <w:jc w:val="both"/>
        <w:rPr>
          <w:rFonts w:ascii="Times New Roman" w:eastAsia="Calibri" w:hAnsi="Times New Roman" w:cs="Calibri"/>
          <w:color w:val="000000"/>
          <w:sz w:val="24"/>
          <w:szCs w:val="24"/>
          <w:lang w:eastAsia="en-US"/>
        </w:rPr>
      </w:pPr>
      <w:r w:rsidRPr="00F35922">
        <w:rPr>
          <w:rFonts w:asciiTheme="minorHAnsi" w:eastAsiaTheme="minorHAnsi" w:hAnsiTheme="minorHAnsi" w:cstheme="minorHAnsi"/>
          <w:color w:val="000000"/>
          <w:lang w:eastAsia="en-US"/>
        </w:rPr>
        <w:t xml:space="preserve">Z uwzględnieniem specyfiki konstrukcji instrumentu RLKS w ramach FEP 2021-2027 nie przewiduje się wyszczególniania kwoty na „zarządzanie” na poziomie umowy ramowej. Przewiduje się natomiast możliwość korzystania z formuły kosztów pośrednich w ramach projektów grantowych, a zatem środki na ten cel stanowić będą składową poszczególnych projektów grantowych. W związku z powyższym wysokość środków na „zarządzanie” uzależniona będzie od przyjętej w ramach LSR formuły realizacji projektów i wartości projektów grantowych. </w:t>
      </w:r>
    </w:p>
    <w:p w14:paraId="278789E0" w14:textId="77777777" w:rsidR="008F04E7" w:rsidRPr="00F35922" w:rsidRDefault="008F04E7" w:rsidP="008F04E7">
      <w:pPr>
        <w:autoSpaceDE w:val="0"/>
        <w:autoSpaceDN w:val="0"/>
        <w:adjustRightInd w:val="0"/>
        <w:spacing w:after="0"/>
        <w:jc w:val="both"/>
        <w:rPr>
          <w:rFonts w:asciiTheme="minorHAnsi" w:hAnsiTheme="minorHAnsi" w:cstheme="minorHAnsi"/>
          <w:b/>
          <w:bCs/>
          <w:lang w:eastAsia="en-US"/>
        </w:rPr>
      </w:pPr>
      <w:r w:rsidRPr="00F35922">
        <w:rPr>
          <w:rFonts w:asciiTheme="minorHAnsi" w:eastAsiaTheme="minorHAnsi" w:hAnsiTheme="minorHAnsi" w:cstheme="minorHAnsi"/>
          <w:color w:val="000000"/>
          <w:lang w:eastAsia="en-US"/>
        </w:rPr>
        <w:t xml:space="preserve">Na potrzeby niniejszego załącznika i określenia przewidywanej szacunkowej alokacji przyjąć można, że w formule grantowej realizowane będą projekty w ramach: </w:t>
      </w:r>
      <w:r w:rsidRPr="00F35922">
        <w:rPr>
          <w:rFonts w:asciiTheme="minorHAnsi" w:eastAsiaTheme="minorHAnsi" w:hAnsiTheme="minorHAnsi" w:cstheme="minorHAnsi"/>
          <w:bCs/>
          <w:color w:val="000000"/>
          <w:lang w:eastAsia="en-US"/>
        </w:rPr>
        <w:t xml:space="preserve">Priorytetu 5. Fundusze europejskie dla silnego społecznie Pomorza (CP4) – cel (k) </w:t>
      </w:r>
      <w:r w:rsidRPr="00F35922">
        <w:rPr>
          <w:rFonts w:asciiTheme="minorHAnsi" w:eastAsiaTheme="minorHAnsi" w:hAnsiTheme="minorHAnsi" w:cstheme="minorHAnsi"/>
          <w:bCs/>
          <w:i/>
          <w:color w:val="000000"/>
          <w:lang w:eastAsia="en-US"/>
        </w:rPr>
        <w:t>zwiększanie równego i szybkiego dostępu do dobrej jakości, trwałych i przystępnych cenowo usług (…)</w:t>
      </w:r>
      <w:r w:rsidRPr="00F35922">
        <w:rPr>
          <w:rFonts w:asciiTheme="minorHAnsi" w:eastAsiaTheme="minorHAnsi" w:hAnsiTheme="minorHAnsi" w:cstheme="minorHAnsi"/>
          <w:bCs/>
          <w:color w:val="000000"/>
          <w:lang w:eastAsia="en-US"/>
        </w:rPr>
        <w:t xml:space="preserve"> (EFS+)</w:t>
      </w:r>
      <w:r w:rsidRPr="00F35922">
        <w:rPr>
          <w:rFonts w:asciiTheme="minorHAnsi" w:eastAsiaTheme="minorHAnsi" w:hAnsiTheme="minorHAnsi" w:cstheme="minorHAnsi"/>
          <w:color w:val="000000"/>
          <w:lang w:eastAsia="en-US"/>
        </w:rPr>
        <w:t xml:space="preserve"> oraz </w:t>
      </w:r>
      <w:r w:rsidRPr="00F35922">
        <w:rPr>
          <w:rFonts w:asciiTheme="minorHAnsi" w:eastAsiaTheme="minorHAnsi" w:hAnsiTheme="minorHAnsi" w:cstheme="minorHAnsi"/>
          <w:bCs/>
          <w:color w:val="000000"/>
          <w:lang w:eastAsia="en-US"/>
        </w:rPr>
        <w:t xml:space="preserve">Priorytetu 2. Fundusze europejskie dla zielonego Pomorza (CP2) – </w:t>
      </w:r>
      <w:r w:rsidRPr="00F35922">
        <w:rPr>
          <w:rFonts w:asciiTheme="minorHAnsi" w:eastAsiaTheme="minorHAnsi" w:hAnsiTheme="minorHAnsi" w:cstheme="minorHAnsi"/>
          <w:bCs/>
          <w:lang w:eastAsia="en-US"/>
        </w:rPr>
        <w:t xml:space="preserve">cel </w:t>
      </w:r>
      <w:r w:rsidRPr="00F35922">
        <w:rPr>
          <w:rFonts w:asciiTheme="minorHAnsi" w:hAnsiTheme="minorHAnsi" w:cstheme="minorHAnsi"/>
          <w:bCs/>
          <w:lang w:eastAsia="en-US"/>
        </w:rPr>
        <w:t xml:space="preserve">(ii) </w:t>
      </w:r>
      <w:r w:rsidRPr="00F35922">
        <w:rPr>
          <w:rFonts w:asciiTheme="minorHAnsi" w:hAnsiTheme="minorHAnsi" w:cstheme="minorHAnsi"/>
          <w:bCs/>
          <w:i/>
          <w:lang w:eastAsia="en-US"/>
        </w:rPr>
        <w:t>wspieranie energii odnawialnej zgodnie z dyrektywą (UE) 2018/2001, w tym z określonymi w niej kryteriami zrównoważonego rozwoju</w:t>
      </w:r>
      <w:r w:rsidRPr="00F35922">
        <w:rPr>
          <w:rFonts w:asciiTheme="minorHAnsi" w:hAnsiTheme="minorHAnsi" w:cstheme="minorHAnsi"/>
          <w:bCs/>
          <w:lang w:eastAsia="en-US"/>
        </w:rPr>
        <w:t xml:space="preserve"> (EFRR).</w:t>
      </w:r>
      <w:r w:rsidRPr="00F35922">
        <w:rPr>
          <w:rFonts w:asciiTheme="minorHAnsi" w:hAnsiTheme="minorHAnsi" w:cstheme="minorHAnsi"/>
          <w:b/>
          <w:bCs/>
          <w:lang w:eastAsia="en-US"/>
        </w:rPr>
        <w:t xml:space="preserve"> </w:t>
      </w:r>
    </w:p>
    <w:p w14:paraId="3964129F" w14:textId="77777777" w:rsidR="008F04E7" w:rsidRDefault="008F04E7" w:rsidP="008D1812">
      <w:pPr>
        <w:rPr>
          <w:rFonts w:asciiTheme="minorHAnsi" w:hAnsiTheme="minorHAnsi" w:cstheme="minorHAnsi"/>
          <w:bCs/>
          <w:lang w:eastAsia="en-US"/>
        </w:rPr>
      </w:pPr>
      <w:r w:rsidRPr="00F35922">
        <w:rPr>
          <w:rFonts w:asciiTheme="minorHAnsi" w:hAnsiTheme="minorHAnsi" w:cstheme="minorHAnsi"/>
          <w:bCs/>
          <w:lang w:eastAsia="en-US"/>
        </w:rPr>
        <w:t xml:space="preserve">Z uwzględnieniem powyższego oraz przyjmując minimalną wysokość kosztów pośrednich, stanowiącą 10% wartości kosztów bezpośrednich, kwota na „zarządzanie” stanowić będzie 10% sumy kwot określonych w pkt.1 i 3. </w:t>
      </w:r>
    </w:p>
    <w:p w14:paraId="708BE551" w14:textId="745F70CF" w:rsidR="009731D1" w:rsidRPr="00E56406" w:rsidRDefault="008F04E7" w:rsidP="008D1812">
      <w:pPr>
        <w:rPr>
          <w:rFonts w:asciiTheme="minorHAnsi" w:eastAsiaTheme="minorHAnsi" w:hAnsiTheme="minorHAnsi" w:cstheme="minorHAnsi"/>
          <w:sz w:val="28"/>
          <w:szCs w:val="28"/>
        </w:rPr>
      </w:pPr>
      <w:r w:rsidRPr="00F35922">
        <w:rPr>
          <w:rFonts w:asciiTheme="minorHAnsi" w:hAnsiTheme="minorHAnsi" w:cstheme="minorHAnsi"/>
          <w:bCs/>
          <w:lang w:eastAsia="en-US"/>
        </w:rPr>
        <w:t xml:space="preserve">Powyższe szacunki mogą </w:t>
      </w:r>
      <w:r w:rsidRPr="00F35922">
        <w:rPr>
          <w:rFonts w:asciiTheme="minorHAnsi" w:eastAsiaTheme="minorHAnsi" w:hAnsiTheme="minorHAnsi" w:cstheme="minorHAnsi"/>
          <w:color w:val="000000"/>
          <w:lang w:eastAsia="en-US"/>
        </w:rPr>
        <w:t xml:space="preserve">mieć różne zastosowanie w poszczególnych LSR. </w:t>
      </w:r>
      <w:r w:rsidR="009731D1" w:rsidRPr="00E56406">
        <w:rPr>
          <w:rFonts w:asciiTheme="minorHAnsi" w:eastAsiaTheme="minorHAnsi" w:hAnsiTheme="minorHAnsi" w:cstheme="minorHAnsi"/>
          <w:sz w:val="28"/>
          <w:szCs w:val="28"/>
        </w:rPr>
        <w:t xml:space="preserve"> </w:t>
      </w:r>
    </w:p>
    <w:p w14:paraId="0C5515A5" w14:textId="5B34500A" w:rsidR="00D92E3C" w:rsidRPr="00E56406" w:rsidRDefault="00D92E3C" w:rsidP="000E6C69">
      <w:pPr>
        <w:spacing w:after="160" w:line="259" w:lineRule="auto"/>
        <w:jc w:val="both"/>
        <w:rPr>
          <w:rFonts w:asciiTheme="minorHAnsi" w:hAnsiTheme="minorHAnsi" w:cstheme="minorHAnsi"/>
          <w:b/>
          <w:sz w:val="32"/>
          <w:szCs w:val="24"/>
        </w:rPr>
      </w:pPr>
    </w:p>
    <w:p w14:paraId="54D8CD85" w14:textId="77777777" w:rsidR="008357C2" w:rsidRPr="00E56406" w:rsidRDefault="008357C2" w:rsidP="008357C2">
      <w:pPr>
        <w:pStyle w:val="Nagwek1"/>
        <w:spacing w:line="276" w:lineRule="auto"/>
        <w:jc w:val="both"/>
        <w:rPr>
          <w:szCs w:val="32"/>
        </w:rPr>
      </w:pPr>
      <w:bookmarkStart w:id="7" w:name="_Toc117597604"/>
      <w:r w:rsidRPr="00E56406">
        <w:rPr>
          <w:szCs w:val="32"/>
        </w:rPr>
        <w:t>H. Wysokość dostępnych środków przeznaczonych na realizację LSR w ramach programu Fundusze Europejskie dla Śląskiego 2021-2027</w:t>
      </w:r>
      <w:bookmarkEnd w:id="7"/>
    </w:p>
    <w:p w14:paraId="1C514FC5" w14:textId="77777777" w:rsidR="008357C2" w:rsidRPr="00E56406" w:rsidRDefault="008357C2" w:rsidP="008357C2">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EFS+ przeznaczonych na realizację LSR w ramach programu Fundusze Europejskie dla Śląskiego 2021-2027 wynosi 16 000 000 EUR.</w:t>
      </w:r>
    </w:p>
    <w:p w14:paraId="766DF3FB" w14:textId="32F6830E" w:rsidR="008357C2" w:rsidRPr="00E56406" w:rsidRDefault="008357C2" w:rsidP="008357C2">
      <w:pPr>
        <w:spacing w:after="0"/>
        <w:jc w:val="both"/>
        <w:rPr>
          <w:rFonts w:asciiTheme="minorHAnsi" w:eastAsia="Calibri" w:hAnsiTheme="minorHAnsi" w:cstheme="minorHAnsi"/>
          <w:sz w:val="24"/>
          <w:szCs w:val="24"/>
        </w:rPr>
      </w:pPr>
      <w:r w:rsidRPr="00E56406">
        <w:rPr>
          <w:rFonts w:asciiTheme="minorHAnsi" w:eastAsia="Calibri" w:hAnsiTheme="minorHAnsi" w:cstheme="minorHAnsi"/>
          <w:sz w:val="24"/>
          <w:szCs w:val="24"/>
        </w:rPr>
        <w:t xml:space="preserve">Ze względu na planowane zastosowanie formuły grantowej wdrażania RLKS kwota na </w:t>
      </w:r>
      <w:r w:rsidR="00281174">
        <w:rPr>
          <w:rFonts w:asciiTheme="minorHAnsi" w:eastAsia="Calibri" w:hAnsiTheme="minorHAnsi" w:cstheme="minorHAnsi"/>
          <w:sz w:val="24"/>
          <w:szCs w:val="24"/>
        </w:rPr>
        <w:t>Z</w:t>
      </w:r>
      <w:r w:rsidRPr="00E56406">
        <w:rPr>
          <w:rFonts w:asciiTheme="minorHAnsi" w:eastAsia="Calibri" w:hAnsiTheme="minorHAnsi" w:cstheme="minorHAnsi"/>
          <w:sz w:val="24"/>
          <w:szCs w:val="24"/>
        </w:rPr>
        <w:t>arządzanie</w:t>
      </w:r>
      <w:r w:rsidRPr="00E56406">
        <w:rPr>
          <w:rFonts w:asciiTheme="minorHAnsi" w:hAnsiTheme="minorHAnsi" w:cstheme="minorHAnsi"/>
          <w:sz w:val="24"/>
          <w:szCs w:val="24"/>
        </w:rPr>
        <w:t xml:space="preserve"> LSR będzie uwzględniona w umowie na realizację projektów grantowych (w ramach kosztów pośrednich lub kosztów bezpośrednich). Wstępnie oszacowano, że w ramach EFS+ LGD otrzymają do 15% z dostępnych środków przeznaczonych na realizację LSR.</w:t>
      </w:r>
      <w:r w:rsidRPr="00E56406">
        <w:rPr>
          <w:rFonts w:asciiTheme="minorHAnsi" w:eastAsia="Calibri" w:hAnsiTheme="minorHAnsi" w:cstheme="minorHAnsi"/>
          <w:sz w:val="24"/>
          <w:szCs w:val="24"/>
        </w:rPr>
        <w:t xml:space="preserve"> </w:t>
      </w:r>
    </w:p>
    <w:p w14:paraId="7335E5F5" w14:textId="77777777" w:rsidR="008357C2" w:rsidRPr="00E56406" w:rsidRDefault="008357C2" w:rsidP="008357C2">
      <w:pPr>
        <w:spacing w:after="0"/>
        <w:jc w:val="both"/>
        <w:rPr>
          <w:rFonts w:asciiTheme="minorHAnsi" w:hAnsiTheme="minorHAnsi" w:cstheme="minorHAnsi"/>
          <w:sz w:val="24"/>
          <w:szCs w:val="24"/>
        </w:rPr>
      </w:pPr>
    </w:p>
    <w:p w14:paraId="75C3D8EB" w14:textId="77777777" w:rsidR="008357C2" w:rsidRPr="00E56406" w:rsidRDefault="008357C2" w:rsidP="008357C2">
      <w:pPr>
        <w:spacing w:after="0"/>
        <w:jc w:val="both"/>
        <w:rPr>
          <w:rFonts w:asciiTheme="minorHAnsi" w:hAnsiTheme="minorHAnsi" w:cstheme="minorHAnsi"/>
          <w:sz w:val="24"/>
          <w:szCs w:val="24"/>
        </w:rPr>
      </w:pPr>
      <w:r w:rsidRPr="00E56406">
        <w:rPr>
          <w:rFonts w:asciiTheme="minorHAnsi" w:hAnsiTheme="minorHAnsi" w:cstheme="minorHAnsi"/>
          <w:sz w:val="24"/>
          <w:szCs w:val="24"/>
        </w:rPr>
        <w:t>W przypadku, kiedy na etapie ustalania listy LSR spełniających warunki wyboru okaże się, że podział środków EFS+ wg zaproponowanych stawek będzie niewystarczający do wyboru wszystkich LSR spełniających ww. warunki, Zarząd Województwa Śląskiego zastrzega sobie prawo do proporcjonalnego obniżenia stawek komponentu EFS+ w ramach LSR. I odwrotnie, w przypadku kiedy na etapie ustalania listy LSR spełniających warunki wyboru okaże się, przeznaczona kwota nie została w całości rozdysponowana, powstałe oszczędności zostaną podzielone proporcjonalnie pomiędzy te LSR, które zgłoszą potrzebę dofinansowania LSR.</w:t>
      </w:r>
    </w:p>
    <w:p w14:paraId="7565A561" w14:textId="77777777" w:rsidR="008357C2" w:rsidRPr="00E56406" w:rsidRDefault="008357C2" w:rsidP="008357C2">
      <w:pPr>
        <w:spacing w:after="0"/>
        <w:jc w:val="both"/>
        <w:rPr>
          <w:rFonts w:asciiTheme="minorHAnsi" w:hAnsiTheme="minorHAnsi" w:cstheme="minorHAnsi"/>
        </w:rPr>
      </w:pPr>
    </w:p>
    <w:tbl>
      <w:tblPr>
        <w:tblStyle w:val="Tabela-Siatka"/>
        <w:tblW w:w="0" w:type="auto"/>
        <w:tblLayout w:type="fixed"/>
        <w:tblLook w:val="04A0" w:firstRow="1" w:lastRow="0" w:firstColumn="1" w:lastColumn="0" w:noHBand="0" w:noVBand="1"/>
      </w:tblPr>
      <w:tblGrid>
        <w:gridCol w:w="555"/>
        <w:gridCol w:w="3551"/>
        <w:gridCol w:w="4253"/>
      </w:tblGrid>
      <w:tr w:rsidR="00E56406" w:rsidRPr="00E56406" w14:paraId="51FD1A9E" w14:textId="77777777" w:rsidTr="002E5BCA">
        <w:trPr>
          <w:trHeight w:val="570"/>
        </w:trPr>
        <w:tc>
          <w:tcPr>
            <w:tcW w:w="555" w:type="dxa"/>
            <w:vAlign w:val="center"/>
            <w:hideMark/>
          </w:tcPr>
          <w:p w14:paraId="57867DB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b/>
                <w:bCs/>
                <w:sz w:val="24"/>
                <w:szCs w:val="24"/>
              </w:rPr>
              <w:t>Lp.</w:t>
            </w:r>
          </w:p>
        </w:tc>
        <w:tc>
          <w:tcPr>
            <w:tcW w:w="3551" w:type="dxa"/>
            <w:vAlign w:val="center"/>
            <w:hideMark/>
          </w:tcPr>
          <w:p w14:paraId="5D928D1B"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b/>
                <w:bCs/>
                <w:sz w:val="24"/>
                <w:szCs w:val="24"/>
              </w:rPr>
              <w:t>Liczba ludności zamieszkała na obszarze wiejskim objętym LSR z wyłączeniem miejscowości powyżej 20 tys. mieszkańców</w:t>
            </w:r>
          </w:p>
        </w:tc>
        <w:tc>
          <w:tcPr>
            <w:tcW w:w="4253" w:type="dxa"/>
            <w:vAlign w:val="center"/>
            <w:hideMark/>
          </w:tcPr>
          <w:p w14:paraId="57FF0D52" w14:textId="77777777" w:rsidR="008357C2" w:rsidRPr="00E56406" w:rsidRDefault="008357C2" w:rsidP="008357C2">
            <w:pPr>
              <w:spacing w:after="0" w:line="240" w:lineRule="auto"/>
              <w:jc w:val="center"/>
              <w:rPr>
                <w:rFonts w:asciiTheme="minorHAnsi" w:eastAsia="Calibri" w:hAnsiTheme="minorHAnsi" w:cstheme="minorHAnsi"/>
                <w:b/>
                <w:bCs/>
                <w:sz w:val="24"/>
                <w:szCs w:val="24"/>
              </w:rPr>
            </w:pPr>
            <w:r w:rsidRPr="00E56406">
              <w:rPr>
                <w:rFonts w:asciiTheme="minorHAnsi" w:eastAsia="Calibri" w:hAnsiTheme="minorHAnsi" w:cstheme="minorHAnsi"/>
                <w:b/>
                <w:bCs/>
                <w:sz w:val="24"/>
                <w:szCs w:val="24"/>
              </w:rPr>
              <w:t>maksymalna kwota (w EUR) dostępna z EFS+ dla LGD (wdrażanie + zarządzanie)</w:t>
            </w:r>
          </w:p>
          <w:p w14:paraId="5A3C2FA8" w14:textId="72846226" w:rsidR="00096DF4" w:rsidRPr="00E56406" w:rsidRDefault="00096DF4"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b/>
                <w:bCs/>
                <w:sz w:val="24"/>
                <w:szCs w:val="24"/>
              </w:rPr>
              <w:t>[EUR]</w:t>
            </w:r>
          </w:p>
        </w:tc>
      </w:tr>
      <w:tr w:rsidR="00E56406" w:rsidRPr="00E56406" w14:paraId="3B0A7051" w14:textId="77777777" w:rsidTr="002E5BCA">
        <w:trPr>
          <w:trHeight w:val="315"/>
        </w:trPr>
        <w:tc>
          <w:tcPr>
            <w:tcW w:w="555" w:type="dxa"/>
            <w:vAlign w:val="center"/>
            <w:hideMark/>
          </w:tcPr>
          <w:p w14:paraId="75F31063"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w:t>
            </w:r>
          </w:p>
        </w:tc>
        <w:tc>
          <w:tcPr>
            <w:tcW w:w="3551" w:type="dxa"/>
            <w:vAlign w:val="center"/>
            <w:hideMark/>
          </w:tcPr>
          <w:p w14:paraId="08C8A2E0"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do 39 999</w:t>
            </w:r>
          </w:p>
        </w:tc>
        <w:tc>
          <w:tcPr>
            <w:tcW w:w="4253" w:type="dxa"/>
            <w:vAlign w:val="center"/>
            <w:hideMark/>
          </w:tcPr>
          <w:p w14:paraId="141D1710"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450 000</w:t>
            </w:r>
          </w:p>
        </w:tc>
      </w:tr>
      <w:tr w:rsidR="00E56406" w:rsidRPr="00E56406" w14:paraId="479A6E8E" w14:textId="77777777" w:rsidTr="002E5BCA">
        <w:trPr>
          <w:trHeight w:val="315"/>
        </w:trPr>
        <w:tc>
          <w:tcPr>
            <w:tcW w:w="555" w:type="dxa"/>
            <w:vAlign w:val="center"/>
            <w:hideMark/>
          </w:tcPr>
          <w:p w14:paraId="1A83B369"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2</w:t>
            </w:r>
          </w:p>
        </w:tc>
        <w:tc>
          <w:tcPr>
            <w:tcW w:w="3551" w:type="dxa"/>
            <w:vAlign w:val="center"/>
            <w:hideMark/>
          </w:tcPr>
          <w:p w14:paraId="498690C5"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40 000 do 49 999</w:t>
            </w:r>
          </w:p>
        </w:tc>
        <w:tc>
          <w:tcPr>
            <w:tcW w:w="4253" w:type="dxa"/>
            <w:vAlign w:val="center"/>
            <w:hideMark/>
          </w:tcPr>
          <w:p w14:paraId="4A6CB64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562 500</w:t>
            </w:r>
          </w:p>
        </w:tc>
      </w:tr>
      <w:tr w:rsidR="00E56406" w:rsidRPr="00E56406" w14:paraId="3A3AC3AE" w14:textId="77777777" w:rsidTr="002E5BCA">
        <w:trPr>
          <w:trHeight w:val="315"/>
        </w:trPr>
        <w:tc>
          <w:tcPr>
            <w:tcW w:w="555" w:type="dxa"/>
            <w:vAlign w:val="center"/>
            <w:hideMark/>
          </w:tcPr>
          <w:p w14:paraId="0A901B7A"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3</w:t>
            </w:r>
          </w:p>
        </w:tc>
        <w:tc>
          <w:tcPr>
            <w:tcW w:w="3551" w:type="dxa"/>
            <w:vAlign w:val="center"/>
            <w:hideMark/>
          </w:tcPr>
          <w:p w14:paraId="557ABB49"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50 000 do 59 999</w:t>
            </w:r>
          </w:p>
        </w:tc>
        <w:tc>
          <w:tcPr>
            <w:tcW w:w="4253" w:type="dxa"/>
            <w:vAlign w:val="center"/>
            <w:hideMark/>
          </w:tcPr>
          <w:p w14:paraId="606FC08D"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675 000</w:t>
            </w:r>
          </w:p>
        </w:tc>
      </w:tr>
      <w:tr w:rsidR="00E56406" w:rsidRPr="00E56406" w14:paraId="2FCB3632" w14:textId="77777777" w:rsidTr="002E5BCA">
        <w:trPr>
          <w:trHeight w:val="315"/>
        </w:trPr>
        <w:tc>
          <w:tcPr>
            <w:tcW w:w="555" w:type="dxa"/>
            <w:vAlign w:val="center"/>
            <w:hideMark/>
          </w:tcPr>
          <w:p w14:paraId="7B71B79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4</w:t>
            </w:r>
          </w:p>
        </w:tc>
        <w:tc>
          <w:tcPr>
            <w:tcW w:w="3551" w:type="dxa"/>
            <w:vAlign w:val="center"/>
            <w:hideMark/>
          </w:tcPr>
          <w:p w14:paraId="549DCDDD"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60 000 do 69 999</w:t>
            </w:r>
          </w:p>
        </w:tc>
        <w:tc>
          <w:tcPr>
            <w:tcW w:w="4253" w:type="dxa"/>
            <w:vAlign w:val="center"/>
            <w:hideMark/>
          </w:tcPr>
          <w:p w14:paraId="44EF6A3B"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787 500</w:t>
            </w:r>
          </w:p>
        </w:tc>
      </w:tr>
      <w:tr w:rsidR="00E56406" w:rsidRPr="00E56406" w14:paraId="051B243E" w14:textId="77777777" w:rsidTr="002E5BCA">
        <w:trPr>
          <w:trHeight w:val="315"/>
        </w:trPr>
        <w:tc>
          <w:tcPr>
            <w:tcW w:w="555" w:type="dxa"/>
            <w:vAlign w:val="center"/>
            <w:hideMark/>
          </w:tcPr>
          <w:p w14:paraId="21EAF10F"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5</w:t>
            </w:r>
          </w:p>
        </w:tc>
        <w:tc>
          <w:tcPr>
            <w:tcW w:w="3551" w:type="dxa"/>
            <w:vAlign w:val="center"/>
            <w:hideMark/>
          </w:tcPr>
          <w:p w14:paraId="4D2E9E92"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70 000 do 79 999</w:t>
            </w:r>
          </w:p>
        </w:tc>
        <w:tc>
          <w:tcPr>
            <w:tcW w:w="4253" w:type="dxa"/>
            <w:vAlign w:val="center"/>
            <w:hideMark/>
          </w:tcPr>
          <w:p w14:paraId="108623E1"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900 000</w:t>
            </w:r>
          </w:p>
        </w:tc>
      </w:tr>
      <w:tr w:rsidR="00E56406" w:rsidRPr="00E56406" w14:paraId="7396158F" w14:textId="77777777" w:rsidTr="002E5BCA">
        <w:trPr>
          <w:trHeight w:val="315"/>
        </w:trPr>
        <w:tc>
          <w:tcPr>
            <w:tcW w:w="555" w:type="dxa"/>
            <w:vAlign w:val="center"/>
            <w:hideMark/>
          </w:tcPr>
          <w:p w14:paraId="7D4A0628"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6</w:t>
            </w:r>
          </w:p>
        </w:tc>
        <w:tc>
          <w:tcPr>
            <w:tcW w:w="3551" w:type="dxa"/>
            <w:vAlign w:val="center"/>
            <w:hideMark/>
          </w:tcPr>
          <w:p w14:paraId="1BDB301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80 000 do 89 999</w:t>
            </w:r>
          </w:p>
        </w:tc>
        <w:tc>
          <w:tcPr>
            <w:tcW w:w="4253" w:type="dxa"/>
            <w:vAlign w:val="center"/>
            <w:hideMark/>
          </w:tcPr>
          <w:p w14:paraId="42D15426"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1 012 500</w:t>
            </w:r>
          </w:p>
        </w:tc>
      </w:tr>
      <w:tr w:rsidR="00E56406" w:rsidRPr="00E56406" w14:paraId="172B5773" w14:textId="77777777" w:rsidTr="002E5BCA">
        <w:trPr>
          <w:trHeight w:val="315"/>
        </w:trPr>
        <w:tc>
          <w:tcPr>
            <w:tcW w:w="555" w:type="dxa"/>
            <w:vAlign w:val="center"/>
            <w:hideMark/>
          </w:tcPr>
          <w:p w14:paraId="5FC61465"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7</w:t>
            </w:r>
          </w:p>
        </w:tc>
        <w:tc>
          <w:tcPr>
            <w:tcW w:w="3551" w:type="dxa"/>
            <w:vAlign w:val="center"/>
            <w:hideMark/>
          </w:tcPr>
          <w:p w14:paraId="4D0953DD"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90 000 do 99 999</w:t>
            </w:r>
          </w:p>
        </w:tc>
        <w:tc>
          <w:tcPr>
            <w:tcW w:w="4253" w:type="dxa"/>
            <w:vAlign w:val="center"/>
            <w:hideMark/>
          </w:tcPr>
          <w:p w14:paraId="79E311B5"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1 125 000</w:t>
            </w:r>
          </w:p>
        </w:tc>
      </w:tr>
      <w:tr w:rsidR="00E56406" w:rsidRPr="00E56406" w14:paraId="2B0C8D53" w14:textId="77777777" w:rsidTr="002E5BCA">
        <w:trPr>
          <w:trHeight w:val="315"/>
        </w:trPr>
        <w:tc>
          <w:tcPr>
            <w:tcW w:w="555" w:type="dxa"/>
            <w:vAlign w:val="center"/>
            <w:hideMark/>
          </w:tcPr>
          <w:p w14:paraId="74C692A4"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8</w:t>
            </w:r>
          </w:p>
        </w:tc>
        <w:tc>
          <w:tcPr>
            <w:tcW w:w="3551" w:type="dxa"/>
            <w:vAlign w:val="center"/>
            <w:hideMark/>
          </w:tcPr>
          <w:p w14:paraId="00F4A2CE"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100 000 do 109 999</w:t>
            </w:r>
          </w:p>
        </w:tc>
        <w:tc>
          <w:tcPr>
            <w:tcW w:w="4253" w:type="dxa"/>
            <w:vAlign w:val="center"/>
            <w:hideMark/>
          </w:tcPr>
          <w:p w14:paraId="44166AD0"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1 237 500</w:t>
            </w:r>
          </w:p>
        </w:tc>
      </w:tr>
      <w:tr w:rsidR="00E56406" w:rsidRPr="00E56406" w14:paraId="1CA7AFF7" w14:textId="77777777" w:rsidTr="002E5BCA">
        <w:trPr>
          <w:trHeight w:val="315"/>
        </w:trPr>
        <w:tc>
          <w:tcPr>
            <w:tcW w:w="555" w:type="dxa"/>
            <w:vAlign w:val="center"/>
            <w:hideMark/>
          </w:tcPr>
          <w:p w14:paraId="1B966D57"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9</w:t>
            </w:r>
          </w:p>
        </w:tc>
        <w:tc>
          <w:tcPr>
            <w:tcW w:w="3551" w:type="dxa"/>
            <w:vAlign w:val="center"/>
            <w:hideMark/>
          </w:tcPr>
          <w:p w14:paraId="74ED6151"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110 000 do 119 999</w:t>
            </w:r>
          </w:p>
        </w:tc>
        <w:tc>
          <w:tcPr>
            <w:tcW w:w="4253" w:type="dxa"/>
            <w:vAlign w:val="center"/>
            <w:hideMark/>
          </w:tcPr>
          <w:p w14:paraId="51BB61E7"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1 350 000</w:t>
            </w:r>
          </w:p>
        </w:tc>
      </w:tr>
      <w:tr w:rsidR="00E56406" w:rsidRPr="00E56406" w14:paraId="00031778" w14:textId="77777777" w:rsidTr="002E5BCA">
        <w:trPr>
          <w:trHeight w:val="315"/>
        </w:trPr>
        <w:tc>
          <w:tcPr>
            <w:tcW w:w="555" w:type="dxa"/>
            <w:vAlign w:val="center"/>
            <w:hideMark/>
          </w:tcPr>
          <w:p w14:paraId="6816506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10</w:t>
            </w:r>
          </w:p>
        </w:tc>
        <w:tc>
          <w:tcPr>
            <w:tcW w:w="3551" w:type="dxa"/>
            <w:vAlign w:val="center"/>
            <w:hideMark/>
          </w:tcPr>
          <w:p w14:paraId="3B183A31"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120 000 do 129 999</w:t>
            </w:r>
          </w:p>
        </w:tc>
        <w:tc>
          <w:tcPr>
            <w:tcW w:w="4253" w:type="dxa"/>
            <w:vAlign w:val="center"/>
            <w:hideMark/>
          </w:tcPr>
          <w:p w14:paraId="2B7D466A"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1 462 500</w:t>
            </w:r>
          </w:p>
        </w:tc>
      </w:tr>
      <w:tr w:rsidR="00E56406" w:rsidRPr="00E56406" w14:paraId="345207A0" w14:textId="77777777" w:rsidTr="002E5BCA">
        <w:trPr>
          <w:trHeight w:val="315"/>
        </w:trPr>
        <w:tc>
          <w:tcPr>
            <w:tcW w:w="555" w:type="dxa"/>
            <w:vAlign w:val="center"/>
            <w:hideMark/>
          </w:tcPr>
          <w:p w14:paraId="11A80A99"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11</w:t>
            </w:r>
          </w:p>
        </w:tc>
        <w:tc>
          <w:tcPr>
            <w:tcW w:w="3551" w:type="dxa"/>
            <w:vAlign w:val="center"/>
            <w:hideMark/>
          </w:tcPr>
          <w:p w14:paraId="76AB454E"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130 000 do 139 999</w:t>
            </w:r>
          </w:p>
        </w:tc>
        <w:tc>
          <w:tcPr>
            <w:tcW w:w="4253" w:type="dxa"/>
            <w:vAlign w:val="center"/>
            <w:hideMark/>
          </w:tcPr>
          <w:p w14:paraId="238EB211"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1 575 000</w:t>
            </w:r>
          </w:p>
        </w:tc>
      </w:tr>
      <w:tr w:rsidR="00E56406" w:rsidRPr="00E56406" w14:paraId="57E6C4A3" w14:textId="77777777" w:rsidTr="002E5BCA">
        <w:trPr>
          <w:trHeight w:val="315"/>
        </w:trPr>
        <w:tc>
          <w:tcPr>
            <w:tcW w:w="555" w:type="dxa"/>
            <w:vAlign w:val="center"/>
            <w:hideMark/>
          </w:tcPr>
          <w:p w14:paraId="49FB499C"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12</w:t>
            </w:r>
          </w:p>
        </w:tc>
        <w:tc>
          <w:tcPr>
            <w:tcW w:w="3551" w:type="dxa"/>
            <w:vAlign w:val="center"/>
            <w:hideMark/>
          </w:tcPr>
          <w:p w14:paraId="4843C043"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od 140 000</w:t>
            </w:r>
          </w:p>
        </w:tc>
        <w:tc>
          <w:tcPr>
            <w:tcW w:w="4253" w:type="dxa"/>
            <w:vAlign w:val="center"/>
            <w:hideMark/>
          </w:tcPr>
          <w:p w14:paraId="6A3394F7" w14:textId="77777777" w:rsidR="008357C2" w:rsidRPr="00E56406" w:rsidRDefault="008357C2" w:rsidP="008357C2">
            <w:pPr>
              <w:spacing w:after="0" w:line="240" w:lineRule="auto"/>
              <w:jc w:val="center"/>
              <w:rPr>
                <w:rFonts w:asciiTheme="minorHAnsi" w:hAnsiTheme="minorHAnsi" w:cstheme="minorHAnsi"/>
                <w:sz w:val="24"/>
                <w:szCs w:val="24"/>
              </w:rPr>
            </w:pPr>
            <w:r w:rsidRPr="00E56406">
              <w:rPr>
                <w:rFonts w:asciiTheme="minorHAnsi" w:eastAsia="Calibri" w:hAnsiTheme="minorHAnsi" w:cstheme="minorHAnsi"/>
                <w:sz w:val="24"/>
                <w:szCs w:val="24"/>
              </w:rPr>
              <w:t>1 687 500</w:t>
            </w:r>
          </w:p>
        </w:tc>
      </w:tr>
    </w:tbl>
    <w:p w14:paraId="4B127330" w14:textId="77777777" w:rsidR="008357C2" w:rsidRPr="00E56406" w:rsidRDefault="008357C2" w:rsidP="008357C2">
      <w:pPr>
        <w:spacing w:after="160" w:line="259" w:lineRule="auto"/>
        <w:jc w:val="both"/>
        <w:rPr>
          <w:rFonts w:asciiTheme="minorHAnsi" w:hAnsiTheme="minorHAnsi" w:cstheme="minorHAnsi"/>
          <w:b/>
          <w:sz w:val="32"/>
          <w:szCs w:val="24"/>
        </w:rPr>
      </w:pPr>
      <w:r w:rsidRPr="00E56406">
        <w:rPr>
          <w:rFonts w:asciiTheme="minorHAnsi" w:hAnsiTheme="minorHAnsi" w:cstheme="minorHAnsi"/>
        </w:rPr>
        <w:br w:type="page"/>
      </w:r>
    </w:p>
    <w:p w14:paraId="224AF324" w14:textId="78B00B60" w:rsidR="00A4466E" w:rsidRPr="00E56406" w:rsidRDefault="00A11CD2" w:rsidP="000E6C69">
      <w:pPr>
        <w:pStyle w:val="Nagwek1"/>
        <w:spacing w:line="276" w:lineRule="auto"/>
        <w:jc w:val="both"/>
        <w:rPr>
          <w:szCs w:val="32"/>
        </w:rPr>
      </w:pPr>
      <w:bookmarkStart w:id="8" w:name="_Toc117597605"/>
      <w:r w:rsidRPr="00E56406">
        <w:rPr>
          <w:szCs w:val="32"/>
        </w:rPr>
        <w:lastRenderedPageBreak/>
        <w:t>I</w:t>
      </w:r>
      <w:r w:rsidR="00A4466E" w:rsidRPr="00E56406">
        <w:rPr>
          <w:szCs w:val="32"/>
        </w:rPr>
        <w:t xml:space="preserve">. Wysokość dostępnych środków przeznaczonych na realizację LSR w ramach </w:t>
      </w:r>
      <w:r w:rsidR="005E4208" w:rsidRPr="00E56406">
        <w:rPr>
          <w:szCs w:val="32"/>
        </w:rPr>
        <w:t>programu regionalnego na lata 2021-2027 Fundusze Europejskie dla Świętokrzyskiego</w:t>
      </w:r>
      <w:bookmarkEnd w:id="8"/>
    </w:p>
    <w:p w14:paraId="05C95492" w14:textId="77777777" w:rsidR="008863A0" w:rsidRPr="00E56406" w:rsidRDefault="008863A0" w:rsidP="008863A0">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przeznaczonych na realizację LSR w ramach programu Fundusze Europejskie dla Świętokrzyskiego 2021-2027 wynosi 8 000 000 EUR, z czego 5 000 000 EUR to środki EFS+, a 3 000 000 EUR to środki EFRR.</w:t>
      </w:r>
    </w:p>
    <w:p w14:paraId="42366EA8" w14:textId="77777777" w:rsidR="008863A0" w:rsidRPr="00E56406" w:rsidRDefault="008863A0" w:rsidP="008863A0">
      <w:pPr>
        <w:spacing w:after="0"/>
        <w:jc w:val="both"/>
        <w:rPr>
          <w:rFonts w:asciiTheme="minorHAnsi" w:eastAsia="Calibri" w:hAnsiTheme="minorHAnsi" w:cstheme="minorHAnsi"/>
          <w:sz w:val="24"/>
          <w:szCs w:val="24"/>
        </w:rPr>
      </w:pPr>
      <w:r w:rsidRPr="00E56406">
        <w:rPr>
          <w:rFonts w:asciiTheme="minorHAnsi" w:eastAsia="Calibri" w:hAnsiTheme="minorHAnsi" w:cstheme="minorHAnsi"/>
          <w:sz w:val="24"/>
          <w:szCs w:val="24"/>
        </w:rPr>
        <w:t>Na zarządzanie</w:t>
      </w:r>
      <w:r w:rsidRPr="00E56406">
        <w:rPr>
          <w:rFonts w:asciiTheme="minorHAnsi" w:hAnsiTheme="minorHAnsi" w:cstheme="minorHAnsi"/>
          <w:sz w:val="24"/>
          <w:szCs w:val="24"/>
        </w:rPr>
        <w:t xml:space="preserve"> (określony % od każdej umowy na projekt grantowy, wskaźniki EFS+ planuje się realizować metodą projektów grantowych)</w:t>
      </w:r>
      <w:r w:rsidRPr="00E56406">
        <w:rPr>
          <w:rFonts w:asciiTheme="minorHAnsi" w:eastAsia="Calibri" w:hAnsiTheme="minorHAnsi" w:cstheme="minorHAnsi"/>
          <w:sz w:val="24"/>
          <w:szCs w:val="24"/>
        </w:rPr>
        <w:t xml:space="preserve"> </w:t>
      </w:r>
      <w:r w:rsidRPr="00E56406">
        <w:rPr>
          <w:rFonts w:asciiTheme="minorHAnsi" w:hAnsiTheme="minorHAnsi" w:cstheme="minorHAnsi"/>
          <w:sz w:val="24"/>
          <w:szCs w:val="24"/>
        </w:rPr>
        <w:t>będzie przekazywana LGD wraz z umową na realizację projektów grantowych, gdzie jednym z elementów będzie przekazanie środków w ustalonej % wysokości.</w:t>
      </w:r>
    </w:p>
    <w:p w14:paraId="59F1B2E6" w14:textId="77777777" w:rsidR="008863A0" w:rsidRPr="00E56406" w:rsidRDefault="008863A0" w:rsidP="008863A0">
      <w:pPr>
        <w:spacing w:after="0"/>
        <w:jc w:val="both"/>
        <w:rPr>
          <w:rFonts w:asciiTheme="minorHAnsi" w:eastAsia="Calibri" w:hAnsiTheme="minorHAnsi" w:cstheme="minorHAnsi"/>
          <w:sz w:val="24"/>
          <w:szCs w:val="24"/>
        </w:rPr>
      </w:pPr>
    </w:p>
    <w:tbl>
      <w:tblPr>
        <w:tblpPr w:leftFromText="141" w:rightFromText="141" w:vertAnchor="text" w:horzAnchor="margin" w:tblpXSpec="center" w:tblpYSpec="inside"/>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2244"/>
        <w:gridCol w:w="2126"/>
      </w:tblGrid>
      <w:tr w:rsidR="00E56406" w:rsidRPr="00E56406" w14:paraId="36502DD9" w14:textId="77777777" w:rsidTr="00E56406">
        <w:trPr>
          <w:trHeight w:val="1493"/>
        </w:trPr>
        <w:tc>
          <w:tcPr>
            <w:tcW w:w="3994" w:type="dxa"/>
            <w:shd w:val="clear" w:color="auto" w:fill="auto"/>
            <w:vAlign w:val="center"/>
            <w:hideMark/>
          </w:tcPr>
          <w:p w14:paraId="3D9621AC" w14:textId="77777777" w:rsidR="002E5BCA" w:rsidRPr="00E56406" w:rsidRDefault="008863A0"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 xml:space="preserve">Ludność  zamieszkała na obszarze objętym LSR na terenie województwa świętokrzyskiego </w:t>
            </w:r>
          </w:p>
          <w:p w14:paraId="28690D9A" w14:textId="4C4EDE6E" w:rsidR="008863A0" w:rsidRPr="00E56406" w:rsidRDefault="008863A0"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 xml:space="preserve">z </w:t>
            </w:r>
            <w:r w:rsidR="002E5BCA" w:rsidRPr="00E56406">
              <w:rPr>
                <w:rFonts w:asciiTheme="minorHAnsi" w:hAnsiTheme="minorHAnsi" w:cstheme="minorHAnsi"/>
                <w:sz w:val="24"/>
                <w:szCs w:val="24"/>
              </w:rPr>
              <w:t xml:space="preserve">uwzględnieniem miast pow. 20 </w:t>
            </w:r>
            <w:r w:rsidR="00E56406" w:rsidRPr="00E56406">
              <w:rPr>
                <w:rFonts w:asciiTheme="minorHAnsi" w:hAnsiTheme="minorHAnsi" w:cstheme="minorHAnsi"/>
                <w:sz w:val="24"/>
                <w:szCs w:val="24"/>
              </w:rPr>
              <w:t>tys.</w:t>
            </w:r>
            <w:r w:rsidRPr="00E56406">
              <w:rPr>
                <w:rFonts w:asciiTheme="minorHAnsi" w:hAnsiTheme="minorHAnsi" w:cstheme="minorHAnsi"/>
                <w:sz w:val="24"/>
                <w:szCs w:val="24"/>
              </w:rPr>
              <w:t xml:space="preserve"> mieszkańców </w:t>
            </w:r>
          </w:p>
        </w:tc>
        <w:tc>
          <w:tcPr>
            <w:tcW w:w="2244" w:type="dxa"/>
            <w:shd w:val="clear" w:color="auto" w:fill="auto"/>
            <w:vAlign w:val="center"/>
            <w:hideMark/>
          </w:tcPr>
          <w:p w14:paraId="40870964" w14:textId="77777777" w:rsidR="00096DF4" w:rsidRPr="00E56406" w:rsidRDefault="008863A0"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Kwota środków EFS</w:t>
            </w:r>
          </w:p>
          <w:p w14:paraId="613BA3EF" w14:textId="7DA8222A" w:rsidR="008863A0" w:rsidRPr="00E56406" w:rsidRDefault="00096DF4"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[EUR]</w:t>
            </w:r>
            <w:r w:rsidR="008863A0" w:rsidRPr="00E56406">
              <w:rPr>
                <w:rFonts w:asciiTheme="minorHAnsi" w:hAnsiTheme="minorHAnsi" w:cstheme="minorHAnsi"/>
                <w:sz w:val="24"/>
                <w:szCs w:val="24"/>
              </w:rPr>
              <w:t xml:space="preserve"> </w:t>
            </w:r>
          </w:p>
        </w:tc>
        <w:tc>
          <w:tcPr>
            <w:tcW w:w="2126" w:type="dxa"/>
            <w:shd w:val="clear" w:color="auto" w:fill="auto"/>
            <w:vAlign w:val="center"/>
            <w:hideMark/>
          </w:tcPr>
          <w:p w14:paraId="41DAD611" w14:textId="77777777" w:rsidR="008863A0" w:rsidRPr="00E56406" w:rsidRDefault="008863A0"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 xml:space="preserve">Kwota środków EFRR </w:t>
            </w:r>
          </w:p>
          <w:p w14:paraId="480D039B" w14:textId="5B7469F1" w:rsidR="00096DF4" w:rsidRPr="00E56406" w:rsidRDefault="00096DF4" w:rsidP="000803B3">
            <w:pPr>
              <w:spacing w:after="0" w:line="240" w:lineRule="auto"/>
              <w:jc w:val="center"/>
              <w:rPr>
                <w:rFonts w:asciiTheme="minorHAnsi" w:hAnsiTheme="minorHAnsi" w:cstheme="minorHAnsi"/>
                <w:sz w:val="24"/>
                <w:szCs w:val="24"/>
              </w:rPr>
            </w:pPr>
            <w:r w:rsidRPr="00E56406">
              <w:rPr>
                <w:rFonts w:asciiTheme="minorHAnsi" w:hAnsiTheme="minorHAnsi" w:cstheme="minorHAnsi"/>
                <w:sz w:val="24"/>
                <w:szCs w:val="24"/>
              </w:rPr>
              <w:t>[EUR]</w:t>
            </w:r>
          </w:p>
        </w:tc>
      </w:tr>
      <w:tr w:rsidR="00E56406" w:rsidRPr="00E56406" w14:paraId="4224480B" w14:textId="77777777" w:rsidTr="00E56406">
        <w:trPr>
          <w:trHeight w:val="340"/>
        </w:trPr>
        <w:tc>
          <w:tcPr>
            <w:tcW w:w="3994" w:type="dxa"/>
            <w:shd w:val="clear" w:color="auto" w:fill="auto"/>
            <w:vAlign w:val="center"/>
            <w:hideMark/>
          </w:tcPr>
          <w:p w14:paraId="2D7937D1"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30 000 do 39 999</w:t>
            </w:r>
          </w:p>
        </w:tc>
        <w:tc>
          <w:tcPr>
            <w:tcW w:w="2244" w:type="dxa"/>
            <w:shd w:val="clear" w:color="auto" w:fill="auto"/>
            <w:vAlign w:val="center"/>
            <w:hideMark/>
          </w:tcPr>
          <w:p w14:paraId="1E5F2485"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227 856</w:t>
            </w:r>
          </w:p>
        </w:tc>
        <w:tc>
          <w:tcPr>
            <w:tcW w:w="2126" w:type="dxa"/>
            <w:shd w:val="clear" w:color="auto" w:fill="auto"/>
            <w:vAlign w:val="center"/>
            <w:hideMark/>
          </w:tcPr>
          <w:p w14:paraId="4308C2C1"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136 713</w:t>
            </w:r>
          </w:p>
        </w:tc>
      </w:tr>
      <w:tr w:rsidR="00E56406" w:rsidRPr="00E56406" w14:paraId="5A028CC0" w14:textId="77777777" w:rsidTr="00E56406">
        <w:trPr>
          <w:trHeight w:val="340"/>
        </w:trPr>
        <w:tc>
          <w:tcPr>
            <w:tcW w:w="3994" w:type="dxa"/>
            <w:shd w:val="clear" w:color="auto" w:fill="auto"/>
            <w:vAlign w:val="center"/>
            <w:hideMark/>
          </w:tcPr>
          <w:p w14:paraId="04ECB759"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40 000 do 49 999</w:t>
            </w:r>
          </w:p>
        </w:tc>
        <w:tc>
          <w:tcPr>
            <w:tcW w:w="2244" w:type="dxa"/>
            <w:shd w:val="clear" w:color="auto" w:fill="auto"/>
            <w:vAlign w:val="center"/>
            <w:hideMark/>
          </w:tcPr>
          <w:p w14:paraId="084293A6"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273 427</w:t>
            </w:r>
          </w:p>
        </w:tc>
        <w:tc>
          <w:tcPr>
            <w:tcW w:w="2126" w:type="dxa"/>
            <w:shd w:val="clear" w:color="auto" w:fill="auto"/>
            <w:vAlign w:val="center"/>
            <w:hideMark/>
          </w:tcPr>
          <w:p w14:paraId="7D26F14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164 056</w:t>
            </w:r>
          </w:p>
        </w:tc>
      </w:tr>
      <w:tr w:rsidR="00E56406" w:rsidRPr="00E56406" w14:paraId="2F1E1F3F" w14:textId="77777777" w:rsidTr="00E56406">
        <w:trPr>
          <w:trHeight w:val="340"/>
        </w:trPr>
        <w:tc>
          <w:tcPr>
            <w:tcW w:w="3994" w:type="dxa"/>
            <w:shd w:val="clear" w:color="auto" w:fill="auto"/>
            <w:vAlign w:val="center"/>
            <w:hideMark/>
          </w:tcPr>
          <w:p w14:paraId="2EDE93DE"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50 000 do 59 999</w:t>
            </w:r>
          </w:p>
        </w:tc>
        <w:tc>
          <w:tcPr>
            <w:tcW w:w="2244" w:type="dxa"/>
            <w:shd w:val="clear" w:color="auto" w:fill="auto"/>
            <w:vAlign w:val="center"/>
            <w:hideMark/>
          </w:tcPr>
          <w:p w14:paraId="2BDB77A1"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318 998</w:t>
            </w:r>
          </w:p>
        </w:tc>
        <w:tc>
          <w:tcPr>
            <w:tcW w:w="2126" w:type="dxa"/>
            <w:shd w:val="clear" w:color="auto" w:fill="auto"/>
            <w:vAlign w:val="center"/>
            <w:hideMark/>
          </w:tcPr>
          <w:p w14:paraId="1D891602"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191 399</w:t>
            </w:r>
          </w:p>
        </w:tc>
      </w:tr>
      <w:tr w:rsidR="00E56406" w:rsidRPr="00E56406" w14:paraId="54AAC4E1" w14:textId="77777777" w:rsidTr="00E56406">
        <w:trPr>
          <w:trHeight w:val="340"/>
        </w:trPr>
        <w:tc>
          <w:tcPr>
            <w:tcW w:w="3994" w:type="dxa"/>
            <w:shd w:val="clear" w:color="auto" w:fill="auto"/>
            <w:vAlign w:val="center"/>
            <w:hideMark/>
          </w:tcPr>
          <w:p w14:paraId="31A18988"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60 000 do 69 999</w:t>
            </w:r>
          </w:p>
        </w:tc>
        <w:tc>
          <w:tcPr>
            <w:tcW w:w="2244" w:type="dxa"/>
            <w:shd w:val="clear" w:color="auto" w:fill="auto"/>
            <w:vAlign w:val="center"/>
            <w:hideMark/>
          </w:tcPr>
          <w:p w14:paraId="1D25F17D"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364 569</w:t>
            </w:r>
          </w:p>
        </w:tc>
        <w:tc>
          <w:tcPr>
            <w:tcW w:w="2126" w:type="dxa"/>
            <w:shd w:val="clear" w:color="auto" w:fill="auto"/>
            <w:vAlign w:val="center"/>
            <w:hideMark/>
          </w:tcPr>
          <w:p w14:paraId="53ADFC09"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218 742</w:t>
            </w:r>
          </w:p>
        </w:tc>
      </w:tr>
      <w:tr w:rsidR="00E56406" w:rsidRPr="00E56406" w14:paraId="027F5FF9" w14:textId="77777777" w:rsidTr="00E56406">
        <w:trPr>
          <w:trHeight w:val="340"/>
        </w:trPr>
        <w:tc>
          <w:tcPr>
            <w:tcW w:w="3994" w:type="dxa"/>
            <w:shd w:val="clear" w:color="auto" w:fill="auto"/>
            <w:vAlign w:val="center"/>
            <w:hideMark/>
          </w:tcPr>
          <w:p w14:paraId="364FBCE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70 000 do 79 999</w:t>
            </w:r>
          </w:p>
        </w:tc>
        <w:tc>
          <w:tcPr>
            <w:tcW w:w="2244" w:type="dxa"/>
            <w:shd w:val="clear" w:color="auto" w:fill="auto"/>
            <w:vAlign w:val="center"/>
            <w:hideMark/>
          </w:tcPr>
          <w:p w14:paraId="2C0E1F71"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410 140</w:t>
            </w:r>
          </w:p>
        </w:tc>
        <w:tc>
          <w:tcPr>
            <w:tcW w:w="2126" w:type="dxa"/>
            <w:shd w:val="clear" w:color="auto" w:fill="auto"/>
            <w:vAlign w:val="center"/>
            <w:hideMark/>
          </w:tcPr>
          <w:p w14:paraId="34D8F6C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246 084</w:t>
            </w:r>
          </w:p>
        </w:tc>
      </w:tr>
      <w:tr w:rsidR="00E56406" w:rsidRPr="00E56406" w14:paraId="6ACF0BA2" w14:textId="77777777" w:rsidTr="00E56406">
        <w:trPr>
          <w:trHeight w:val="340"/>
        </w:trPr>
        <w:tc>
          <w:tcPr>
            <w:tcW w:w="3994" w:type="dxa"/>
            <w:shd w:val="clear" w:color="auto" w:fill="auto"/>
            <w:vAlign w:val="center"/>
            <w:hideMark/>
          </w:tcPr>
          <w:p w14:paraId="6B9191B8"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80 000 do 89 999</w:t>
            </w:r>
          </w:p>
        </w:tc>
        <w:tc>
          <w:tcPr>
            <w:tcW w:w="2244" w:type="dxa"/>
            <w:shd w:val="clear" w:color="auto" w:fill="auto"/>
            <w:vAlign w:val="center"/>
            <w:hideMark/>
          </w:tcPr>
          <w:p w14:paraId="4A903DE0"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455 712</w:t>
            </w:r>
          </w:p>
        </w:tc>
        <w:tc>
          <w:tcPr>
            <w:tcW w:w="2126" w:type="dxa"/>
            <w:shd w:val="clear" w:color="auto" w:fill="auto"/>
            <w:vAlign w:val="center"/>
            <w:hideMark/>
          </w:tcPr>
          <w:p w14:paraId="1AA298DD"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273 427</w:t>
            </w:r>
          </w:p>
        </w:tc>
      </w:tr>
      <w:tr w:rsidR="00E56406" w:rsidRPr="00E56406" w14:paraId="16242E04" w14:textId="77777777" w:rsidTr="00E56406">
        <w:trPr>
          <w:trHeight w:val="340"/>
        </w:trPr>
        <w:tc>
          <w:tcPr>
            <w:tcW w:w="3994" w:type="dxa"/>
            <w:shd w:val="clear" w:color="auto" w:fill="auto"/>
            <w:vAlign w:val="center"/>
            <w:hideMark/>
          </w:tcPr>
          <w:p w14:paraId="23FE2C48"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90 000 do 99 999</w:t>
            </w:r>
          </w:p>
        </w:tc>
        <w:tc>
          <w:tcPr>
            <w:tcW w:w="2244" w:type="dxa"/>
            <w:shd w:val="clear" w:color="auto" w:fill="auto"/>
            <w:vAlign w:val="center"/>
            <w:hideMark/>
          </w:tcPr>
          <w:p w14:paraId="68F58552"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501 283</w:t>
            </w:r>
          </w:p>
        </w:tc>
        <w:tc>
          <w:tcPr>
            <w:tcW w:w="2126" w:type="dxa"/>
            <w:shd w:val="clear" w:color="auto" w:fill="auto"/>
            <w:vAlign w:val="center"/>
            <w:hideMark/>
          </w:tcPr>
          <w:p w14:paraId="2E08795A"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300 770</w:t>
            </w:r>
          </w:p>
        </w:tc>
      </w:tr>
      <w:tr w:rsidR="00E56406" w:rsidRPr="00E56406" w14:paraId="286EA12A" w14:textId="77777777" w:rsidTr="00E56406">
        <w:trPr>
          <w:trHeight w:val="340"/>
        </w:trPr>
        <w:tc>
          <w:tcPr>
            <w:tcW w:w="3994" w:type="dxa"/>
            <w:shd w:val="clear" w:color="auto" w:fill="auto"/>
            <w:vAlign w:val="center"/>
            <w:hideMark/>
          </w:tcPr>
          <w:p w14:paraId="05060B66"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100 000 do 109 999</w:t>
            </w:r>
          </w:p>
        </w:tc>
        <w:tc>
          <w:tcPr>
            <w:tcW w:w="2244" w:type="dxa"/>
            <w:shd w:val="clear" w:color="auto" w:fill="auto"/>
            <w:vAlign w:val="center"/>
            <w:hideMark/>
          </w:tcPr>
          <w:p w14:paraId="53F00785"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546 854</w:t>
            </w:r>
          </w:p>
        </w:tc>
        <w:tc>
          <w:tcPr>
            <w:tcW w:w="2126" w:type="dxa"/>
            <w:shd w:val="clear" w:color="auto" w:fill="auto"/>
            <w:vAlign w:val="center"/>
            <w:hideMark/>
          </w:tcPr>
          <w:p w14:paraId="3A5D4D6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328 112</w:t>
            </w:r>
          </w:p>
        </w:tc>
      </w:tr>
      <w:tr w:rsidR="00E56406" w:rsidRPr="00E56406" w14:paraId="5541313D" w14:textId="77777777" w:rsidTr="00E56406">
        <w:trPr>
          <w:trHeight w:val="340"/>
        </w:trPr>
        <w:tc>
          <w:tcPr>
            <w:tcW w:w="3994" w:type="dxa"/>
            <w:shd w:val="clear" w:color="auto" w:fill="auto"/>
            <w:vAlign w:val="center"/>
            <w:hideMark/>
          </w:tcPr>
          <w:p w14:paraId="372985B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110 000 do 119 999</w:t>
            </w:r>
          </w:p>
        </w:tc>
        <w:tc>
          <w:tcPr>
            <w:tcW w:w="2244" w:type="dxa"/>
            <w:shd w:val="clear" w:color="auto" w:fill="auto"/>
            <w:vAlign w:val="center"/>
            <w:hideMark/>
          </w:tcPr>
          <w:p w14:paraId="4EFAFBC5"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592 425</w:t>
            </w:r>
          </w:p>
        </w:tc>
        <w:tc>
          <w:tcPr>
            <w:tcW w:w="2126" w:type="dxa"/>
            <w:shd w:val="clear" w:color="auto" w:fill="auto"/>
            <w:vAlign w:val="center"/>
            <w:hideMark/>
          </w:tcPr>
          <w:p w14:paraId="0D9982F2"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355 455</w:t>
            </w:r>
          </w:p>
        </w:tc>
      </w:tr>
      <w:tr w:rsidR="00E56406" w:rsidRPr="00E56406" w14:paraId="26AB2E9A" w14:textId="77777777" w:rsidTr="00E56406">
        <w:trPr>
          <w:trHeight w:val="340"/>
        </w:trPr>
        <w:tc>
          <w:tcPr>
            <w:tcW w:w="3994" w:type="dxa"/>
            <w:shd w:val="clear" w:color="auto" w:fill="auto"/>
            <w:vAlign w:val="center"/>
            <w:hideMark/>
          </w:tcPr>
          <w:p w14:paraId="410ADB42"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120 000 do 129 999</w:t>
            </w:r>
          </w:p>
        </w:tc>
        <w:tc>
          <w:tcPr>
            <w:tcW w:w="2244" w:type="dxa"/>
            <w:shd w:val="clear" w:color="auto" w:fill="auto"/>
            <w:vAlign w:val="center"/>
            <w:hideMark/>
          </w:tcPr>
          <w:p w14:paraId="588A549B"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637 996</w:t>
            </w:r>
          </w:p>
        </w:tc>
        <w:tc>
          <w:tcPr>
            <w:tcW w:w="2126" w:type="dxa"/>
            <w:shd w:val="clear" w:color="auto" w:fill="auto"/>
            <w:vAlign w:val="center"/>
            <w:hideMark/>
          </w:tcPr>
          <w:p w14:paraId="4DDCB226"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382 798</w:t>
            </w:r>
          </w:p>
        </w:tc>
      </w:tr>
      <w:tr w:rsidR="00E56406" w:rsidRPr="00E56406" w14:paraId="24C168B9" w14:textId="77777777" w:rsidTr="00E56406">
        <w:trPr>
          <w:trHeight w:val="340"/>
        </w:trPr>
        <w:tc>
          <w:tcPr>
            <w:tcW w:w="3994" w:type="dxa"/>
            <w:shd w:val="clear" w:color="auto" w:fill="auto"/>
            <w:vAlign w:val="center"/>
            <w:hideMark/>
          </w:tcPr>
          <w:p w14:paraId="102798C6"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130 000 do 139 999</w:t>
            </w:r>
          </w:p>
        </w:tc>
        <w:tc>
          <w:tcPr>
            <w:tcW w:w="2244" w:type="dxa"/>
            <w:shd w:val="clear" w:color="auto" w:fill="auto"/>
            <w:vAlign w:val="center"/>
            <w:hideMark/>
          </w:tcPr>
          <w:p w14:paraId="5A1C9AB3"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683 567</w:t>
            </w:r>
          </w:p>
        </w:tc>
        <w:tc>
          <w:tcPr>
            <w:tcW w:w="2126" w:type="dxa"/>
            <w:shd w:val="clear" w:color="auto" w:fill="auto"/>
            <w:vAlign w:val="center"/>
            <w:hideMark/>
          </w:tcPr>
          <w:p w14:paraId="1667BCC4"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410 140</w:t>
            </w:r>
          </w:p>
        </w:tc>
      </w:tr>
      <w:tr w:rsidR="00E56406" w:rsidRPr="00E56406" w14:paraId="643B5832" w14:textId="77777777" w:rsidTr="00E56406">
        <w:trPr>
          <w:trHeight w:val="340"/>
        </w:trPr>
        <w:tc>
          <w:tcPr>
            <w:tcW w:w="3994" w:type="dxa"/>
            <w:shd w:val="clear" w:color="auto" w:fill="auto"/>
            <w:vAlign w:val="center"/>
            <w:hideMark/>
          </w:tcPr>
          <w:p w14:paraId="2ADB398E"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od 140 000</w:t>
            </w:r>
          </w:p>
        </w:tc>
        <w:tc>
          <w:tcPr>
            <w:tcW w:w="2244" w:type="dxa"/>
            <w:shd w:val="clear" w:color="auto" w:fill="auto"/>
            <w:vAlign w:val="center"/>
            <w:hideMark/>
          </w:tcPr>
          <w:p w14:paraId="373BC6D7"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729 139</w:t>
            </w:r>
          </w:p>
        </w:tc>
        <w:tc>
          <w:tcPr>
            <w:tcW w:w="2126" w:type="dxa"/>
            <w:shd w:val="clear" w:color="auto" w:fill="auto"/>
            <w:vAlign w:val="center"/>
            <w:hideMark/>
          </w:tcPr>
          <w:p w14:paraId="0B48002C" w14:textId="77777777" w:rsidR="008863A0" w:rsidRPr="00E56406" w:rsidRDefault="008863A0" w:rsidP="000803B3">
            <w:pPr>
              <w:spacing w:after="0" w:line="240" w:lineRule="auto"/>
              <w:jc w:val="center"/>
              <w:rPr>
                <w:rFonts w:asciiTheme="minorHAnsi" w:hAnsiTheme="minorHAnsi" w:cstheme="minorHAnsi"/>
              </w:rPr>
            </w:pPr>
            <w:r w:rsidRPr="00E56406">
              <w:rPr>
                <w:rFonts w:asciiTheme="minorHAnsi" w:hAnsiTheme="minorHAnsi" w:cstheme="minorHAnsi"/>
              </w:rPr>
              <w:t>437 483</w:t>
            </w:r>
          </w:p>
        </w:tc>
      </w:tr>
    </w:tbl>
    <w:p w14:paraId="53B3698E" w14:textId="77777777" w:rsidR="008863A0" w:rsidRPr="00E56406" w:rsidRDefault="008863A0" w:rsidP="008863A0">
      <w:pPr>
        <w:spacing w:after="0"/>
        <w:jc w:val="both"/>
        <w:rPr>
          <w:rFonts w:asciiTheme="minorHAnsi" w:eastAsia="Calibri" w:hAnsiTheme="minorHAnsi" w:cstheme="minorHAnsi"/>
          <w:sz w:val="24"/>
          <w:szCs w:val="24"/>
        </w:rPr>
      </w:pPr>
    </w:p>
    <w:p w14:paraId="4A60C81C" w14:textId="77777777" w:rsidR="00281174" w:rsidRDefault="00281174">
      <w:pPr>
        <w:spacing w:after="160" w:line="259" w:lineRule="auto"/>
        <w:rPr>
          <w:rFonts w:asciiTheme="minorHAnsi" w:hAnsiTheme="minorHAnsi" w:cstheme="minorHAnsi"/>
          <w:b/>
          <w:sz w:val="32"/>
          <w:szCs w:val="32"/>
        </w:rPr>
      </w:pPr>
      <w:r>
        <w:rPr>
          <w:szCs w:val="32"/>
        </w:rPr>
        <w:br w:type="page"/>
      </w:r>
    </w:p>
    <w:p w14:paraId="2317B100" w14:textId="1D5E6BF8" w:rsidR="00695C33" w:rsidRPr="00E56406" w:rsidRDefault="00695C33" w:rsidP="00695C33">
      <w:pPr>
        <w:pStyle w:val="Nagwek1"/>
        <w:spacing w:line="276" w:lineRule="auto"/>
        <w:jc w:val="both"/>
        <w:rPr>
          <w:szCs w:val="32"/>
        </w:rPr>
      </w:pPr>
      <w:bookmarkStart w:id="9" w:name="_Toc117597606"/>
      <w:r w:rsidRPr="00E56406">
        <w:rPr>
          <w:szCs w:val="32"/>
        </w:rPr>
        <w:lastRenderedPageBreak/>
        <w:t>J. Wysokość dostępnych środków przeznaczonych na realizację LSR w ramach programu Fundusze Europejskie dla Wielkopolski 2021-2027 (FEW)</w:t>
      </w:r>
      <w:bookmarkEnd w:id="9"/>
    </w:p>
    <w:p w14:paraId="3D4E2B16" w14:textId="77777777" w:rsidR="00281174" w:rsidRDefault="00281174" w:rsidP="00695C33">
      <w:pPr>
        <w:pStyle w:val="AkapitStandardowyRyczat"/>
        <w:spacing w:line="276" w:lineRule="auto"/>
        <w:rPr>
          <w:rFonts w:asciiTheme="minorHAnsi" w:hAnsiTheme="minorHAnsi" w:cstheme="minorHAnsi"/>
          <w:sz w:val="24"/>
          <w:szCs w:val="24"/>
        </w:rPr>
      </w:pPr>
    </w:p>
    <w:p w14:paraId="5EEE19E0" w14:textId="43480755" w:rsidR="00695C33" w:rsidRPr="00E56406" w:rsidRDefault="00695C33" w:rsidP="00695C3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Wysokość dostępnych środków Funduszy Unijnych przeznaczonych na realizację LSR w ramach programu Fundusze Europejskie dla Wielkopolski 2021-2027 wynosi 50 000 000 EUR, z czego 30 000 000 EUR to środki EFS+, a 20 000 000 EUR to środki EFRR.</w:t>
      </w:r>
    </w:p>
    <w:p w14:paraId="6530364D" w14:textId="77777777" w:rsidR="00281174" w:rsidRDefault="00281174" w:rsidP="00695C33">
      <w:pPr>
        <w:pStyle w:val="AkapitStandardowyRyczat"/>
        <w:spacing w:line="276" w:lineRule="auto"/>
        <w:rPr>
          <w:rFonts w:asciiTheme="minorHAnsi" w:hAnsiTheme="minorHAnsi" w:cstheme="minorHAnsi"/>
          <w:sz w:val="24"/>
          <w:szCs w:val="24"/>
        </w:rPr>
      </w:pPr>
    </w:p>
    <w:p w14:paraId="5D022BFF" w14:textId="55F9A4B2" w:rsidR="002950D3" w:rsidRDefault="00695C33" w:rsidP="00695C3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Kwotę EFS+ przewidzianą w LSR w ramach programu FEW ustala się dla każdej LSR zgodnie z poniższą tabelą:</w:t>
      </w:r>
    </w:p>
    <w:p w14:paraId="36E1C9A8" w14:textId="77777777" w:rsidR="00281174" w:rsidRPr="00E56406" w:rsidRDefault="00281174" w:rsidP="00695C33">
      <w:pPr>
        <w:pStyle w:val="AkapitStandardowyRyczat"/>
        <w:spacing w:line="276" w:lineRule="auto"/>
        <w:rPr>
          <w:rFonts w:asciiTheme="minorHAnsi" w:hAnsiTheme="minorHAnsi" w:cstheme="minorHAnsi"/>
          <w:sz w:val="24"/>
          <w:szCs w:val="24"/>
        </w:rPr>
      </w:pPr>
    </w:p>
    <w:tbl>
      <w:tblPr>
        <w:tblW w:w="8871" w:type="dxa"/>
        <w:tblInd w:w="55" w:type="dxa"/>
        <w:tblCellMar>
          <w:left w:w="70" w:type="dxa"/>
          <w:right w:w="70" w:type="dxa"/>
        </w:tblCellMar>
        <w:tblLook w:val="04A0" w:firstRow="1" w:lastRow="0" w:firstColumn="1" w:lastColumn="0" w:noHBand="0" w:noVBand="1"/>
      </w:tblPr>
      <w:tblGrid>
        <w:gridCol w:w="2775"/>
        <w:gridCol w:w="1985"/>
        <w:gridCol w:w="1984"/>
        <w:gridCol w:w="2127"/>
      </w:tblGrid>
      <w:tr w:rsidR="00E56406" w:rsidRPr="00E56406" w14:paraId="4550A885" w14:textId="77777777" w:rsidTr="002950D3">
        <w:trPr>
          <w:trHeight w:val="470"/>
        </w:trPr>
        <w:tc>
          <w:tcPr>
            <w:tcW w:w="2775" w:type="dxa"/>
            <w:tcBorders>
              <w:top w:val="single" w:sz="4" w:space="0" w:color="auto"/>
              <w:left w:val="single" w:sz="4" w:space="0" w:color="auto"/>
              <w:right w:val="single" w:sz="4" w:space="0" w:color="auto"/>
            </w:tcBorders>
            <w:vAlign w:val="center"/>
          </w:tcPr>
          <w:p w14:paraId="5951379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Ludność wiejska zamieszkała na obszarze objętym LSR </w:t>
            </w:r>
          </w:p>
        </w:tc>
        <w:tc>
          <w:tcPr>
            <w:tcW w:w="1985" w:type="dxa"/>
            <w:tcBorders>
              <w:top w:val="single" w:sz="4" w:space="0" w:color="auto"/>
              <w:left w:val="nil"/>
              <w:bottom w:val="single" w:sz="4" w:space="0" w:color="auto"/>
              <w:right w:val="single" w:sz="4" w:space="0" w:color="auto"/>
            </w:tcBorders>
            <w:shd w:val="clear" w:color="auto" w:fill="auto"/>
            <w:vAlign w:val="center"/>
          </w:tcPr>
          <w:p w14:paraId="58F127B1" w14:textId="25D8F6D9"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Kwota na </w:t>
            </w:r>
            <w:r w:rsidR="00281174">
              <w:rPr>
                <w:rFonts w:asciiTheme="minorHAnsi" w:hAnsiTheme="minorHAnsi" w:cstheme="minorHAnsi"/>
                <w:sz w:val="24"/>
                <w:szCs w:val="24"/>
              </w:rPr>
              <w:t>W</w:t>
            </w:r>
            <w:r w:rsidRPr="00E56406">
              <w:rPr>
                <w:rFonts w:asciiTheme="minorHAnsi" w:hAnsiTheme="minorHAnsi" w:cstheme="minorHAnsi"/>
                <w:sz w:val="24"/>
                <w:szCs w:val="24"/>
              </w:rPr>
              <w:t>drażanie LSR*</w:t>
            </w:r>
          </w:p>
          <w:p w14:paraId="1BCEC2B9" w14:textId="269D427C" w:rsidR="00096DF4" w:rsidRPr="00E56406" w:rsidRDefault="00096DF4"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[EUR]</w:t>
            </w:r>
          </w:p>
        </w:tc>
        <w:tc>
          <w:tcPr>
            <w:tcW w:w="1984" w:type="dxa"/>
            <w:tcBorders>
              <w:top w:val="single" w:sz="4" w:space="0" w:color="auto"/>
              <w:left w:val="nil"/>
              <w:bottom w:val="single" w:sz="4" w:space="0" w:color="auto"/>
              <w:right w:val="single" w:sz="4" w:space="0" w:color="auto"/>
            </w:tcBorders>
            <w:vAlign w:val="center"/>
          </w:tcPr>
          <w:p w14:paraId="11BC342D" w14:textId="6EB0B5BC"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Kwota na </w:t>
            </w:r>
            <w:r w:rsidR="00281174">
              <w:rPr>
                <w:rFonts w:asciiTheme="minorHAnsi" w:hAnsiTheme="minorHAnsi" w:cstheme="minorHAnsi"/>
                <w:sz w:val="24"/>
                <w:szCs w:val="24"/>
              </w:rPr>
              <w:t>Z</w:t>
            </w:r>
            <w:r w:rsidRPr="00E56406">
              <w:rPr>
                <w:rFonts w:asciiTheme="minorHAnsi" w:hAnsiTheme="minorHAnsi" w:cstheme="minorHAnsi"/>
                <w:sz w:val="24"/>
                <w:szCs w:val="24"/>
              </w:rPr>
              <w:t>arządzanie LSR (EFS+)*</w:t>
            </w:r>
          </w:p>
          <w:p w14:paraId="6610FA63" w14:textId="51F22729" w:rsidR="00096DF4" w:rsidRPr="00E56406" w:rsidDel="00880179" w:rsidRDefault="00096DF4"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[EUR]</w:t>
            </w:r>
          </w:p>
        </w:tc>
        <w:tc>
          <w:tcPr>
            <w:tcW w:w="2127" w:type="dxa"/>
            <w:tcBorders>
              <w:top w:val="single" w:sz="4" w:space="0" w:color="auto"/>
              <w:left w:val="nil"/>
              <w:bottom w:val="single" w:sz="4" w:space="0" w:color="auto"/>
              <w:right w:val="single" w:sz="4" w:space="0" w:color="auto"/>
            </w:tcBorders>
            <w:vAlign w:val="center"/>
          </w:tcPr>
          <w:p w14:paraId="3462973C" w14:textId="03202F83" w:rsidR="00096DF4" w:rsidRPr="00E56406" w:rsidRDefault="00695C33" w:rsidP="00281174">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Procent środków przeznaczonych  na </w:t>
            </w:r>
            <w:r w:rsidR="00281174">
              <w:rPr>
                <w:rFonts w:asciiTheme="minorHAnsi" w:hAnsiTheme="minorHAnsi" w:cstheme="minorHAnsi"/>
                <w:sz w:val="24"/>
                <w:szCs w:val="24"/>
              </w:rPr>
              <w:t xml:space="preserve">Zarządzanie LSR </w:t>
            </w:r>
            <w:r w:rsidRPr="00E56406">
              <w:rPr>
                <w:rFonts w:asciiTheme="minorHAnsi" w:hAnsiTheme="minorHAnsi" w:cstheme="minorHAnsi"/>
                <w:sz w:val="24"/>
                <w:szCs w:val="24"/>
              </w:rPr>
              <w:t>w ramach EFS+</w:t>
            </w:r>
          </w:p>
        </w:tc>
      </w:tr>
      <w:tr w:rsidR="00E56406" w:rsidRPr="00E56406" w14:paraId="5499F944" w14:textId="77777777" w:rsidTr="002950D3">
        <w:trPr>
          <w:trHeight w:val="70"/>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6955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30 000 do 39 999</w:t>
            </w:r>
          </w:p>
        </w:tc>
        <w:tc>
          <w:tcPr>
            <w:tcW w:w="1985" w:type="dxa"/>
            <w:tcBorders>
              <w:top w:val="nil"/>
              <w:left w:val="nil"/>
              <w:bottom w:val="single" w:sz="4" w:space="0" w:color="auto"/>
              <w:right w:val="single" w:sz="4" w:space="0" w:color="auto"/>
            </w:tcBorders>
            <w:shd w:val="clear" w:color="auto" w:fill="auto"/>
            <w:vAlign w:val="center"/>
            <w:hideMark/>
          </w:tcPr>
          <w:p w14:paraId="47EAF14F"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480 000</w:t>
            </w:r>
          </w:p>
        </w:tc>
        <w:tc>
          <w:tcPr>
            <w:tcW w:w="1984" w:type="dxa"/>
            <w:tcBorders>
              <w:top w:val="nil"/>
              <w:left w:val="nil"/>
              <w:bottom w:val="single" w:sz="4" w:space="0" w:color="auto"/>
              <w:right w:val="single" w:sz="4" w:space="0" w:color="auto"/>
            </w:tcBorders>
            <w:vAlign w:val="center"/>
          </w:tcPr>
          <w:p w14:paraId="1B3835F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120 000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7B55D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25,00%</w:t>
            </w:r>
          </w:p>
        </w:tc>
      </w:tr>
      <w:tr w:rsidR="00E56406" w:rsidRPr="00E56406" w14:paraId="325B967E"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1FC9AD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40 000 do 49 999</w:t>
            </w:r>
          </w:p>
        </w:tc>
        <w:tc>
          <w:tcPr>
            <w:tcW w:w="1985" w:type="dxa"/>
            <w:tcBorders>
              <w:top w:val="nil"/>
              <w:left w:val="nil"/>
              <w:bottom w:val="single" w:sz="4" w:space="0" w:color="auto"/>
              <w:right w:val="single" w:sz="4" w:space="0" w:color="auto"/>
            </w:tcBorders>
            <w:shd w:val="clear" w:color="auto" w:fill="auto"/>
            <w:vAlign w:val="center"/>
            <w:hideMark/>
          </w:tcPr>
          <w:p w14:paraId="42CC1A18"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578 000</w:t>
            </w:r>
          </w:p>
        </w:tc>
        <w:tc>
          <w:tcPr>
            <w:tcW w:w="1984" w:type="dxa"/>
            <w:tcBorders>
              <w:top w:val="nil"/>
              <w:left w:val="nil"/>
              <w:bottom w:val="single" w:sz="4" w:space="0" w:color="auto"/>
              <w:right w:val="single" w:sz="4" w:space="0" w:color="auto"/>
            </w:tcBorders>
            <w:vAlign w:val="center"/>
          </w:tcPr>
          <w:p w14:paraId="2B11E03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139 703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7D35B1F"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24,17%</w:t>
            </w:r>
          </w:p>
        </w:tc>
      </w:tr>
      <w:tr w:rsidR="00E56406" w:rsidRPr="00E56406" w14:paraId="03294A7E"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EA93EA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50 000 do 59 999</w:t>
            </w:r>
          </w:p>
        </w:tc>
        <w:tc>
          <w:tcPr>
            <w:tcW w:w="1985" w:type="dxa"/>
            <w:tcBorders>
              <w:top w:val="nil"/>
              <w:left w:val="nil"/>
              <w:bottom w:val="single" w:sz="4" w:space="0" w:color="auto"/>
              <w:right w:val="single" w:sz="4" w:space="0" w:color="auto"/>
            </w:tcBorders>
            <w:shd w:val="clear" w:color="auto" w:fill="auto"/>
            <w:vAlign w:val="center"/>
            <w:hideMark/>
          </w:tcPr>
          <w:p w14:paraId="3DD4A50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676 000</w:t>
            </w:r>
          </w:p>
        </w:tc>
        <w:tc>
          <w:tcPr>
            <w:tcW w:w="1984" w:type="dxa"/>
            <w:tcBorders>
              <w:top w:val="nil"/>
              <w:left w:val="nil"/>
              <w:bottom w:val="single" w:sz="4" w:space="0" w:color="auto"/>
              <w:right w:val="single" w:sz="4" w:space="0" w:color="auto"/>
            </w:tcBorders>
            <w:vAlign w:val="center"/>
          </w:tcPr>
          <w:p w14:paraId="21CC68E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159 333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9E0E12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23,57%</w:t>
            </w:r>
          </w:p>
        </w:tc>
      </w:tr>
      <w:tr w:rsidR="00E56406" w:rsidRPr="00E56406" w14:paraId="117ADB8C"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21B6A4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60 000 do 69 999</w:t>
            </w:r>
          </w:p>
        </w:tc>
        <w:tc>
          <w:tcPr>
            <w:tcW w:w="1985" w:type="dxa"/>
            <w:tcBorders>
              <w:top w:val="nil"/>
              <w:left w:val="nil"/>
              <w:bottom w:val="single" w:sz="4" w:space="0" w:color="auto"/>
              <w:right w:val="single" w:sz="4" w:space="0" w:color="auto"/>
            </w:tcBorders>
            <w:shd w:val="clear" w:color="auto" w:fill="auto"/>
            <w:vAlign w:val="center"/>
            <w:hideMark/>
          </w:tcPr>
          <w:p w14:paraId="50C95A4C"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772 000</w:t>
            </w:r>
          </w:p>
        </w:tc>
        <w:tc>
          <w:tcPr>
            <w:tcW w:w="1984" w:type="dxa"/>
            <w:tcBorders>
              <w:top w:val="nil"/>
              <w:left w:val="nil"/>
              <w:bottom w:val="single" w:sz="4" w:space="0" w:color="auto"/>
              <w:right w:val="single" w:sz="4" w:space="0" w:color="auto"/>
            </w:tcBorders>
            <w:vAlign w:val="center"/>
          </w:tcPr>
          <w:p w14:paraId="5799F60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178 564</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4880D51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23,13%</w:t>
            </w:r>
          </w:p>
        </w:tc>
      </w:tr>
      <w:tr w:rsidR="00E56406" w:rsidRPr="00E56406" w14:paraId="7C58C012"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314552B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70 000 do 79 999</w:t>
            </w:r>
          </w:p>
        </w:tc>
        <w:tc>
          <w:tcPr>
            <w:tcW w:w="1985" w:type="dxa"/>
            <w:tcBorders>
              <w:top w:val="nil"/>
              <w:left w:val="nil"/>
              <w:bottom w:val="single" w:sz="4" w:space="0" w:color="auto"/>
              <w:right w:val="single" w:sz="4" w:space="0" w:color="auto"/>
            </w:tcBorders>
            <w:shd w:val="clear" w:color="auto" w:fill="auto"/>
            <w:vAlign w:val="center"/>
            <w:hideMark/>
          </w:tcPr>
          <w:p w14:paraId="4B82190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868 000</w:t>
            </w:r>
          </w:p>
        </w:tc>
        <w:tc>
          <w:tcPr>
            <w:tcW w:w="1984" w:type="dxa"/>
            <w:tcBorders>
              <w:top w:val="nil"/>
              <w:left w:val="nil"/>
              <w:bottom w:val="single" w:sz="4" w:space="0" w:color="auto"/>
              <w:right w:val="single" w:sz="4" w:space="0" w:color="auto"/>
            </w:tcBorders>
            <w:vAlign w:val="center"/>
          </w:tcPr>
          <w:p w14:paraId="5908163C"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197 730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649E812"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22,78%</w:t>
            </w:r>
          </w:p>
        </w:tc>
      </w:tr>
      <w:tr w:rsidR="00E56406" w:rsidRPr="00E56406" w14:paraId="7FCFB540"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3CD61F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80 000 do 89 999</w:t>
            </w:r>
          </w:p>
        </w:tc>
        <w:tc>
          <w:tcPr>
            <w:tcW w:w="1985" w:type="dxa"/>
            <w:tcBorders>
              <w:top w:val="nil"/>
              <w:left w:val="nil"/>
              <w:bottom w:val="single" w:sz="4" w:space="0" w:color="auto"/>
              <w:right w:val="single" w:sz="4" w:space="0" w:color="auto"/>
            </w:tcBorders>
            <w:shd w:val="clear" w:color="auto" w:fill="auto"/>
            <w:vAlign w:val="center"/>
            <w:hideMark/>
          </w:tcPr>
          <w:p w14:paraId="2933D1B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963 000</w:t>
            </w:r>
          </w:p>
        </w:tc>
        <w:tc>
          <w:tcPr>
            <w:tcW w:w="1984" w:type="dxa"/>
            <w:tcBorders>
              <w:top w:val="nil"/>
              <w:left w:val="nil"/>
              <w:bottom w:val="single" w:sz="4" w:space="0" w:color="auto"/>
              <w:right w:val="single" w:sz="4" w:space="0" w:color="auto"/>
            </w:tcBorders>
            <w:vAlign w:val="center"/>
          </w:tcPr>
          <w:p w14:paraId="4402227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216 675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F205A8"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22,50%</w:t>
            </w:r>
          </w:p>
        </w:tc>
      </w:tr>
      <w:tr w:rsidR="00E56406" w:rsidRPr="00E56406" w14:paraId="0353D3AF"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E69536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90 000 do 99 999</w:t>
            </w:r>
          </w:p>
        </w:tc>
        <w:tc>
          <w:tcPr>
            <w:tcW w:w="1985" w:type="dxa"/>
            <w:tcBorders>
              <w:top w:val="nil"/>
              <w:left w:val="nil"/>
              <w:bottom w:val="single" w:sz="4" w:space="0" w:color="auto"/>
              <w:right w:val="single" w:sz="4" w:space="0" w:color="auto"/>
            </w:tcBorders>
            <w:shd w:val="clear" w:color="auto" w:fill="auto"/>
            <w:vAlign w:val="center"/>
            <w:hideMark/>
          </w:tcPr>
          <w:p w14:paraId="09B2947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1 058 000</w:t>
            </w:r>
          </w:p>
        </w:tc>
        <w:tc>
          <w:tcPr>
            <w:tcW w:w="1984" w:type="dxa"/>
            <w:tcBorders>
              <w:top w:val="nil"/>
              <w:left w:val="nil"/>
              <w:bottom w:val="single" w:sz="4" w:space="0" w:color="auto"/>
              <w:right w:val="single" w:sz="4" w:space="0" w:color="auto"/>
            </w:tcBorders>
            <w:vAlign w:val="center"/>
          </w:tcPr>
          <w:p w14:paraId="22F6ED48"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235 617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5F9984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22,27%</w:t>
            </w:r>
          </w:p>
        </w:tc>
      </w:tr>
      <w:tr w:rsidR="00E56406" w:rsidRPr="00E56406" w14:paraId="27F9DDE6"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41EC85A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100 000 do 109 999</w:t>
            </w:r>
          </w:p>
        </w:tc>
        <w:tc>
          <w:tcPr>
            <w:tcW w:w="1985" w:type="dxa"/>
            <w:tcBorders>
              <w:top w:val="nil"/>
              <w:left w:val="nil"/>
              <w:bottom w:val="single" w:sz="4" w:space="0" w:color="auto"/>
              <w:right w:val="single" w:sz="4" w:space="0" w:color="auto"/>
            </w:tcBorders>
            <w:shd w:val="clear" w:color="auto" w:fill="auto"/>
            <w:vAlign w:val="center"/>
          </w:tcPr>
          <w:p w14:paraId="29D0A13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1 152 000</w:t>
            </w:r>
          </w:p>
        </w:tc>
        <w:tc>
          <w:tcPr>
            <w:tcW w:w="1984" w:type="dxa"/>
            <w:tcBorders>
              <w:top w:val="nil"/>
              <w:left w:val="nil"/>
              <w:bottom w:val="single" w:sz="4" w:space="0" w:color="auto"/>
              <w:right w:val="single" w:sz="4" w:space="0" w:color="auto"/>
            </w:tcBorders>
            <w:vAlign w:val="center"/>
          </w:tcPr>
          <w:p w14:paraId="43C6101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254 362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063993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22,08%</w:t>
            </w:r>
          </w:p>
        </w:tc>
      </w:tr>
      <w:tr w:rsidR="00E56406" w:rsidRPr="00E56406" w14:paraId="40CC5B23"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37C2914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110 000 do 119 999</w:t>
            </w:r>
          </w:p>
        </w:tc>
        <w:tc>
          <w:tcPr>
            <w:tcW w:w="1985" w:type="dxa"/>
            <w:tcBorders>
              <w:top w:val="nil"/>
              <w:left w:val="nil"/>
              <w:bottom w:val="single" w:sz="4" w:space="0" w:color="auto"/>
              <w:right w:val="single" w:sz="4" w:space="0" w:color="auto"/>
            </w:tcBorders>
            <w:shd w:val="clear" w:color="auto" w:fill="auto"/>
            <w:vAlign w:val="center"/>
          </w:tcPr>
          <w:p w14:paraId="3E4B362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1 245 000</w:t>
            </w:r>
          </w:p>
        </w:tc>
        <w:tc>
          <w:tcPr>
            <w:tcW w:w="1984" w:type="dxa"/>
            <w:tcBorders>
              <w:top w:val="nil"/>
              <w:left w:val="nil"/>
              <w:bottom w:val="single" w:sz="4" w:space="0" w:color="auto"/>
              <w:right w:val="single" w:sz="4" w:space="0" w:color="auto"/>
            </w:tcBorders>
            <w:vAlign w:val="center"/>
          </w:tcPr>
          <w:p w14:paraId="6668E083"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253 731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079EED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20,38%</w:t>
            </w:r>
          </w:p>
        </w:tc>
      </w:tr>
      <w:tr w:rsidR="00E56406" w:rsidRPr="00E56406" w14:paraId="366DA7E2"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7AD12DE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120 000 do 129 999</w:t>
            </w:r>
          </w:p>
        </w:tc>
        <w:tc>
          <w:tcPr>
            <w:tcW w:w="1985" w:type="dxa"/>
            <w:tcBorders>
              <w:top w:val="nil"/>
              <w:left w:val="nil"/>
              <w:bottom w:val="single" w:sz="4" w:space="0" w:color="auto"/>
              <w:right w:val="single" w:sz="4" w:space="0" w:color="auto"/>
            </w:tcBorders>
            <w:shd w:val="clear" w:color="auto" w:fill="auto"/>
            <w:vAlign w:val="center"/>
          </w:tcPr>
          <w:p w14:paraId="45DB994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1 335 000</w:t>
            </w:r>
          </w:p>
        </w:tc>
        <w:tc>
          <w:tcPr>
            <w:tcW w:w="1984" w:type="dxa"/>
            <w:tcBorders>
              <w:top w:val="nil"/>
              <w:left w:val="nil"/>
              <w:bottom w:val="single" w:sz="4" w:space="0" w:color="auto"/>
              <w:right w:val="single" w:sz="4" w:space="0" w:color="auto"/>
            </w:tcBorders>
            <w:vAlign w:val="center"/>
          </w:tcPr>
          <w:p w14:paraId="14939A2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252 716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8D727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18,93%</w:t>
            </w:r>
          </w:p>
        </w:tc>
      </w:tr>
      <w:tr w:rsidR="00E56406" w:rsidRPr="00E56406" w14:paraId="0B005DB8"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27CE62C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130 000 do 139 999</w:t>
            </w:r>
          </w:p>
        </w:tc>
        <w:tc>
          <w:tcPr>
            <w:tcW w:w="1985" w:type="dxa"/>
            <w:tcBorders>
              <w:top w:val="nil"/>
              <w:left w:val="nil"/>
              <w:bottom w:val="single" w:sz="4" w:space="0" w:color="auto"/>
              <w:right w:val="single" w:sz="4" w:space="0" w:color="auto"/>
            </w:tcBorders>
            <w:shd w:val="clear" w:color="auto" w:fill="auto"/>
            <w:vAlign w:val="center"/>
          </w:tcPr>
          <w:p w14:paraId="33B0C97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1 425 000</w:t>
            </w:r>
          </w:p>
        </w:tc>
        <w:tc>
          <w:tcPr>
            <w:tcW w:w="1984" w:type="dxa"/>
            <w:tcBorders>
              <w:top w:val="nil"/>
              <w:left w:val="nil"/>
              <w:bottom w:val="single" w:sz="4" w:space="0" w:color="auto"/>
              <w:right w:val="single" w:sz="4" w:space="0" w:color="auto"/>
            </w:tcBorders>
            <w:vAlign w:val="center"/>
          </w:tcPr>
          <w:p w14:paraId="202E555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251 798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8BD1E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17,67%</w:t>
            </w:r>
          </w:p>
        </w:tc>
      </w:tr>
      <w:tr w:rsidR="00E56406" w:rsidRPr="00E56406" w14:paraId="7F072366" w14:textId="77777777" w:rsidTr="002950D3">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2818044F"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140 000</w:t>
            </w:r>
          </w:p>
        </w:tc>
        <w:tc>
          <w:tcPr>
            <w:tcW w:w="1985" w:type="dxa"/>
            <w:tcBorders>
              <w:top w:val="nil"/>
              <w:left w:val="nil"/>
              <w:bottom w:val="single" w:sz="4" w:space="0" w:color="auto"/>
              <w:right w:val="single" w:sz="4" w:space="0" w:color="auto"/>
            </w:tcBorders>
            <w:shd w:val="clear" w:color="auto" w:fill="auto"/>
            <w:vAlign w:val="center"/>
          </w:tcPr>
          <w:p w14:paraId="3C6A017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1 500 000</w:t>
            </w:r>
          </w:p>
        </w:tc>
        <w:tc>
          <w:tcPr>
            <w:tcW w:w="1984" w:type="dxa"/>
            <w:tcBorders>
              <w:top w:val="nil"/>
              <w:left w:val="nil"/>
              <w:bottom w:val="single" w:sz="4" w:space="0" w:color="auto"/>
              <w:right w:val="single" w:sz="4" w:space="0" w:color="auto"/>
            </w:tcBorders>
            <w:vAlign w:val="center"/>
          </w:tcPr>
          <w:p w14:paraId="49C7505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248 400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E618A6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16,56%</w:t>
            </w:r>
          </w:p>
        </w:tc>
      </w:tr>
    </w:tbl>
    <w:p w14:paraId="4FE5F0AC" w14:textId="77777777" w:rsidR="00695C33" w:rsidRPr="00E56406" w:rsidRDefault="00695C33" w:rsidP="00695C33">
      <w:pPr>
        <w:jc w:val="both"/>
        <w:rPr>
          <w:rFonts w:asciiTheme="minorHAnsi" w:hAnsiTheme="minorHAnsi" w:cstheme="minorHAnsi"/>
        </w:rPr>
      </w:pPr>
      <w:r w:rsidRPr="00E56406">
        <w:rPr>
          <w:rFonts w:asciiTheme="minorHAnsi" w:hAnsiTheme="minorHAnsi" w:cstheme="minorHAnsi"/>
        </w:rPr>
        <w:t>* kwoty te stanowią 80% wartości projektów i będą na etapie realizacji projektów uzupełnione wkładem krajowym rozliczonym również  za pomocą tej stawki.</w:t>
      </w:r>
    </w:p>
    <w:p w14:paraId="434ED0A0" w14:textId="77777777" w:rsidR="00695C33" w:rsidRPr="00E56406" w:rsidRDefault="00695C33" w:rsidP="00695C33">
      <w:pPr>
        <w:jc w:val="both"/>
        <w:rPr>
          <w:rFonts w:asciiTheme="minorHAnsi" w:hAnsiTheme="minorHAnsi" w:cstheme="minorHAnsi"/>
          <w:sz w:val="24"/>
          <w:szCs w:val="24"/>
        </w:rPr>
      </w:pPr>
    </w:p>
    <w:p w14:paraId="706B9A8C" w14:textId="77777777" w:rsidR="00281174" w:rsidRDefault="00281174">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1A6514F" w14:textId="1BC5055E" w:rsidR="00695C33" w:rsidRPr="00E56406" w:rsidRDefault="00695C33" w:rsidP="00695C33">
      <w:pPr>
        <w:jc w:val="both"/>
        <w:rPr>
          <w:rFonts w:asciiTheme="minorHAnsi" w:hAnsiTheme="minorHAnsi" w:cstheme="minorHAnsi"/>
          <w:sz w:val="24"/>
          <w:szCs w:val="24"/>
        </w:rPr>
      </w:pPr>
      <w:r w:rsidRPr="00E56406">
        <w:rPr>
          <w:rFonts w:asciiTheme="minorHAnsi" w:hAnsiTheme="minorHAnsi" w:cstheme="minorHAnsi"/>
          <w:sz w:val="24"/>
          <w:szCs w:val="24"/>
        </w:rPr>
        <w:lastRenderedPageBreak/>
        <w:t>Kwotę EFRR przewidzianą w LSR w ramach programu Fundusze Europejskie dla Wielkopolski 2021-2027 ustala się dla każdej LSR zgodnie z poniższą tabelą:</w:t>
      </w:r>
    </w:p>
    <w:tbl>
      <w:tblPr>
        <w:tblW w:w="9012" w:type="dxa"/>
        <w:tblInd w:w="55" w:type="dxa"/>
        <w:tblCellMar>
          <w:left w:w="70" w:type="dxa"/>
          <w:right w:w="70" w:type="dxa"/>
        </w:tblCellMar>
        <w:tblLook w:val="04A0" w:firstRow="1" w:lastRow="0" w:firstColumn="1" w:lastColumn="0" w:noHBand="0" w:noVBand="1"/>
      </w:tblPr>
      <w:tblGrid>
        <w:gridCol w:w="2634"/>
        <w:gridCol w:w="2126"/>
        <w:gridCol w:w="2126"/>
        <w:gridCol w:w="2126"/>
      </w:tblGrid>
      <w:tr w:rsidR="00E56406" w:rsidRPr="00E56406" w14:paraId="133AD0F9" w14:textId="77777777" w:rsidTr="002950D3">
        <w:trPr>
          <w:trHeight w:val="470"/>
        </w:trPr>
        <w:tc>
          <w:tcPr>
            <w:tcW w:w="2634" w:type="dxa"/>
            <w:tcBorders>
              <w:top w:val="single" w:sz="4" w:space="0" w:color="auto"/>
              <w:left w:val="single" w:sz="4" w:space="0" w:color="auto"/>
              <w:right w:val="single" w:sz="4" w:space="0" w:color="auto"/>
            </w:tcBorders>
            <w:vAlign w:val="center"/>
          </w:tcPr>
          <w:p w14:paraId="248A0C9B" w14:textId="7A28BF58"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Ludność wiejska zamie</w:t>
            </w:r>
            <w:r w:rsidR="002E5BCA" w:rsidRPr="00E56406">
              <w:rPr>
                <w:rFonts w:asciiTheme="minorHAnsi" w:hAnsiTheme="minorHAnsi" w:cstheme="minorHAnsi"/>
                <w:sz w:val="24"/>
                <w:szCs w:val="24"/>
              </w:rPr>
              <w:t xml:space="preserve">szkała na obszarze objętym LSR </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EB36E0" w14:textId="57B41CBF"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Kwota na </w:t>
            </w:r>
            <w:r w:rsidR="00281174">
              <w:rPr>
                <w:rFonts w:asciiTheme="minorHAnsi" w:hAnsiTheme="minorHAnsi" w:cstheme="minorHAnsi"/>
                <w:sz w:val="24"/>
                <w:szCs w:val="24"/>
              </w:rPr>
              <w:t>W</w:t>
            </w:r>
            <w:r w:rsidRPr="00E56406">
              <w:rPr>
                <w:rFonts w:asciiTheme="minorHAnsi" w:hAnsiTheme="minorHAnsi" w:cstheme="minorHAnsi"/>
                <w:sz w:val="24"/>
                <w:szCs w:val="24"/>
              </w:rPr>
              <w:t>drażanie LSR*</w:t>
            </w:r>
          </w:p>
          <w:p w14:paraId="5F126608" w14:textId="4423E4AF" w:rsidR="00096DF4" w:rsidRPr="00E56406" w:rsidRDefault="00096DF4"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[EUR]</w:t>
            </w:r>
          </w:p>
        </w:tc>
        <w:tc>
          <w:tcPr>
            <w:tcW w:w="2126" w:type="dxa"/>
            <w:tcBorders>
              <w:top w:val="single" w:sz="4" w:space="0" w:color="auto"/>
              <w:left w:val="nil"/>
              <w:bottom w:val="single" w:sz="4" w:space="0" w:color="auto"/>
              <w:right w:val="single" w:sz="4" w:space="0" w:color="auto"/>
            </w:tcBorders>
            <w:vAlign w:val="center"/>
          </w:tcPr>
          <w:p w14:paraId="6CA3D835" w14:textId="36F51B19"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Kwota na </w:t>
            </w:r>
            <w:r w:rsidR="00281174">
              <w:rPr>
                <w:rFonts w:asciiTheme="minorHAnsi" w:hAnsiTheme="minorHAnsi" w:cstheme="minorHAnsi"/>
                <w:sz w:val="24"/>
                <w:szCs w:val="24"/>
              </w:rPr>
              <w:t>Z</w:t>
            </w:r>
            <w:r w:rsidRPr="00E56406">
              <w:rPr>
                <w:rFonts w:asciiTheme="minorHAnsi" w:hAnsiTheme="minorHAnsi" w:cstheme="minorHAnsi"/>
                <w:sz w:val="24"/>
                <w:szCs w:val="24"/>
              </w:rPr>
              <w:t>arządzanie LSR*</w:t>
            </w:r>
          </w:p>
          <w:p w14:paraId="5FE124EF" w14:textId="596B6B6F" w:rsidR="00096DF4" w:rsidRPr="00E56406" w:rsidDel="00880179" w:rsidRDefault="00096DF4"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[EUR]</w:t>
            </w:r>
          </w:p>
        </w:tc>
        <w:tc>
          <w:tcPr>
            <w:tcW w:w="2126" w:type="dxa"/>
            <w:tcBorders>
              <w:top w:val="single" w:sz="4" w:space="0" w:color="auto"/>
              <w:left w:val="nil"/>
              <w:bottom w:val="single" w:sz="4" w:space="0" w:color="auto"/>
              <w:right w:val="single" w:sz="4" w:space="0" w:color="auto"/>
            </w:tcBorders>
            <w:vAlign w:val="center"/>
          </w:tcPr>
          <w:p w14:paraId="5B52D178" w14:textId="378689C4" w:rsidR="00695C33" w:rsidRPr="00E56406" w:rsidRDefault="00695C33" w:rsidP="00281174">
            <w:pPr>
              <w:spacing w:after="0"/>
              <w:jc w:val="center"/>
              <w:rPr>
                <w:rFonts w:asciiTheme="minorHAnsi" w:hAnsiTheme="minorHAnsi" w:cstheme="minorHAnsi"/>
                <w:sz w:val="24"/>
                <w:szCs w:val="24"/>
              </w:rPr>
            </w:pPr>
            <w:r w:rsidRPr="00E56406">
              <w:rPr>
                <w:rFonts w:asciiTheme="minorHAnsi" w:hAnsiTheme="minorHAnsi" w:cstheme="minorHAnsi"/>
                <w:sz w:val="24"/>
                <w:szCs w:val="24"/>
              </w:rPr>
              <w:t xml:space="preserve">Procent środków przeznaczonych  na </w:t>
            </w:r>
            <w:r w:rsidR="00281174">
              <w:rPr>
                <w:rFonts w:asciiTheme="minorHAnsi" w:hAnsiTheme="minorHAnsi" w:cstheme="minorHAnsi"/>
                <w:sz w:val="24"/>
                <w:szCs w:val="24"/>
              </w:rPr>
              <w:t>Zarządzanie LSR</w:t>
            </w:r>
            <w:r w:rsidR="00281174" w:rsidRPr="00E56406">
              <w:rPr>
                <w:rFonts w:asciiTheme="minorHAnsi" w:hAnsiTheme="minorHAnsi" w:cstheme="minorHAnsi"/>
                <w:sz w:val="24"/>
                <w:szCs w:val="24"/>
              </w:rPr>
              <w:t xml:space="preserve"> </w:t>
            </w:r>
            <w:r w:rsidRPr="00E56406">
              <w:rPr>
                <w:rFonts w:asciiTheme="minorHAnsi" w:hAnsiTheme="minorHAnsi" w:cstheme="minorHAnsi"/>
                <w:sz w:val="24"/>
                <w:szCs w:val="24"/>
              </w:rPr>
              <w:t>w ramach EFRR</w:t>
            </w:r>
          </w:p>
        </w:tc>
      </w:tr>
      <w:tr w:rsidR="00E56406" w:rsidRPr="00E56406" w14:paraId="0620BA6E" w14:textId="77777777" w:rsidTr="002950D3">
        <w:trPr>
          <w:trHeight w:val="70"/>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ED30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30 000 do 39 999</w:t>
            </w:r>
          </w:p>
        </w:tc>
        <w:tc>
          <w:tcPr>
            <w:tcW w:w="2126" w:type="dxa"/>
            <w:tcBorders>
              <w:top w:val="nil"/>
              <w:left w:val="nil"/>
              <w:bottom w:val="single" w:sz="4" w:space="0" w:color="auto"/>
              <w:right w:val="single" w:sz="4" w:space="0" w:color="auto"/>
            </w:tcBorders>
            <w:shd w:val="clear" w:color="auto" w:fill="auto"/>
            <w:vAlign w:val="center"/>
            <w:hideMark/>
          </w:tcPr>
          <w:p w14:paraId="70236C9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320 000</w:t>
            </w:r>
          </w:p>
        </w:tc>
        <w:tc>
          <w:tcPr>
            <w:tcW w:w="2126" w:type="dxa"/>
            <w:tcBorders>
              <w:top w:val="nil"/>
              <w:left w:val="nil"/>
              <w:bottom w:val="single" w:sz="4" w:space="0" w:color="auto"/>
              <w:right w:val="single" w:sz="4" w:space="0" w:color="auto"/>
            </w:tcBorders>
            <w:vAlign w:val="center"/>
          </w:tcPr>
          <w:p w14:paraId="1A09D90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80 000</w:t>
            </w:r>
          </w:p>
        </w:tc>
        <w:tc>
          <w:tcPr>
            <w:tcW w:w="2126" w:type="dxa"/>
            <w:tcBorders>
              <w:top w:val="nil"/>
              <w:left w:val="nil"/>
              <w:bottom w:val="single" w:sz="4" w:space="0" w:color="auto"/>
              <w:right w:val="single" w:sz="4" w:space="0" w:color="auto"/>
            </w:tcBorders>
            <w:vAlign w:val="bottom"/>
          </w:tcPr>
          <w:p w14:paraId="06D7212F"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25,00%</w:t>
            </w:r>
          </w:p>
        </w:tc>
      </w:tr>
      <w:tr w:rsidR="00E56406" w:rsidRPr="00E56406" w14:paraId="1C3D36F2"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309CC3D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40 000 do 49 999</w:t>
            </w:r>
          </w:p>
        </w:tc>
        <w:tc>
          <w:tcPr>
            <w:tcW w:w="2126" w:type="dxa"/>
            <w:tcBorders>
              <w:top w:val="nil"/>
              <w:left w:val="nil"/>
              <w:bottom w:val="single" w:sz="4" w:space="0" w:color="auto"/>
              <w:right w:val="single" w:sz="4" w:space="0" w:color="auto"/>
            </w:tcBorders>
            <w:shd w:val="clear" w:color="auto" w:fill="auto"/>
            <w:vAlign w:val="center"/>
            <w:hideMark/>
          </w:tcPr>
          <w:p w14:paraId="0911B33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385 000</w:t>
            </w:r>
          </w:p>
        </w:tc>
        <w:tc>
          <w:tcPr>
            <w:tcW w:w="2126" w:type="dxa"/>
            <w:tcBorders>
              <w:top w:val="nil"/>
              <w:left w:val="nil"/>
              <w:bottom w:val="single" w:sz="4" w:space="0" w:color="auto"/>
              <w:right w:val="single" w:sz="4" w:space="0" w:color="auto"/>
            </w:tcBorders>
            <w:vAlign w:val="center"/>
          </w:tcPr>
          <w:p w14:paraId="07155A5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93 055</w:t>
            </w:r>
          </w:p>
        </w:tc>
        <w:tc>
          <w:tcPr>
            <w:tcW w:w="2126" w:type="dxa"/>
            <w:tcBorders>
              <w:top w:val="nil"/>
              <w:left w:val="nil"/>
              <w:bottom w:val="single" w:sz="4" w:space="0" w:color="auto"/>
              <w:right w:val="single" w:sz="4" w:space="0" w:color="auto"/>
            </w:tcBorders>
            <w:vAlign w:val="bottom"/>
          </w:tcPr>
          <w:p w14:paraId="5936894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24,17%</w:t>
            </w:r>
          </w:p>
        </w:tc>
      </w:tr>
      <w:tr w:rsidR="00E56406" w:rsidRPr="00E56406" w14:paraId="3B134178"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7371A6B2"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50 000 do 59 999</w:t>
            </w:r>
          </w:p>
        </w:tc>
        <w:tc>
          <w:tcPr>
            <w:tcW w:w="2126" w:type="dxa"/>
            <w:tcBorders>
              <w:top w:val="nil"/>
              <w:left w:val="nil"/>
              <w:bottom w:val="single" w:sz="4" w:space="0" w:color="auto"/>
              <w:right w:val="single" w:sz="4" w:space="0" w:color="auto"/>
            </w:tcBorders>
            <w:shd w:val="clear" w:color="auto" w:fill="auto"/>
            <w:vAlign w:val="center"/>
            <w:hideMark/>
          </w:tcPr>
          <w:p w14:paraId="6A14F12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450 000</w:t>
            </w:r>
          </w:p>
        </w:tc>
        <w:tc>
          <w:tcPr>
            <w:tcW w:w="2126" w:type="dxa"/>
            <w:tcBorders>
              <w:top w:val="nil"/>
              <w:left w:val="nil"/>
              <w:bottom w:val="single" w:sz="4" w:space="0" w:color="auto"/>
              <w:right w:val="single" w:sz="4" w:space="0" w:color="auto"/>
            </w:tcBorders>
            <w:vAlign w:val="center"/>
          </w:tcPr>
          <w:p w14:paraId="4073393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106 065</w:t>
            </w:r>
          </w:p>
        </w:tc>
        <w:tc>
          <w:tcPr>
            <w:tcW w:w="2126" w:type="dxa"/>
            <w:tcBorders>
              <w:top w:val="nil"/>
              <w:left w:val="nil"/>
              <w:bottom w:val="single" w:sz="4" w:space="0" w:color="auto"/>
              <w:right w:val="single" w:sz="4" w:space="0" w:color="auto"/>
            </w:tcBorders>
            <w:vAlign w:val="bottom"/>
          </w:tcPr>
          <w:p w14:paraId="1F66854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23,57%</w:t>
            </w:r>
          </w:p>
        </w:tc>
      </w:tr>
      <w:tr w:rsidR="00E56406" w:rsidRPr="00E56406" w14:paraId="4C3F3F23"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6CC3622C"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60 000 do 69 999</w:t>
            </w:r>
          </w:p>
        </w:tc>
        <w:tc>
          <w:tcPr>
            <w:tcW w:w="2126" w:type="dxa"/>
            <w:tcBorders>
              <w:top w:val="nil"/>
              <w:left w:val="nil"/>
              <w:bottom w:val="single" w:sz="4" w:space="0" w:color="auto"/>
              <w:right w:val="single" w:sz="4" w:space="0" w:color="auto"/>
            </w:tcBorders>
            <w:shd w:val="clear" w:color="auto" w:fill="auto"/>
            <w:vAlign w:val="center"/>
            <w:hideMark/>
          </w:tcPr>
          <w:p w14:paraId="1E9A1A1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515 000</w:t>
            </w:r>
          </w:p>
        </w:tc>
        <w:tc>
          <w:tcPr>
            <w:tcW w:w="2126" w:type="dxa"/>
            <w:tcBorders>
              <w:top w:val="nil"/>
              <w:left w:val="nil"/>
              <w:bottom w:val="single" w:sz="4" w:space="0" w:color="auto"/>
              <w:right w:val="single" w:sz="4" w:space="0" w:color="auto"/>
            </w:tcBorders>
            <w:vAlign w:val="center"/>
          </w:tcPr>
          <w:p w14:paraId="18E696D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119 120</w:t>
            </w:r>
          </w:p>
        </w:tc>
        <w:tc>
          <w:tcPr>
            <w:tcW w:w="2126" w:type="dxa"/>
            <w:tcBorders>
              <w:top w:val="nil"/>
              <w:left w:val="nil"/>
              <w:bottom w:val="single" w:sz="4" w:space="0" w:color="auto"/>
              <w:right w:val="single" w:sz="4" w:space="0" w:color="auto"/>
            </w:tcBorders>
            <w:vAlign w:val="bottom"/>
          </w:tcPr>
          <w:p w14:paraId="613513A3"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23,13%</w:t>
            </w:r>
          </w:p>
        </w:tc>
      </w:tr>
      <w:tr w:rsidR="00E56406" w:rsidRPr="00E56406" w14:paraId="304376A3"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3166034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70 000 do 79 999</w:t>
            </w:r>
          </w:p>
        </w:tc>
        <w:tc>
          <w:tcPr>
            <w:tcW w:w="2126" w:type="dxa"/>
            <w:tcBorders>
              <w:top w:val="nil"/>
              <w:left w:val="nil"/>
              <w:bottom w:val="single" w:sz="4" w:space="0" w:color="auto"/>
              <w:right w:val="single" w:sz="4" w:space="0" w:color="auto"/>
            </w:tcBorders>
            <w:shd w:val="clear" w:color="auto" w:fill="auto"/>
            <w:vAlign w:val="center"/>
            <w:hideMark/>
          </w:tcPr>
          <w:p w14:paraId="31985AF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579 000</w:t>
            </w:r>
          </w:p>
        </w:tc>
        <w:tc>
          <w:tcPr>
            <w:tcW w:w="2126" w:type="dxa"/>
            <w:tcBorders>
              <w:top w:val="nil"/>
              <w:left w:val="nil"/>
              <w:bottom w:val="single" w:sz="4" w:space="0" w:color="auto"/>
              <w:right w:val="single" w:sz="4" w:space="0" w:color="auto"/>
            </w:tcBorders>
            <w:vAlign w:val="center"/>
          </w:tcPr>
          <w:p w14:paraId="3CE5801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131 896</w:t>
            </w:r>
          </w:p>
        </w:tc>
        <w:tc>
          <w:tcPr>
            <w:tcW w:w="2126" w:type="dxa"/>
            <w:tcBorders>
              <w:top w:val="nil"/>
              <w:left w:val="nil"/>
              <w:bottom w:val="single" w:sz="4" w:space="0" w:color="auto"/>
              <w:right w:val="single" w:sz="4" w:space="0" w:color="auto"/>
            </w:tcBorders>
            <w:vAlign w:val="bottom"/>
          </w:tcPr>
          <w:p w14:paraId="4B705A42"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22,78%</w:t>
            </w:r>
          </w:p>
        </w:tc>
      </w:tr>
      <w:tr w:rsidR="00E56406" w:rsidRPr="00E56406" w14:paraId="5F4FBDFA"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272B0AD5"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80 000 do 89 999</w:t>
            </w:r>
          </w:p>
        </w:tc>
        <w:tc>
          <w:tcPr>
            <w:tcW w:w="2126" w:type="dxa"/>
            <w:tcBorders>
              <w:top w:val="nil"/>
              <w:left w:val="nil"/>
              <w:bottom w:val="single" w:sz="4" w:space="0" w:color="auto"/>
              <w:right w:val="single" w:sz="4" w:space="0" w:color="auto"/>
            </w:tcBorders>
            <w:shd w:val="clear" w:color="auto" w:fill="auto"/>
            <w:vAlign w:val="center"/>
            <w:hideMark/>
          </w:tcPr>
          <w:p w14:paraId="394B4906"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642 000</w:t>
            </w:r>
          </w:p>
        </w:tc>
        <w:tc>
          <w:tcPr>
            <w:tcW w:w="2126" w:type="dxa"/>
            <w:tcBorders>
              <w:top w:val="nil"/>
              <w:left w:val="nil"/>
              <w:bottom w:val="single" w:sz="4" w:space="0" w:color="auto"/>
              <w:right w:val="single" w:sz="4" w:space="0" w:color="auto"/>
            </w:tcBorders>
            <w:vAlign w:val="center"/>
          </w:tcPr>
          <w:p w14:paraId="183D3523"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144 450</w:t>
            </w:r>
          </w:p>
        </w:tc>
        <w:tc>
          <w:tcPr>
            <w:tcW w:w="2126" w:type="dxa"/>
            <w:tcBorders>
              <w:top w:val="nil"/>
              <w:left w:val="nil"/>
              <w:bottom w:val="single" w:sz="4" w:space="0" w:color="auto"/>
              <w:right w:val="single" w:sz="4" w:space="0" w:color="auto"/>
            </w:tcBorders>
            <w:vAlign w:val="bottom"/>
          </w:tcPr>
          <w:p w14:paraId="7F2C3DE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22,50%</w:t>
            </w:r>
          </w:p>
        </w:tc>
      </w:tr>
      <w:tr w:rsidR="00E56406" w:rsidRPr="00E56406" w14:paraId="6C6905A2"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113811C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90 000 do 99 999</w:t>
            </w:r>
          </w:p>
        </w:tc>
        <w:tc>
          <w:tcPr>
            <w:tcW w:w="2126" w:type="dxa"/>
            <w:tcBorders>
              <w:top w:val="nil"/>
              <w:left w:val="nil"/>
              <w:bottom w:val="single" w:sz="4" w:space="0" w:color="auto"/>
              <w:right w:val="single" w:sz="4" w:space="0" w:color="auto"/>
            </w:tcBorders>
            <w:shd w:val="clear" w:color="auto" w:fill="auto"/>
            <w:vAlign w:val="center"/>
            <w:hideMark/>
          </w:tcPr>
          <w:p w14:paraId="2F0F306D"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705 000</w:t>
            </w:r>
          </w:p>
        </w:tc>
        <w:tc>
          <w:tcPr>
            <w:tcW w:w="2126" w:type="dxa"/>
            <w:tcBorders>
              <w:top w:val="nil"/>
              <w:left w:val="nil"/>
              <w:bottom w:val="single" w:sz="4" w:space="0" w:color="auto"/>
              <w:right w:val="single" w:sz="4" w:space="0" w:color="auto"/>
            </w:tcBorders>
            <w:vAlign w:val="center"/>
          </w:tcPr>
          <w:p w14:paraId="74C1885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157 004</w:t>
            </w:r>
          </w:p>
        </w:tc>
        <w:tc>
          <w:tcPr>
            <w:tcW w:w="2126" w:type="dxa"/>
            <w:tcBorders>
              <w:top w:val="nil"/>
              <w:left w:val="nil"/>
              <w:bottom w:val="single" w:sz="4" w:space="0" w:color="auto"/>
              <w:right w:val="single" w:sz="4" w:space="0" w:color="auto"/>
            </w:tcBorders>
            <w:vAlign w:val="bottom"/>
          </w:tcPr>
          <w:p w14:paraId="3F99053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22,27%</w:t>
            </w:r>
          </w:p>
        </w:tc>
      </w:tr>
      <w:tr w:rsidR="00E56406" w:rsidRPr="00E56406" w14:paraId="1E8EEB80"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tcPr>
          <w:p w14:paraId="140A1A14"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100 000 do 109 999</w:t>
            </w:r>
          </w:p>
        </w:tc>
        <w:tc>
          <w:tcPr>
            <w:tcW w:w="2126" w:type="dxa"/>
            <w:tcBorders>
              <w:top w:val="nil"/>
              <w:left w:val="nil"/>
              <w:bottom w:val="single" w:sz="4" w:space="0" w:color="auto"/>
              <w:right w:val="single" w:sz="4" w:space="0" w:color="auto"/>
            </w:tcBorders>
            <w:shd w:val="clear" w:color="auto" w:fill="auto"/>
            <w:vAlign w:val="center"/>
          </w:tcPr>
          <w:p w14:paraId="62973F6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768 000</w:t>
            </w:r>
          </w:p>
        </w:tc>
        <w:tc>
          <w:tcPr>
            <w:tcW w:w="2126" w:type="dxa"/>
            <w:tcBorders>
              <w:top w:val="nil"/>
              <w:left w:val="nil"/>
              <w:bottom w:val="single" w:sz="4" w:space="0" w:color="auto"/>
              <w:right w:val="single" w:sz="4" w:space="0" w:color="auto"/>
            </w:tcBorders>
            <w:vAlign w:val="center"/>
          </w:tcPr>
          <w:p w14:paraId="5F68B0A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169 574</w:t>
            </w:r>
          </w:p>
        </w:tc>
        <w:tc>
          <w:tcPr>
            <w:tcW w:w="2126" w:type="dxa"/>
            <w:tcBorders>
              <w:top w:val="nil"/>
              <w:left w:val="nil"/>
              <w:bottom w:val="single" w:sz="4" w:space="0" w:color="auto"/>
              <w:right w:val="single" w:sz="4" w:space="0" w:color="auto"/>
            </w:tcBorders>
            <w:vAlign w:val="bottom"/>
          </w:tcPr>
          <w:p w14:paraId="4E4DED21"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22,08%</w:t>
            </w:r>
          </w:p>
        </w:tc>
      </w:tr>
      <w:tr w:rsidR="00E56406" w:rsidRPr="00E56406" w14:paraId="7BE393B9"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tcPr>
          <w:p w14:paraId="6BED3F2D"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110 000 do 119 999</w:t>
            </w:r>
          </w:p>
        </w:tc>
        <w:tc>
          <w:tcPr>
            <w:tcW w:w="2126" w:type="dxa"/>
            <w:tcBorders>
              <w:top w:val="nil"/>
              <w:left w:val="nil"/>
              <w:bottom w:val="single" w:sz="4" w:space="0" w:color="auto"/>
              <w:right w:val="single" w:sz="4" w:space="0" w:color="auto"/>
            </w:tcBorders>
            <w:shd w:val="clear" w:color="auto" w:fill="auto"/>
            <w:vAlign w:val="center"/>
          </w:tcPr>
          <w:p w14:paraId="079D8B9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830 000</w:t>
            </w:r>
          </w:p>
        </w:tc>
        <w:tc>
          <w:tcPr>
            <w:tcW w:w="2126" w:type="dxa"/>
            <w:tcBorders>
              <w:top w:val="nil"/>
              <w:left w:val="nil"/>
              <w:bottom w:val="single" w:sz="4" w:space="0" w:color="auto"/>
              <w:right w:val="single" w:sz="4" w:space="0" w:color="auto"/>
            </w:tcBorders>
            <w:vAlign w:val="center"/>
          </w:tcPr>
          <w:p w14:paraId="420135F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169 154</w:t>
            </w:r>
          </w:p>
        </w:tc>
        <w:tc>
          <w:tcPr>
            <w:tcW w:w="2126" w:type="dxa"/>
            <w:tcBorders>
              <w:top w:val="nil"/>
              <w:left w:val="nil"/>
              <w:bottom w:val="single" w:sz="4" w:space="0" w:color="auto"/>
              <w:right w:val="single" w:sz="4" w:space="0" w:color="auto"/>
            </w:tcBorders>
            <w:vAlign w:val="bottom"/>
          </w:tcPr>
          <w:p w14:paraId="437F0B5C"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20,38%</w:t>
            </w:r>
          </w:p>
        </w:tc>
      </w:tr>
      <w:tr w:rsidR="00E56406" w:rsidRPr="00E56406" w14:paraId="29536D00"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tcPr>
          <w:p w14:paraId="64A70F1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120 000 do 129 999</w:t>
            </w:r>
          </w:p>
        </w:tc>
        <w:tc>
          <w:tcPr>
            <w:tcW w:w="2126" w:type="dxa"/>
            <w:tcBorders>
              <w:top w:val="nil"/>
              <w:left w:val="nil"/>
              <w:bottom w:val="single" w:sz="4" w:space="0" w:color="auto"/>
              <w:right w:val="single" w:sz="4" w:space="0" w:color="auto"/>
            </w:tcBorders>
            <w:shd w:val="clear" w:color="auto" w:fill="auto"/>
            <w:vAlign w:val="center"/>
          </w:tcPr>
          <w:p w14:paraId="77FB2BB0"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890 000</w:t>
            </w:r>
          </w:p>
        </w:tc>
        <w:tc>
          <w:tcPr>
            <w:tcW w:w="2126" w:type="dxa"/>
            <w:tcBorders>
              <w:top w:val="nil"/>
              <w:left w:val="nil"/>
              <w:bottom w:val="single" w:sz="4" w:space="0" w:color="auto"/>
              <w:right w:val="single" w:sz="4" w:space="0" w:color="auto"/>
            </w:tcBorders>
            <w:vAlign w:val="center"/>
          </w:tcPr>
          <w:p w14:paraId="79C7F792"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168 477</w:t>
            </w:r>
          </w:p>
        </w:tc>
        <w:tc>
          <w:tcPr>
            <w:tcW w:w="2126" w:type="dxa"/>
            <w:tcBorders>
              <w:top w:val="nil"/>
              <w:left w:val="nil"/>
              <w:bottom w:val="single" w:sz="4" w:space="0" w:color="auto"/>
              <w:right w:val="single" w:sz="4" w:space="0" w:color="auto"/>
            </w:tcBorders>
            <w:vAlign w:val="bottom"/>
          </w:tcPr>
          <w:p w14:paraId="077186F7"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18,93%</w:t>
            </w:r>
          </w:p>
        </w:tc>
      </w:tr>
      <w:tr w:rsidR="00E56406" w:rsidRPr="00E56406" w14:paraId="082DFD7E"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tcPr>
          <w:p w14:paraId="0089667B"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130 000 do 139 999</w:t>
            </w:r>
          </w:p>
        </w:tc>
        <w:tc>
          <w:tcPr>
            <w:tcW w:w="2126" w:type="dxa"/>
            <w:tcBorders>
              <w:top w:val="nil"/>
              <w:left w:val="nil"/>
              <w:bottom w:val="single" w:sz="4" w:space="0" w:color="auto"/>
              <w:right w:val="single" w:sz="4" w:space="0" w:color="auto"/>
            </w:tcBorders>
            <w:shd w:val="clear" w:color="auto" w:fill="auto"/>
            <w:vAlign w:val="center"/>
          </w:tcPr>
          <w:p w14:paraId="322D291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950 000</w:t>
            </w:r>
          </w:p>
        </w:tc>
        <w:tc>
          <w:tcPr>
            <w:tcW w:w="2126" w:type="dxa"/>
            <w:tcBorders>
              <w:top w:val="nil"/>
              <w:left w:val="nil"/>
              <w:bottom w:val="single" w:sz="4" w:space="0" w:color="auto"/>
              <w:right w:val="single" w:sz="4" w:space="0" w:color="auto"/>
            </w:tcBorders>
            <w:vAlign w:val="center"/>
          </w:tcPr>
          <w:p w14:paraId="098F32B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167 865</w:t>
            </w:r>
          </w:p>
        </w:tc>
        <w:tc>
          <w:tcPr>
            <w:tcW w:w="2126" w:type="dxa"/>
            <w:tcBorders>
              <w:top w:val="nil"/>
              <w:left w:val="nil"/>
              <w:bottom w:val="single" w:sz="4" w:space="0" w:color="auto"/>
              <w:right w:val="single" w:sz="4" w:space="0" w:color="auto"/>
            </w:tcBorders>
            <w:vAlign w:val="bottom"/>
          </w:tcPr>
          <w:p w14:paraId="5599CBD8"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17,67%</w:t>
            </w:r>
          </w:p>
        </w:tc>
      </w:tr>
      <w:tr w:rsidR="00E56406" w:rsidRPr="00E56406" w14:paraId="29DE113D" w14:textId="77777777" w:rsidTr="002950D3">
        <w:trPr>
          <w:trHeight w:val="300"/>
        </w:trPr>
        <w:tc>
          <w:tcPr>
            <w:tcW w:w="2634" w:type="dxa"/>
            <w:tcBorders>
              <w:top w:val="nil"/>
              <w:left w:val="single" w:sz="4" w:space="0" w:color="auto"/>
              <w:bottom w:val="single" w:sz="4" w:space="0" w:color="auto"/>
              <w:right w:val="single" w:sz="4" w:space="0" w:color="auto"/>
            </w:tcBorders>
            <w:shd w:val="clear" w:color="auto" w:fill="auto"/>
            <w:vAlign w:val="center"/>
          </w:tcPr>
          <w:p w14:paraId="676288AA"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od 140 000</w:t>
            </w:r>
          </w:p>
        </w:tc>
        <w:tc>
          <w:tcPr>
            <w:tcW w:w="2126" w:type="dxa"/>
            <w:tcBorders>
              <w:top w:val="nil"/>
              <w:left w:val="nil"/>
              <w:bottom w:val="single" w:sz="4" w:space="0" w:color="auto"/>
              <w:right w:val="single" w:sz="4" w:space="0" w:color="auto"/>
            </w:tcBorders>
            <w:shd w:val="clear" w:color="auto" w:fill="auto"/>
            <w:vAlign w:val="center"/>
          </w:tcPr>
          <w:p w14:paraId="4A21BCF2"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1 000 000</w:t>
            </w:r>
          </w:p>
        </w:tc>
        <w:tc>
          <w:tcPr>
            <w:tcW w:w="2126" w:type="dxa"/>
            <w:tcBorders>
              <w:top w:val="nil"/>
              <w:left w:val="nil"/>
              <w:bottom w:val="single" w:sz="4" w:space="0" w:color="auto"/>
              <w:right w:val="single" w:sz="4" w:space="0" w:color="auto"/>
            </w:tcBorders>
            <w:vAlign w:val="center"/>
          </w:tcPr>
          <w:p w14:paraId="0B5A6BEE"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sz w:val="24"/>
                <w:szCs w:val="24"/>
              </w:rPr>
              <w:t>165 600</w:t>
            </w:r>
          </w:p>
        </w:tc>
        <w:tc>
          <w:tcPr>
            <w:tcW w:w="2126" w:type="dxa"/>
            <w:tcBorders>
              <w:top w:val="nil"/>
              <w:left w:val="nil"/>
              <w:bottom w:val="single" w:sz="4" w:space="0" w:color="auto"/>
              <w:right w:val="single" w:sz="4" w:space="0" w:color="auto"/>
            </w:tcBorders>
            <w:vAlign w:val="bottom"/>
          </w:tcPr>
          <w:p w14:paraId="26EB3F09" w14:textId="77777777" w:rsidR="00695C33" w:rsidRPr="00E56406" w:rsidRDefault="00695C33" w:rsidP="0008155C">
            <w:pPr>
              <w:spacing w:after="0"/>
              <w:jc w:val="center"/>
              <w:rPr>
                <w:rFonts w:asciiTheme="minorHAnsi" w:hAnsiTheme="minorHAnsi" w:cstheme="minorHAnsi"/>
                <w:sz w:val="24"/>
                <w:szCs w:val="24"/>
              </w:rPr>
            </w:pPr>
            <w:r w:rsidRPr="00E56406">
              <w:rPr>
                <w:rFonts w:asciiTheme="minorHAnsi" w:hAnsiTheme="minorHAnsi" w:cstheme="minorHAnsi"/>
              </w:rPr>
              <w:t>16,56%</w:t>
            </w:r>
          </w:p>
        </w:tc>
      </w:tr>
    </w:tbl>
    <w:p w14:paraId="47482A40" w14:textId="77777777" w:rsidR="00695C33" w:rsidRPr="00E56406" w:rsidRDefault="00695C33" w:rsidP="00695C33">
      <w:pPr>
        <w:jc w:val="both"/>
        <w:rPr>
          <w:rFonts w:asciiTheme="minorHAnsi" w:hAnsiTheme="minorHAnsi" w:cstheme="minorHAnsi"/>
        </w:rPr>
      </w:pPr>
      <w:r w:rsidRPr="00E56406">
        <w:rPr>
          <w:rFonts w:asciiTheme="minorHAnsi" w:hAnsiTheme="minorHAnsi" w:cstheme="minorHAnsi"/>
        </w:rPr>
        <w:t>* kwoty te stanowią 80% wartości projektów i będą na etapie realizacji projektów uzupełnione wkładem krajowym rozliczonym również za pomocą tej stawki.</w:t>
      </w:r>
    </w:p>
    <w:p w14:paraId="4AB85CF2" w14:textId="77777777" w:rsidR="00281174" w:rsidRDefault="00281174" w:rsidP="00695C33">
      <w:pPr>
        <w:jc w:val="both"/>
        <w:rPr>
          <w:rFonts w:asciiTheme="minorHAnsi" w:hAnsiTheme="minorHAnsi" w:cstheme="minorHAnsi"/>
          <w:sz w:val="24"/>
          <w:szCs w:val="24"/>
        </w:rPr>
      </w:pPr>
    </w:p>
    <w:p w14:paraId="3689B1F7" w14:textId="0D95E67F" w:rsidR="00695C33" w:rsidRPr="00E56406" w:rsidRDefault="00695C33" w:rsidP="00695C33">
      <w:pPr>
        <w:jc w:val="both"/>
        <w:rPr>
          <w:rFonts w:asciiTheme="minorHAnsi" w:hAnsiTheme="minorHAnsi" w:cstheme="minorHAnsi"/>
          <w:sz w:val="24"/>
          <w:szCs w:val="24"/>
        </w:rPr>
      </w:pPr>
      <w:r w:rsidRPr="00E56406">
        <w:rPr>
          <w:rFonts w:asciiTheme="minorHAnsi" w:hAnsiTheme="minorHAnsi" w:cstheme="minorHAnsi"/>
          <w:sz w:val="24"/>
          <w:szCs w:val="24"/>
        </w:rPr>
        <w:t>Wdrażanie LSR finansowane z EFS i EFRR odbywać może się wyłącznie na obszarze województwa wielkopolskiego, na obszarach wiejskich, do których zalicza się także obszar miast do 20 tys. mieszkańców. W przypadku, kiedy na etapie ustalania listy LSR spełniających warunki wyboru okaże się, że wysokość dostępnych środków będzie niewystarczająca do wyboru wszystkich LSR spełniających warunki wyboru, Zarząd Województwa Wielkopolskiego proporcjonalnie obniży kwoty w ramach LSR. Odwrotnie, w przypadku kiedy na etapie ustalania listy LSR spełniających warunki wyboru okaże się, że dostępne środki nie zostały w całości rozdysponowane - powstałe oszczędności mogą zostać podzielone proporcjonalnie pomiędzy te LSR, które zostaną wybrane do realizacji z zastrzeżeniem, że procentowy udział kwoty na zarządzanie w stosunku do kwoty przeznaczonej na wdrażanie LSR pozostanie na tym samym poziomie.</w:t>
      </w:r>
    </w:p>
    <w:p w14:paraId="17FBA8F9" w14:textId="72401122" w:rsidR="0087578D" w:rsidRPr="00E56406" w:rsidRDefault="00695C33" w:rsidP="002E5BCA">
      <w:pPr>
        <w:spacing w:after="160" w:line="259" w:lineRule="auto"/>
        <w:jc w:val="both"/>
        <w:rPr>
          <w:rFonts w:asciiTheme="minorHAnsi" w:hAnsiTheme="minorHAnsi" w:cstheme="minorHAnsi"/>
          <w:b/>
          <w:sz w:val="32"/>
          <w:szCs w:val="32"/>
        </w:rPr>
      </w:pPr>
      <w:r w:rsidRPr="00E56406">
        <w:rPr>
          <w:rFonts w:asciiTheme="minorHAnsi" w:hAnsiTheme="minorHAnsi" w:cstheme="minorHAnsi"/>
        </w:rPr>
        <w:br w:type="page"/>
      </w:r>
      <w:r w:rsidR="00A11CD2" w:rsidRPr="00E56406">
        <w:rPr>
          <w:rFonts w:asciiTheme="minorHAnsi" w:hAnsiTheme="minorHAnsi" w:cstheme="minorHAnsi"/>
          <w:b/>
          <w:sz w:val="32"/>
          <w:szCs w:val="32"/>
        </w:rPr>
        <w:lastRenderedPageBreak/>
        <w:t>K</w:t>
      </w:r>
      <w:r w:rsidR="00A4466E" w:rsidRPr="00E56406">
        <w:rPr>
          <w:rFonts w:asciiTheme="minorHAnsi" w:hAnsiTheme="minorHAnsi" w:cstheme="minorHAnsi"/>
          <w:b/>
          <w:sz w:val="32"/>
          <w:szCs w:val="32"/>
        </w:rPr>
        <w:t xml:space="preserve">. Wysokość dostępnych środków przeznaczonych na realizację LSR w ramach </w:t>
      </w:r>
      <w:r w:rsidR="00B8468D" w:rsidRPr="00E56406">
        <w:rPr>
          <w:rFonts w:asciiTheme="minorHAnsi" w:hAnsiTheme="minorHAnsi" w:cstheme="minorHAnsi"/>
          <w:b/>
          <w:sz w:val="32"/>
          <w:szCs w:val="32"/>
        </w:rPr>
        <w:t>programu regionalnego Fundusze Europejskie dla Pomorza Zachodniego 2021-2027</w:t>
      </w:r>
    </w:p>
    <w:p w14:paraId="7DC3F59C" w14:textId="77777777" w:rsidR="00281174" w:rsidRDefault="00281174" w:rsidP="00BB06C3">
      <w:pPr>
        <w:pStyle w:val="AkapitStandardowyRyczat"/>
        <w:spacing w:line="276" w:lineRule="auto"/>
        <w:rPr>
          <w:rFonts w:asciiTheme="minorHAnsi" w:hAnsiTheme="minorHAnsi" w:cstheme="minorHAnsi"/>
          <w:sz w:val="24"/>
          <w:szCs w:val="24"/>
        </w:rPr>
      </w:pPr>
    </w:p>
    <w:p w14:paraId="4FAC2FB4" w14:textId="6D6C0730" w:rsidR="00B877FF" w:rsidRPr="00E56406" w:rsidRDefault="00B8468D" w:rsidP="00BB06C3">
      <w:pPr>
        <w:pStyle w:val="AkapitStandardowyRyczat"/>
        <w:spacing w:line="276" w:lineRule="auto"/>
        <w:rPr>
          <w:rFonts w:asciiTheme="minorHAnsi" w:hAnsiTheme="minorHAnsi" w:cstheme="minorHAnsi"/>
          <w:sz w:val="24"/>
          <w:szCs w:val="24"/>
        </w:rPr>
      </w:pPr>
      <w:r w:rsidRPr="00E56406">
        <w:rPr>
          <w:rFonts w:asciiTheme="minorHAnsi" w:hAnsiTheme="minorHAnsi" w:cstheme="minorHAnsi"/>
          <w:sz w:val="24"/>
          <w:szCs w:val="24"/>
        </w:rPr>
        <w:t xml:space="preserve">Wysokość dostępnych środków EFS+ przeznaczonych na realizację LSR w </w:t>
      </w:r>
      <w:r w:rsidR="00AD3D89" w:rsidRPr="00E56406">
        <w:rPr>
          <w:rFonts w:asciiTheme="minorHAnsi" w:hAnsiTheme="minorHAnsi" w:cstheme="minorHAnsi"/>
          <w:sz w:val="24"/>
          <w:szCs w:val="24"/>
        </w:rPr>
        <w:t>ramach programu regionalnego Fundusze Europejskie dla Pomorza Zachodniego 2021-2027 wynosi 20</w:t>
      </w:r>
      <w:r w:rsidR="00B877FF" w:rsidRPr="00E56406">
        <w:rPr>
          <w:rFonts w:asciiTheme="minorHAnsi" w:hAnsiTheme="minorHAnsi" w:cstheme="minorHAnsi"/>
          <w:sz w:val="24"/>
          <w:szCs w:val="24"/>
        </w:rPr>
        <w:t> 000 000 EUR</w:t>
      </w:r>
      <w:r w:rsidR="00281174" w:rsidRPr="00281174">
        <w:rPr>
          <w:rFonts w:asciiTheme="minorHAnsi" w:hAnsiTheme="minorHAnsi" w:cstheme="minorHAnsi"/>
          <w:sz w:val="24"/>
          <w:szCs w:val="24"/>
        </w:rPr>
        <w:t xml:space="preserve">, </w:t>
      </w:r>
      <w:r w:rsidR="00F65ED9">
        <w:rPr>
          <w:rFonts w:asciiTheme="minorHAnsi" w:hAnsiTheme="minorHAnsi" w:cstheme="minorHAnsi"/>
          <w:sz w:val="24"/>
          <w:szCs w:val="24"/>
        </w:rPr>
        <w:t xml:space="preserve">w tym na Wdrożenie LSR 17 000 000 EUR i </w:t>
      </w:r>
      <w:r w:rsidR="00281174" w:rsidRPr="00281174">
        <w:rPr>
          <w:rFonts w:asciiTheme="minorHAnsi" w:hAnsiTheme="minorHAnsi" w:cstheme="minorHAnsi"/>
          <w:sz w:val="24"/>
          <w:szCs w:val="24"/>
        </w:rPr>
        <w:t>na Zarządzanie LSR</w:t>
      </w:r>
      <w:r w:rsidR="00F65ED9">
        <w:rPr>
          <w:rFonts w:asciiTheme="minorHAnsi" w:hAnsiTheme="minorHAnsi" w:cstheme="minorHAnsi"/>
          <w:sz w:val="24"/>
          <w:szCs w:val="24"/>
        </w:rPr>
        <w:t xml:space="preserve"> 3 000 000 EUR</w:t>
      </w:r>
      <w:r w:rsidR="00AD3D89" w:rsidRPr="00E56406">
        <w:rPr>
          <w:rFonts w:asciiTheme="minorHAnsi" w:hAnsiTheme="minorHAnsi" w:cstheme="minorHAnsi"/>
          <w:sz w:val="24"/>
          <w:szCs w:val="24"/>
        </w:rPr>
        <w:t>.</w:t>
      </w:r>
    </w:p>
    <w:p w14:paraId="4DF7C385" w14:textId="2BDD0BFD" w:rsidR="00281174" w:rsidRDefault="00281174" w:rsidP="00281174">
      <w:pPr>
        <w:pStyle w:val="AkapitStandardowyRyczat"/>
        <w:spacing w:before="0" w:after="0" w:line="276" w:lineRule="auto"/>
        <w:rPr>
          <w:color w:val="000000"/>
          <w:sz w:val="24"/>
          <w:szCs w:val="24"/>
        </w:rPr>
      </w:pPr>
      <w:r w:rsidRPr="00A62980">
        <w:rPr>
          <w:color w:val="000000"/>
          <w:sz w:val="24"/>
          <w:szCs w:val="24"/>
        </w:rPr>
        <w:t>Kwotę przewidzianą w LSR ustala się dla każdej LSR jako iloczyn liczbę mieszkańców zamieszkujących obszar danej LSR i kwoty 23,36 EUR, z czego 15% przeznaczone będzie na Zarządzanie LSR.</w:t>
      </w:r>
    </w:p>
    <w:p w14:paraId="5A21A36E" w14:textId="204D9C23" w:rsidR="00F65ED9" w:rsidRPr="00A62980" w:rsidRDefault="00F65ED9" w:rsidP="00281174">
      <w:pPr>
        <w:pStyle w:val="AkapitStandardowyRyczat"/>
        <w:spacing w:before="0" w:after="0" w:line="276" w:lineRule="auto"/>
        <w:rPr>
          <w:color w:val="000000"/>
          <w:sz w:val="24"/>
          <w:szCs w:val="24"/>
        </w:rPr>
      </w:pPr>
      <w:r>
        <w:rPr>
          <w:color w:val="000000"/>
          <w:sz w:val="24"/>
          <w:szCs w:val="24"/>
        </w:rPr>
        <w:t>W przypadku kiedy na etapie ustalenia listy LSR spełniających warunki wyboru okaże się, że przeznaczona kwota na wdrażanie LSR nie została w całości rozdysponowana, Zarząd Województwa Zachodniopomorskiego zastrzega sobie prawo do podzielenia powstałych oszczędności proporcjonalnie pomiędzy te LSR, które zostaną wybrane do realizacji.</w:t>
      </w:r>
    </w:p>
    <w:sectPr w:rsidR="00F65ED9" w:rsidRPr="00A62980" w:rsidSect="005C75E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CF9F" w14:textId="77777777" w:rsidR="00FD21C7" w:rsidRDefault="00FD21C7" w:rsidP="00BB0912">
      <w:pPr>
        <w:spacing w:after="0" w:line="240" w:lineRule="auto"/>
      </w:pPr>
      <w:r>
        <w:separator/>
      </w:r>
    </w:p>
  </w:endnote>
  <w:endnote w:type="continuationSeparator" w:id="0">
    <w:p w14:paraId="0C3F2ADD" w14:textId="77777777" w:rsidR="00FD21C7" w:rsidRDefault="00FD21C7" w:rsidP="00BB0912">
      <w:pPr>
        <w:spacing w:after="0" w:line="240" w:lineRule="auto"/>
      </w:pPr>
      <w:r>
        <w:continuationSeparator/>
      </w:r>
    </w:p>
  </w:endnote>
  <w:endnote w:type="continuationNotice" w:id="1">
    <w:p w14:paraId="5B6F4888" w14:textId="77777777" w:rsidR="00FD21C7" w:rsidRDefault="00FD2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929800"/>
      <w:docPartObj>
        <w:docPartGallery w:val="Page Numbers (Bottom of Page)"/>
        <w:docPartUnique/>
      </w:docPartObj>
    </w:sdtPr>
    <w:sdtEndPr/>
    <w:sdtContent>
      <w:p w14:paraId="732953D8" w14:textId="4E6DAD92" w:rsidR="008D1812" w:rsidRDefault="008D1812">
        <w:pPr>
          <w:pStyle w:val="Stopka"/>
          <w:jc w:val="right"/>
        </w:pPr>
        <w:r>
          <w:fldChar w:fldCharType="begin"/>
        </w:r>
        <w:r>
          <w:instrText>PAGE   \* MERGEFORMAT</w:instrText>
        </w:r>
        <w:r>
          <w:fldChar w:fldCharType="separate"/>
        </w:r>
        <w:r w:rsidR="00867FD1">
          <w:rPr>
            <w:noProof/>
          </w:rPr>
          <w:t>28</w:t>
        </w:r>
        <w:r>
          <w:fldChar w:fldCharType="end"/>
        </w:r>
      </w:p>
    </w:sdtContent>
  </w:sdt>
  <w:p w14:paraId="138278DD" w14:textId="77777777" w:rsidR="008D1812" w:rsidRDefault="008D18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BD8B" w14:textId="77777777" w:rsidR="00FD21C7" w:rsidRDefault="00FD21C7" w:rsidP="00BB0912">
      <w:pPr>
        <w:spacing w:after="0" w:line="240" w:lineRule="auto"/>
      </w:pPr>
      <w:r>
        <w:separator/>
      </w:r>
    </w:p>
  </w:footnote>
  <w:footnote w:type="continuationSeparator" w:id="0">
    <w:p w14:paraId="245C3A14" w14:textId="77777777" w:rsidR="00FD21C7" w:rsidRDefault="00FD21C7" w:rsidP="00BB0912">
      <w:pPr>
        <w:spacing w:after="0" w:line="240" w:lineRule="auto"/>
      </w:pPr>
      <w:r>
        <w:continuationSeparator/>
      </w:r>
    </w:p>
  </w:footnote>
  <w:footnote w:type="continuationNotice" w:id="1">
    <w:p w14:paraId="2D8FFE2E" w14:textId="77777777" w:rsidR="00FD21C7" w:rsidRDefault="00FD21C7">
      <w:pPr>
        <w:spacing w:after="0" w:line="240" w:lineRule="auto"/>
      </w:pPr>
    </w:p>
  </w:footnote>
  <w:footnote w:id="2">
    <w:p w14:paraId="5370F0CB" w14:textId="77777777" w:rsidR="008D1812" w:rsidRDefault="008D1812" w:rsidP="009D16E4">
      <w:pPr>
        <w:pStyle w:val="Tekstprzypisudolnego"/>
      </w:pPr>
      <w:r>
        <w:rPr>
          <w:rStyle w:val="Odwoanieprzypisudolnego"/>
        </w:rPr>
        <w:footnoteRef/>
      </w:r>
      <w:r>
        <w:t xml:space="preserve"> Wg danych GUS na dzień 31.12.2020 r.</w:t>
      </w:r>
    </w:p>
  </w:footnote>
  <w:footnote w:id="3">
    <w:p w14:paraId="3B811764" w14:textId="77777777" w:rsidR="008D1812" w:rsidRDefault="008D1812" w:rsidP="009D16E4">
      <w:pPr>
        <w:pStyle w:val="Tekstprzypisudolnego"/>
      </w:pPr>
      <w:r>
        <w:rPr>
          <w:rStyle w:val="Odwoanieprzypisudolnego"/>
        </w:rPr>
        <w:footnoteRef/>
      </w:r>
      <w:r>
        <w:t xml:space="preserve"> Wg danych GUS na dzień 31.12.2020 r.</w:t>
      </w:r>
    </w:p>
  </w:footnote>
  <w:footnote w:id="4">
    <w:p w14:paraId="57944A49" w14:textId="77777777" w:rsidR="008D1812" w:rsidRDefault="008D1812" w:rsidP="00F853A2">
      <w:pPr>
        <w:pStyle w:val="Tekstprzypisudolnego"/>
      </w:pPr>
      <w:r>
        <w:rPr>
          <w:rStyle w:val="Odwoanieprzypisudolnego"/>
        </w:rPr>
        <w:footnoteRef/>
      </w:r>
      <w:r>
        <w:t xml:space="preserve"> symbol „&gt;=” oznacza „większy lub równy niż”, a symbol „&lt;” oznacza „mniejszy niż”. Obliczenia należy wykonywać z czterema miejscami po przecinku.</w:t>
      </w:r>
    </w:p>
  </w:footnote>
  <w:footnote w:id="5">
    <w:p w14:paraId="22BD8978" w14:textId="77777777" w:rsidR="008D1812" w:rsidRDefault="008D1812" w:rsidP="009D16E4">
      <w:pPr>
        <w:pStyle w:val="Tekstprzypisudolnego"/>
      </w:pPr>
      <w:r>
        <w:rPr>
          <w:rStyle w:val="Odwoanieprzypisudolnego"/>
        </w:rPr>
        <w:footnoteRef/>
      </w:r>
      <w:r>
        <w:t xml:space="preserve"> Wg danych GUS na dzień 31.12.2020 r.</w:t>
      </w:r>
    </w:p>
  </w:footnote>
  <w:footnote w:id="6">
    <w:p w14:paraId="6EF2B9B1" w14:textId="77777777" w:rsidR="008D1812" w:rsidRDefault="008D1812" w:rsidP="00F853A2">
      <w:pPr>
        <w:pStyle w:val="Tekstprzypisudolnego"/>
      </w:pPr>
      <w:r>
        <w:rPr>
          <w:rStyle w:val="Odwoanieprzypisudolnego"/>
        </w:rPr>
        <w:footnoteRef/>
      </w:r>
      <w:r>
        <w:t xml:space="preserve"> symbol „&gt;=” oznacza „większy lub równy niż”, a symbol „&lt;” oznacza „mniejszy niż”. Obliczenia należy wykonywać z czterema miejscami po przecinku.</w:t>
      </w:r>
    </w:p>
  </w:footnote>
  <w:footnote w:id="7">
    <w:p w14:paraId="521152C6" w14:textId="77777777" w:rsidR="008D1812" w:rsidRDefault="008D1812" w:rsidP="008F04E7">
      <w:pPr>
        <w:pStyle w:val="Tekstprzypisudolnego"/>
      </w:pPr>
      <w:r>
        <w:rPr>
          <w:rStyle w:val="Odwoanieprzypisudolnego"/>
        </w:rPr>
        <w:footnoteRef/>
      </w:r>
      <w:r>
        <w:t xml:space="preserve"> Wg danych GUS na dzień 31.12.2020 </w:t>
      </w:r>
    </w:p>
  </w:footnote>
  <w:footnote w:id="8">
    <w:p w14:paraId="7DA161AC" w14:textId="77777777" w:rsidR="008D1812" w:rsidRDefault="008D1812" w:rsidP="008F04E7">
      <w:pPr>
        <w:pStyle w:val="Tekstprzypisudolnego"/>
      </w:pPr>
      <w:r>
        <w:rPr>
          <w:rStyle w:val="Odwoanieprzypisudolnego"/>
        </w:rPr>
        <w:footnoteRef/>
      </w:r>
      <w:r>
        <w:t xml:space="preserve"> Wg danych GUS na rok 2020</w:t>
      </w:r>
    </w:p>
  </w:footnote>
  <w:footnote w:id="9">
    <w:p w14:paraId="332D0B55" w14:textId="77777777" w:rsidR="008D1812" w:rsidRDefault="008D1812" w:rsidP="008F04E7">
      <w:pPr>
        <w:pStyle w:val="Tekstprzypisudolnego"/>
      </w:pPr>
      <w:r>
        <w:rPr>
          <w:rStyle w:val="Odwoanieprzypisudolnego"/>
        </w:rPr>
        <w:footnoteRef/>
      </w:r>
      <w:r>
        <w:t xml:space="preserve"> Wg danych GUS na rok 2020</w:t>
      </w:r>
    </w:p>
  </w:footnote>
  <w:footnote w:id="10">
    <w:p w14:paraId="62187B7E" w14:textId="77777777" w:rsidR="008D1812" w:rsidRDefault="008D1812" w:rsidP="008F04E7">
      <w:pPr>
        <w:pStyle w:val="Tekstprzypisudolnego"/>
      </w:pPr>
      <w:r>
        <w:rPr>
          <w:rStyle w:val="Odwoanieprzypisudolnego"/>
        </w:rPr>
        <w:footnoteRef/>
      </w:r>
      <w:r>
        <w:t xml:space="preserve"> Wg danych GUS na rok 2020</w:t>
      </w:r>
    </w:p>
  </w:footnote>
  <w:footnote w:id="11">
    <w:p w14:paraId="604672C7" w14:textId="77777777" w:rsidR="008D1812" w:rsidRDefault="008D1812" w:rsidP="008F04E7">
      <w:pPr>
        <w:pStyle w:val="Tekstprzypisudolnego"/>
      </w:pPr>
      <w:r>
        <w:rPr>
          <w:rStyle w:val="Odwoanieprzypisudolnego"/>
        </w:rPr>
        <w:footnoteRef/>
      </w:r>
      <w:r>
        <w:t xml:space="preserve"> Wg danych GUS na rok 2020</w:t>
      </w:r>
    </w:p>
  </w:footnote>
  <w:footnote w:id="12">
    <w:p w14:paraId="09AE2C9D" w14:textId="77777777" w:rsidR="008D1812" w:rsidRDefault="008D1812" w:rsidP="008F04E7">
      <w:pPr>
        <w:pStyle w:val="Tekstprzypisudolnego"/>
      </w:pPr>
      <w:r>
        <w:rPr>
          <w:rStyle w:val="Odwoanieprzypisudolnego"/>
        </w:rPr>
        <w:footnoteRef/>
      </w:r>
      <w:r>
        <w:t xml:space="preserve"> Wg danych GUS na rok 2020</w:t>
      </w:r>
    </w:p>
  </w:footnote>
  <w:footnote w:id="13">
    <w:p w14:paraId="79F24139" w14:textId="77777777" w:rsidR="008D1812" w:rsidRDefault="008D1812" w:rsidP="008F04E7">
      <w:pPr>
        <w:pStyle w:val="Tekstprzypisudolnego"/>
      </w:pPr>
      <w:r>
        <w:rPr>
          <w:rStyle w:val="Odwoanieprzypisudolnego"/>
        </w:rPr>
        <w:footnoteRef/>
      </w:r>
      <w:r>
        <w:t xml:space="preserve"> Wg danych GUS na dzień 31.12.2020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69"/>
    <w:multiLevelType w:val="hybridMultilevel"/>
    <w:tmpl w:val="209AFF1A"/>
    <w:lvl w:ilvl="0" w:tplc="381865D0">
      <w:start w:val="1"/>
      <w:numFmt w:val="decimal"/>
      <w:lvlText w:val="%1)"/>
      <w:lvlJc w:val="left"/>
      <w:pPr>
        <w:ind w:left="1069" w:hanging="360"/>
      </w:pPr>
      <w:rPr>
        <w:rFonts w:eastAsiaTheme="minorEastAsia" w:hint="default"/>
        <w:sz w:val="24"/>
        <w:szCs w:val="4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0881E16"/>
    <w:multiLevelType w:val="hybridMultilevel"/>
    <w:tmpl w:val="D7BA9124"/>
    <w:lvl w:ilvl="0" w:tplc="04150001">
      <w:start w:val="1"/>
      <w:numFmt w:val="bullet"/>
      <w:lvlText w:val=""/>
      <w:lvlJc w:val="left"/>
      <w:pPr>
        <w:ind w:left="1490" w:hanging="360"/>
      </w:pPr>
      <w:rPr>
        <w:rFonts w:ascii="Symbol" w:hAnsi="Symbol" w:hint="default"/>
      </w:rPr>
    </w:lvl>
    <w:lvl w:ilvl="1" w:tplc="04150003">
      <w:start w:val="1"/>
      <w:numFmt w:val="bullet"/>
      <w:lvlText w:val="o"/>
      <w:lvlJc w:val="left"/>
      <w:pPr>
        <w:ind w:left="2210" w:hanging="360"/>
      </w:pPr>
      <w:rPr>
        <w:rFonts w:ascii="Courier New" w:hAnsi="Courier New" w:cs="Courier New" w:hint="default"/>
      </w:rPr>
    </w:lvl>
    <w:lvl w:ilvl="2" w:tplc="04150005">
      <w:start w:val="1"/>
      <w:numFmt w:val="bullet"/>
      <w:lvlText w:val=""/>
      <w:lvlJc w:val="left"/>
      <w:pPr>
        <w:ind w:left="2930" w:hanging="360"/>
      </w:pPr>
      <w:rPr>
        <w:rFonts w:ascii="Wingdings" w:hAnsi="Wingdings" w:hint="default"/>
      </w:rPr>
    </w:lvl>
    <w:lvl w:ilvl="3" w:tplc="04150001">
      <w:start w:val="1"/>
      <w:numFmt w:val="bullet"/>
      <w:lvlText w:val=""/>
      <w:lvlJc w:val="left"/>
      <w:pPr>
        <w:ind w:left="3650" w:hanging="360"/>
      </w:pPr>
      <w:rPr>
        <w:rFonts w:ascii="Symbol" w:hAnsi="Symbol" w:hint="default"/>
      </w:rPr>
    </w:lvl>
    <w:lvl w:ilvl="4" w:tplc="04150003">
      <w:start w:val="1"/>
      <w:numFmt w:val="bullet"/>
      <w:lvlText w:val="o"/>
      <w:lvlJc w:val="left"/>
      <w:pPr>
        <w:ind w:left="4370" w:hanging="360"/>
      </w:pPr>
      <w:rPr>
        <w:rFonts w:ascii="Courier New" w:hAnsi="Courier New" w:cs="Courier New" w:hint="default"/>
      </w:rPr>
    </w:lvl>
    <w:lvl w:ilvl="5" w:tplc="04150005">
      <w:start w:val="1"/>
      <w:numFmt w:val="bullet"/>
      <w:lvlText w:val=""/>
      <w:lvlJc w:val="left"/>
      <w:pPr>
        <w:ind w:left="5090" w:hanging="360"/>
      </w:pPr>
      <w:rPr>
        <w:rFonts w:ascii="Wingdings" w:hAnsi="Wingdings" w:hint="default"/>
      </w:rPr>
    </w:lvl>
    <w:lvl w:ilvl="6" w:tplc="04150001">
      <w:start w:val="1"/>
      <w:numFmt w:val="bullet"/>
      <w:lvlText w:val=""/>
      <w:lvlJc w:val="left"/>
      <w:pPr>
        <w:ind w:left="5810" w:hanging="360"/>
      </w:pPr>
      <w:rPr>
        <w:rFonts w:ascii="Symbol" w:hAnsi="Symbol" w:hint="default"/>
      </w:rPr>
    </w:lvl>
    <w:lvl w:ilvl="7" w:tplc="04150003">
      <w:start w:val="1"/>
      <w:numFmt w:val="bullet"/>
      <w:lvlText w:val="o"/>
      <w:lvlJc w:val="left"/>
      <w:pPr>
        <w:ind w:left="6530" w:hanging="360"/>
      </w:pPr>
      <w:rPr>
        <w:rFonts w:ascii="Courier New" w:hAnsi="Courier New" w:cs="Courier New" w:hint="default"/>
      </w:rPr>
    </w:lvl>
    <w:lvl w:ilvl="8" w:tplc="04150005">
      <w:start w:val="1"/>
      <w:numFmt w:val="bullet"/>
      <w:lvlText w:val=""/>
      <w:lvlJc w:val="left"/>
      <w:pPr>
        <w:ind w:left="7250" w:hanging="360"/>
      </w:pPr>
      <w:rPr>
        <w:rFonts w:ascii="Wingdings" w:hAnsi="Wingdings" w:hint="default"/>
      </w:rPr>
    </w:lvl>
  </w:abstractNum>
  <w:abstractNum w:abstractNumId="2" w15:restartNumberingAfterBreak="0">
    <w:nsid w:val="0E5162ED"/>
    <w:multiLevelType w:val="hybridMultilevel"/>
    <w:tmpl w:val="EDD23AA6"/>
    <w:lvl w:ilvl="0" w:tplc="04150011">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 w15:restartNumberingAfterBreak="0">
    <w:nsid w:val="0F892433"/>
    <w:multiLevelType w:val="hybridMultilevel"/>
    <w:tmpl w:val="00D2BE44"/>
    <w:lvl w:ilvl="0" w:tplc="EA08D084">
      <w:start w:val="1"/>
      <w:numFmt w:val="bullet"/>
      <w:lvlText w:val="•"/>
      <w:lvlJc w:val="left"/>
      <w:pPr>
        <w:tabs>
          <w:tab w:val="num" w:pos="720"/>
        </w:tabs>
        <w:ind w:left="720" w:hanging="360"/>
      </w:pPr>
      <w:rPr>
        <w:rFonts w:ascii="Arial" w:hAnsi="Arial" w:hint="default"/>
      </w:rPr>
    </w:lvl>
    <w:lvl w:ilvl="1" w:tplc="16BC6E4E" w:tentative="1">
      <w:start w:val="1"/>
      <w:numFmt w:val="bullet"/>
      <w:lvlText w:val="•"/>
      <w:lvlJc w:val="left"/>
      <w:pPr>
        <w:tabs>
          <w:tab w:val="num" w:pos="1440"/>
        </w:tabs>
        <w:ind w:left="1440" w:hanging="360"/>
      </w:pPr>
      <w:rPr>
        <w:rFonts w:ascii="Arial" w:hAnsi="Arial" w:hint="default"/>
      </w:rPr>
    </w:lvl>
    <w:lvl w:ilvl="2" w:tplc="2A123B80" w:tentative="1">
      <w:start w:val="1"/>
      <w:numFmt w:val="bullet"/>
      <w:lvlText w:val="•"/>
      <w:lvlJc w:val="left"/>
      <w:pPr>
        <w:tabs>
          <w:tab w:val="num" w:pos="2160"/>
        </w:tabs>
        <w:ind w:left="2160" w:hanging="360"/>
      </w:pPr>
      <w:rPr>
        <w:rFonts w:ascii="Arial" w:hAnsi="Arial" w:hint="default"/>
      </w:rPr>
    </w:lvl>
    <w:lvl w:ilvl="3" w:tplc="0E86AAC4" w:tentative="1">
      <w:start w:val="1"/>
      <w:numFmt w:val="bullet"/>
      <w:lvlText w:val="•"/>
      <w:lvlJc w:val="left"/>
      <w:pPr>
        <w:tabs>
          <w:tab w:val="num" w:pos="2880"/>
        </w:tabs>
        <w:ind w:left="2880" w:hanging="360"/>
      </w:pPr>
      <w:rPr>
        <w:rFonts w:ascii="Arial" w:hAnsi="Arial" w:hint="default"/>
      </w:rPr>
    </w:lvl>
    <w:lvl w:ilvl="4" w:tplc="A364AAAE" w:tentative="1">
      <w:start w:val="1"/>
      <w:numFmt w:val="bullet"/>
      <w:lvlText w:val="•"/>
      <w:lvlJc w:val="left"/>
      <w:pPr>
        <w:tabs>
          <w:tab w:val="num" w:pos="3600"/>
        </w:tabs>
        <w:ind w:left="3600" w:hanging="360"/>
      </w:pPr>
      <w:rPr>
        <w:rFonts w:ascii="Arial" w:hAnsi="Arial" w:hint="default"/>
      </w:rPr>
    </w:lvl>
    <w:lvl w:ilvl="5" w:tplc="526665FC" w:tentative="1">
      <w:start w:val="1"/>
      <w:numFmt w:val="bullet"/>
      <w:lvlText w:val="•"/>
      <w:lvlJc w:val="left"/>
      <w:pPr>
        <w:tabs>
          <w:tab w:val="num" w:pos="4320"/>
        </w:tabs>
        <w:ind w:left="4320" w:hanging="360"/>
      </w:pPr>
      <w:rPr>
        <w:rFonts w:ascii="Arial" w:hAnsi="Arial" w:hint="default"/>
      </w:rPr>
    </w:lvl>
    <w:lvl w:ilvl="6" w:tplc="01904306" w:tentative="1">
      <w:start w:val="1"/>
      <w:numFmt w:val="bullet"/>
      <w:lvlText w:val="•"/>
      <w:lvlJc w:val="left"/>
      <w:pPr>
        <w:tabs>
          <w:tab w:val="num" w:pos="5040"/>
        </w:tabs>
        <w:ind w:left="5040" w:hanging="360"/>
      </w:pPr>
      <w:rPr>
        <w:rFonts w:ascii="Arial" w:hAnsi="Arial" w:hint="default"/>
      </w:rPr>
    </w:lvl>
    <w:lvl w:ilvl="7" w:tplc="C35AFE54" w:tentative="1">
      <w:start w:val="1"/>
      <w:numFmt w:val="bullet"/>
      <w:lvlText w:val="•"/>
      <w:lvlJc w:val="left"/>
      <w:pPr>
        <w:tabs>
          <w:tab w:val="num" w:pos="5760"/>
        </w:tabs>
        <w:ind w:left="5760" w:hanging="360"/>
      </w:pPr>
      <w:rPr>
        <w:rFonts w:ascii="Arial" w:hAnsi="Arial" w:hint="default"/>
      </w:rPr>
    </w:lvl>
    <w:lvl w:ilvl="8" w:tplc="9D7E6C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140ED4"/>
    <w:multiLevelType w:val="hybridMultilevel"/>
    <w:tmpl w:val="1B12CEF0"/>
    <w:lvl w:ilvl="0" w:tplc="5484E15E">
      <w:start w:val="1"/>
      <w:numFmt w:val="bullet"/>
      <w:lvlText w:val="•"/>
      <w:lvlJc w:val="left"/>
      <w:pPr>
        <w:tabs>
          <w:tab w:val="num" w:pos="720"/>
        </w:tabs>
        <w:ind w:left="720" w:hanging="360"/>
      </w:pPr>
      <w:rPr>
        <w:rFonts w:ascii="Arial" w:hAnsi="Arial" w:hint="default"/>
      </w:rPr>
    </w:lvl>
    <w:lvl w:ilvl="1" w:tplc="92FA29BE" w:tentative="1">
      <w:start w:val="1"/>
      <w:numFmt w:val="bullet"/>
      <w:lvlText w:val="•"/>
      <w:lvlJc w:val="left"/>
      <w:pPr>
        <w:tabs>
          <w:tab w:val="num" w:pos="1440"/>
        </w:tabs>
        <w:ind w:left="1440" w:hanging="360"/>
      </w:pPr>
      <w:rPr>
        <w:rFonts w:ascii="Arial" w:hAnsi="Arial" w:hint="default"/>
      </w:rPr>
    </w:lvl>
    <w:lvl w:ilvl="2" w:tplc="CA7ED4E6" w:tentative="1">
      <w:start w:val="1"/>
      <w:numFmt w:val="bullet"/>
      <w:lvlText w:val="•"/>
      <w:lvlJc w:val="left"/>
      <w:pPr>
        <w:tabs>
          <w:tab w:val="num" w:pos="2160"/>
        </w:tabs>
        <w:ind w:left="2160" w:hanging="360"/>
      </w:pPr>
      <w:rPr>
        <w:rFonts w:ascii="Arial" w:hAnsi="Arial" w:hint="default"/>
      </w:rPr>
    </w:lvl>
    <w:lvl w:ilvl="3" w:tplc="370C26F2" w:tentative="1">
      <w:start w:val="1"/>
      <w:numFmt w:val="bullet"/>
      <w:lvlText w:val="•"/>
      <w:lvlJc w:val="left"/>
      <w:pPr>
        <w:tabs>
          <w:tab w:val="num" w:pos="2880"/>
        </w:tabs>
        <w:ind w:left="2880" w:hanging="360"/>
      </w:pPr>
      <w:rPr>
        <w:rFonts w:ascii="Arial" w:hAnsi="Arial" w:hint="default"/>
      </w:rPr>
    </w:lvl>
    <w:lvl w:ilvl="4" w:tplc="5456C792" w:tentative="1">
      <w:start w:val="1"/>
      <w:numFmt w:val="bullet"/>
      <w:lvlText w:val="•"/>
      <w:lvlJc w:val="left"/>
      <w:pPr>
        <w:tabs>
          <w:tab w:val="num" w:pos="3600"/>
        </w:tabs>
        <w:ind w:left="3600" w:hanging="360"/>
      </w:pPr>
      <w:rPr>
        <w:rFonts w:ascii="Arial" w:hAnsi="Arial" w:hint="default"/>
      </w:rPr>
    </w:lvl>
    <w:lvl w:ilvl="5" w:tplc="E0329C3C" w:tentative="1">
      <w:start w:val="1"/>
      <w:numFmt w:val="bullet"/>
      <w:lvlText w:val="•"/>
      <w:lvlJc w:val="left"/>
      <w:pPr>
        <w:tabs>
          <w:tab w:val="num" w:pos="4320"/>
        </w:tabs>
        <w:ind w:left="4320" w:hanging="360"/>
      </w:pPr>
      <w:rPr>
        <w:rFonts w:ascii="Arial" w:hAnsi="Arial" w:hint="default"/>
      </w:rPr>
    </w:lvl>
    <w:lvl w:ilvl="6" w:tplc="3F6214DA" w:tentative="1">
      <w:start w:val="1"/>
      <w:numFmt w:val="bullet"/>
      <w:lvlText w:val="•"/>
      <w:lvlJc w:val="left"/>
      <w:pPr>
        <w:tabs>
          <w:tab w:val="num" w:pos="5040"/>
        </w:tabs>
        <w:ind w:left="5040" w:hanging="360"/>
      </w:pPr>
      <w:rPr>
        <w:rFonts w:ascii="Arial" w:hAnsi="Arial" w:hint="default"/>
      </w:rPr>
    </w:lvl>
    <w:lvl w:ilvl="7" w:tplc="74B2741C" w:tentative="1">
      <w:start w:val="1"/>
      <w:numFmt w:val="bullet"/>
      <w:lvlText w:val="•"/>
      <w:lvlJc w:val="left"/>
      <w:pPr>
        <w:tabs>
          <w:tab w:val="num" w:pos="5760"/>
        </w:tabs>
        <w:ind w:left="5760" w:hanging="360"/>
      </w:pPr>
      <w:rPr>
        <w:rFonts w:ascii="Arial" w:hAnsi="Arial" w:hint="default"/>
      </w:rPr>
    </w:lvl>
    <w:lvl w:ilvl="8" w:tplc="CE72A5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77A5E"/>
    <w:multiLevelType w:val="hybridMultilevel"/>
    <w:tmpl w:val="830CDB7A"/>
    <w:lvl w:ilvl="0" w:tplc="76BC6D26">
      <w:start w:val="1"/>
      <w:numFmt w:val="bullet"/>
      <w:lvlText w:val="•"/>
      <w:lvlJc w:val="left"/>
      <w:pPr>
        <w:tabs>
          <w:tab w:val="num" w:pos="720"/>
        </w:tabs>
        <w:ind w:left="720" w:hanging="360"/>
      </w:pPr>
      <w:rPr>
        <w:rFonts w:ascii="Arial" w:hAnsi="Arial" w:hint="default"/>
      </w:rPr>
    </w:lvl>
    <w:lvl w:ilvl="1" w:tplc="BF6AD816" w:tentative="1">
      <w:start w:val="1"/>
      <w:numFmt w:val="bullet"/>
      <w:lvlText w:val="•"/>
      <w:lvlJc w:val="left"/>
      <w:pPr>
        <w:tabs>
          <w:tab w:val="num" w:pos="1440"/>
        </w:tabs>
        <w:ind w:left="1440" w:hanging="360"/>
      </w:pPr>
      <w:rPr>
        <w:rFonts w:ascii="Arial" w:hAnsi="Arial" w:hint="default"/>
      </w:rPr>
    </w:lvl>
    <w:lvl w:ilvl="2" w:tplc="446E92DE" w:tentative="1">
      <w:start w:val="1"/>
      <w:numFmt w:val="bullet"/>
      <w:lvlText w:val="•"/>
      <w:lvlJc w:val="left"/>
      <w:pPr>
        <w:tabs>
          <w:tab w:val="num" w:pos="2160"/>
        </w:tabs>
        <w:ind w:left="2160" w:hanging="360"/>
      </w:pPr>
      <w:rPr>
        <w:rFonts w:ascii="Arial" w:hAnsi="Arial" w:hint="default"/>
      </w:rPr>
    </w:lvl>
    <w:lvl w:ilvl="3" w:tplc="B56C6E0C" w:tentative="1">
      <w:start w:val="1"/>
      <w:numFmt w:val="bullet"/>
      <w:lvlText w:val="•"/>
      <w:lvlJc w:val="left"/>
      <w:pPr>
        <w:tabs>
          <w:tab w:val="num" w:pos="2880"/>
        </w:tabs>
        <w:ind w:left="2880" w:hanging="360"/>
      </w:pPr>
      <w:rPr>
        <w:rFonts w:ascii="Arial" w:hAnsi="Arial" w:hint="default"/>
      </w:rPr>
    </w:lvl>
    <w:lvl w:ilvl="4" w:tplc="2C2846CC" w:tentative="1">
      <w:start w:val="1"/>
      <w:numFmt w:val="bullet"/>
      <w:lvlText w:val="•"/>
      <w:lvlJc w:val="left"/>
      <w:pPr>
        <w:tabs>
          <w:tab w:val="num" w:pos="3600"/>
        </w:tabs>
        <w:ind w:left="3600" w:hanging="360"/>
      </w:pPr>
      <w:rPr>
        <w:rFonts w:ascii="Arial" w:hAnsi="Arial" w:hint="default"/>
      </w:rPr>
    </w:lvl>
    <w:lvl w:ilvl="5" w:tplc="6292D4E6" w:tentative="1">
      <w:start w:val="1"/>
      <w:numFmt w:val="bullet"/>
      <w:lvlText w:val="•"/>
      <w:lvlJc w:val="left"/>
      <w:pPr>
        <w:tabs>
          <w:tab w:val="num" w:pos="4320"/>
        </w:tabs>
        <w:ind w:left="4320" w:hanging="360"/>
      </w:pPr>
      <w:rPr>
        <w:rFonts w:ascii="Arial" w:hAnsi="Arial" w:hint="default"/>
      </w:rPr>
    </w:lvl>
    <w:lvl w:ilvl="6" w:tplc="368634FC" w:tentative="1">
      <w:start w:val="1"/>
      <w:numFmt w:val="bullet"/>
      <w:lvlText w:val="•"/>
      <w:lvlJc w:val="left"/>
      <w:pPr>
        <w:tabs>
          <w:tab w:val="num" w:pos="5040"/>
        </w:tabs>
        <w:ind w:left="5040" w:hanging="360"/>
      </w:pPr>
      <w:rPr>
        <w:rFonts w:ascii="Arial" w:hAnsi="Arial" w:hint="default"/>
      </w:rPr>
    </w:lvl>
    <w:lvl w:ilvl="7" w:tplc="18D06084" w:tentative="1">
      <w:start w:val="1"/>
      <w:numFmt w:val="bullet"/>
      <w:lvlText w:val="•"/>
      <w:lvlJc w:val="left"/>
      <w:pPr>
        <w:tabs>
          <w:tab w:val="num" w:pos="5760"/>
        </w:tabs>
        <w:ind w:left="5760" w:hanging="360"/>
      </w:pPr>
      <w:rPr>
        <w:rFonts w:ascii="Arial" w:hAnsi="Arial" w:hint="default"/>
      </w:rPr>
    </w:lvl>
    <w:lvl w:ilvl="8" w:tplc="1256AD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FB615B"/>
    <w:multiLevelType w:val="hybridMultilevel"/>
    <w:tmpl w:val="3B604EB0"/>
    <w:lvl w:ilvl="0" w:tplc="38C097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5A1778A"/>
    <w:multiLevelType w:val="hybridMultilevel"/>
    <w:tmpl w:val="1248A52E"/>
    <w:lvl w:ilvl="0" w:tplc="6F8847B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806DC"/>
    <w:multiLevelType w:val="hybridMultilevel"/>
    <w:tmpl w:val="50B81622"/>
    <w:lvl w:ilvl="0" w:tplc="043E1FE0">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67A3E"/>
    <w:multiLevelType w:val="hybridMultilevel"/>
    <w:tmpl w:val="E88E0C14"/>
    <w:lvl w:ilvl="0" w:tplc="273EBA0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1E404120"/>
    <w:multiLevelType w:val="hybridMultilevel"/>
    <w:tmpl w:val="B024C758"/>
    <w:lvl w:ilvl="0" w:tplc="303031C0">
      <w:start w:val="1"/>
      <w:numFmt w:val="decimal"/>
      <w:lvlText w:val="%1."/>
      <w:lvlJc w:val="left"/>
      <w:pPr>
        <w:ind w:left="1080" w:hanging="72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C1194"/>
    <w:multiLevelType w:val="hybridMultilevel"/>
    <w:tmpl w:val="BF06D17E"/>
    <w:lvl w:ilvl="0" w:tplc="448AD438">
      <w:start w:val="1"/>
      <w:numFmt w:val="decimal"/>
      <w:lvlText w:val="%1."/>
      <w:lvlJc w:val="left"/>
      <w:pPr>
        <w:ind w:left="1080" w:hanging="72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7769C"/>
    <w:multiLevelType w:val="hybridMultilevel"/>
    <w:tmpl w:val="2938C5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8A62BE1"/>
    <w:multiLevelType w:val="hybridMultilevel"/>
    <w:tmpl w:val="24264D3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4" w15:restartNumberingAfterBreak="0">
    <w:nsid w:val="2991563E"/>
    <w:multiLevelType w:val="hybridMultilevel"/>
    <w:tmpl w:val="AD7C0E40"/>
    <w:lvl w:ilvl="0" w:tplc="5BC60CA2">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D6AD1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50290B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B7CD5E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0483F9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BD894B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B5ECBA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3AFD0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4149F1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AEA0CB9"/>
    <w:multiLevelType w:val="hybridMultilevel"/>
    <w:tmpl w:val="69381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DB2319"/>
    <w:multiLevelType w:val="hybridMultilevel"/>
    <w:tmpl w:val="E97612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5E46F3"/>
    <w:multiLevelType w:val="hybridMultilevel"/>
    <w:tmpl w:val="E11A4E9E"/>
    <w:lvl w:ilvl="0" w:tplc="59F0ABD4">
      <w:start w:val="1"/>
      <w:numFmt w:val="decimal"/>
      <w:lvlText w:val="%1."/>
      <w:lvlJc w:val="left"/>
      <w:pPr>
        <w:ind w:left="720" w:hanging="360"/>
      </w:pPr>
      <w:rPr>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3A16A44"/>
    <w:multiLevelType w:val="hybridMultilevel"/>
    <w:tmpl w:val="00342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030B4A"/>
    <w:multiLevelType w:val="hybridMultilevel"/>
    <w:tmpl w:val="EBD63198"/>
    <w:lvl w:ilvl="0" w:tplc="5DAAB5A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6191F0A"/>
    <w:multiLevelType w:val="multilevel"/>
    <w:tmpl w:val="8D66E590"/>
    <w:lvl w:ilvl="0">
      <w:start w:val="1"/>
      <w:numFmt w:val="decimal"/>
      <w:pStyle w:val="Paragraf"/>
      <w:lvlText w:val="§ %1."/>
      <w:lvlJc w:val="center"/>
      <w:pPr>
        <w:tabs>
          <w:tab w:val="num" w:pos="4679"/>
        </w:tabs>
        <w:ind w:left="4395" w:firstLine="284"/>
      </w:pPr>
      <w:rPr>
        <w:rFonts w:ascii="Times New Roman" w:hAnsi="Times New Roman" w:hint="default"/>
        <w:caps w:val="0"/>
        <w:strike w:val="0"/>
        <w:dstrike w:val="0"/>
        <w:vanish w:val="0"/>
        <w:color w:val="000000"/>
        <w:sz w:val="32"/>
        <w:szCs w:val="26"/>
        <w:vertAlign w:val="baseline"/>
      </w:rPr>
    </w:lvl>
    <w:lvl w:ilvl="1">
      <w:start w:val="1"/>
      <w:numFmt w:val="decimal"/>
      <w:pStyle w:val="Ustp0"/>
      <w:lvlText w:val="%2."/>
      <w:lvlJc w:val="left"/>
      <w:pPr>
        <w:tabs>
          <w:tab w:val="num" w:pos="142"/>
        </w:tabs>
        <w:ind w:left="142"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Times New Roman" w:eastAsia="Times New Roman" w:hAnsi="Times New Roman" w:cs="Times New Roman" w:hint="default"/>
        <w:caps w:val="0"/>
        <w:strike w:val="0"/>
        <w:dstrike w:val="0"/>
        <w:vanish w:val="0"/>
        <w:color w:val="000000"/>
        <w:sz w:val="24"/>
        <w:szCs w:val="22"/>
        <w:vertAlign w:val="baseline"/>
      </w:rPr>
    </w:lvl>
    <w:lvl w:ilvl="4">
      <w:start w:val="1"/>
      <w:numFmt w:val="none"/>
      <w:lvlText w:val=""/>
      <w:lvlJc w:val="left"/>
      <w:pPr>
        <w:tabs>
          <w:tab w:val="num" w:pos="255"/>
        </w:tabs>
        <w:ind w:left="255"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none"/>
      <w:pStyle w:val="Zdanie"/>
      <w:lvlText w:val=""/>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1" w15:restartNumberingAfterBreak="0">
    <w:nsid w:val="36477513"/>
    <w:multiLevelType w:val="hybridMultilevel"/>
    <w:tmpl w:val="8D42BD98"/>
    <w:lvl w:ilvl="0" w:tplc="A1665FB2">
      <w:start w:val="1"/>
      <w:numFmt w:val="decimal"/>
      <w:lvlText w:val="%1."/>
      <w:lvlJc w:val="left"/>
      <w:pPr>
        <w:ind w:left="720" w:hanging="360"/>
      </w:pPr>
      <w:rPr>
        <w:rFonts w:eastAsia="Times New Roman"/>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7A43CB0"/>
    <w:multiLevelType w:val="hybridMultilevel"/>
    <w:tmpl w:val="22F09B6E"/>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3" w15:restartNumberingAfterBreak="0">
    <w:nsid w:val="3A2F60BF"/>
    <w:multiLevelType w:val="hybridMultilevel"/>
    <w:tmpl w:val="DB1EA3F6"/>
    <w:lvl w:ilvl="0" w:tplc="7F40582A">
      <w:start w:val="1"/>
      <w:numFmt w:val="bullet"/>
      <w:lvlText w:val="-"/>
      <w:lvlJc w:val="left"/>
      <w:pPr>
        <w:ind w:left="1004" w:hanging="360"/>
      </w:pPr>
      <w:rPr>
        <w:rFonts w:ascii="Bookman Old Style" w:hAnsi="Bookman Old Style" w:hint="default"/>
        <w:b w:val="0"/>
        <w:i w:val="0"/>
        <w:strike w:val="0"/>
        <w:dstrike w:val="0"/>
        <w:color w:val="000000"/>
        <w:sz w:val="20"/>
        <w:szCs w:val="20"/>
        <w:u w:val="none" w:color="000000"/>
        <w:effect w:val="none"/>
        <w:vertAlign w:val="baseline"/>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15:restartNumberingAfterBreak="0">
    <w:nsid w:val="3B0C6BD0"/>
    <w:multiLevelType w:val="hybridMultilevel"/>
    <w:tmpl w:val="B8A2CB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E155BC0"/>
    <w:multiLevelType w:val="hybridMultilevel"/>
    <w:tmpl w:val="4C34F54A"/>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26" w15:restartNumberingAfterBreak="0">
    <w:nsid w:val="40E6017A"/>
    <w:multiLevelType w:val="hybridMultilevel"/>
    <w:tmpl w:val="A20AE7A4"/>
    <w:lvl w:ilvl="0" w:tplc="2CFE5988">
      <w:start w:val="1"/>
      <w:numFmt w:val="bullet"/>
      <w:lvlText w:val="•"/>
      <w:lvlJc w:val="left"/>
      <w:pPr>
        <w:tabs>
          <w:tab w:val="num" w:pos="720"/>
        </w:tabs>
        <w:ind w:left="720" w:hanging="360"/>
      </w:pPr>
      <w:rPr>
        <w:rFonts w:ascii="Arial" w:hAnsi="Arial" w:hint="default"/>
      </w:rPr>
    </w:lvl>
    <w:lvl w:ilvl="1" w:tplc="13F850C8" w:tentative="1">
      <w:start w:val="1"/>
      <w:numFmt w:val="bullet"/>
      <w:lvlText w:val="•"/>
      <w:lvlJc w:val="left"/>
      <w:pPr>
        <w:tabs>
          <w:tab w:val="num" w:pos="1440"/>
        </w:tabs>
        <w:ind w:left="1440" w:hanging="360"/>
      </w:pPr>
      <w:rPr>
        <w:rFonts w:ascii="Arial" w:hAnsi="Arial" w:hint="default"/>
      </w:rPr>
    </w:lvl>
    <w:lvl w:ilvl="2" w:tplc="A02A1E0C" w:tentative="1">
      <w:start w:val="1"/>
      <w:numFmt w:val="bullet"/>
      <w:lvlText w:val="•"/>
      <w:lvlJc w:val="left"/>
      <w:pPr>
        <w:tabs>
          <w:tab w:val="num" w:pos="2160"/>
        </w:tabs>
        <w:ind w:left="2160" w:hanging="360"/>
      </w:pPr>
      <w:rPr>
        <w:rFonts w:ascii="Arial" w:hAnsi="Arial" w:hint="default"/>
      </w:rPr>
    </w:lvl>
    <w:lvl w:ilvl="3" w:tplc="1FF41B54" w:tentative="1">
      <w:start w:val="1"/>
      <w:numFmt w:val="bullet"/>
      <w:lvlText w:val="•"/>
      <w:lvlJc w:val="left"/>
      <w:pPr>
        <w:tabs>
          <w:tab w:val="num" w:pos="2880"/>
        </w:tabs>
        <w:ind w:left="2880" w:hanging="360"/>
      </w:pPr>
      <w:rPr>
        <w:rFonts w:ascii="Arial" w:hAnsi="Arial" w:hint="default"/>
      </w:rPr>
    </w:lvl>
    <w:lvl w:ilvl="4" w:tplc="DCA08A4E" w:tentative="1">
      <w:start w:val="1"/>
      <w:numFmt w:val="bullet"/>
      <w:lvlText w:val="•"/>
      <w:lvlJc w:val="left"/>
      <w:pPr>
        <w:tabs>
          <w:tab w:val="num" w:pos="3600"/>
        </w:tabs>
        <w:ind w:left="3600" w:hanging="360"/>
      </w:pPr>
      <w:rPr>
        <w:rFonts w:ascii="Arial" w:hAnsi="Arial" w:hint="default"/>
      </w:rPr>
    </w:lvl>
    <w:lvl w:ilvl="5" w:tplc="68AE31D8" w:tentative="1">
      <w:start w:val="1"/>
      <w:numFmt w:val="bullet"/>
      <w:lvlText w:val="•"/>
      <w:lvlJc w:val="left"/>
      <w:pPr>
        <w:tabs>
          <w:tab w:val="num" w:pos="4320"/>
        </w:tabs>
        <w:ind w:left="4320" w:hanging="360"/>
      </w:pPr>
      <w:rPr>
        <w:rFonts w:ascii="Arial" w:hAnsi="Arial" w:hint="default"/>
      </w:rPr>
    </w:lvl>
    <w:lvl w:ilvl="6" w:tplc="B58C42D6" w:tentative="1">
      <w:start w:val="1"/>
      <w:numFmt w:val="bullet"/>
      <w:lvlText w:val="•"/>
      <w:lvlJc w:val="left"/>
      <w:pPr>
        <w:tabs>
          <w:tab w:val="num" w:pos="5040"/>
        </w:tabs>
        <w:ind w:left="5040" w:hanging="360"/>
      </w:pPr>
      <w:rPr>
        <w:rFonts w:ascii="Arial" w:hAnsi="Arial" w:hint="default"/>
      </w:rPr>
    </w:lvl>
    <w:lvl w:ilvl="7" w:tplc="6D8E76A8" w:tentative="1">
      <w:start w:val="1"/>
      <w:numFmt w:val="bullet"/>
      <w:lvlText w:val="•"/>
      <w:lvlJc w:val="left"/>
      <w:pPr>
        <w:tabs>
          <w:tab w:val="num" w:pos="5760"/>
        </w:tabs>
        <w:ind w:left="5760" w:hanging="360"/>
      </w:pPr>
      <w:rPr>
        <w:rFonts w:ascii="Arial" w:hAnsi="Arial" w:hint="default"/>
      </w:rPr>
    </w:lvl>
    <w:lvl w:ilvl="8" w:tplc="7B724B0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A86016"/>
    <w:multiLevelType w:val="hybridMultilevel"/>
    <w:tmpl w:val="EBD63198"/>
    <w:lvl w:ilvl="0" w:tplc="5DAAB5A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491B6546"/>
    <w:multiLevelType w:val="hybridMultilevel"/>
    <w:tmpl w:val="B324E396"/>
    <w:lvl w:ilvl="0" w:tplc="8CC4CBC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F2722E"/>
    <w:multiLevelType w:val="hybridMultilevel"/>
    <w:tmpl w:val="5A085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734B28"/>
    <w:multiLevelType w:val="hybridMultilevel"/>
    <w:tmpl w:val="13502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BF3C2F"/>
    <w:multiLevelType w:val="hybridMultilevel"/>
    <w:tmpl w:val="87AE984E"/>
    <w:lvl w:ilvl="0" w:tplc="67FE1A8C">
      <w:start w:val="1"/>
      <w:numFmt w:val="lowerLetter"/>
      <w:lvlText w:val="%1)"/>
      <w:lvlJc w:val="left"/>
      <w:pPr>
        <w:ind w:left="425" w:hanging="360"/>
      </w:pPr>
      <w:rPr>
        <w:rFonts w:asciiTheme="minorHAnsi" w:eastAsiaTheme="minorEastAsia" w:hAnsiTheme="minorHAnsi" w:cstheme="minorHAnsi" w:hint="default"/>
      </w:r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32" w15:restartNumberingAfterBreak="0">
    <w:nsid w:val="54231480"/>
    <w:multiLevelType w:val="hybridMultilevel"/>
    <w:tmpl w:val="543AA81C"/>
    <w:lvl w:ilvl="0" w:tplc="FB76862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095CA4"/>
    <w:multiLevelType w:val="hybridMultilevel"/>
    <w:tmpl w:val="7020D69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4" w15:restartNumberingAfterBreak="0">
    <w:nsid w:val="5836646E"/>
    <w:multiLevelType w:val="hybridMultilevel"/>
    <w:tmpl w:val="2A823048"/>
    <w:lvl w:ilvl="0" w:tplc="AFCCAF0E">
      <w:start w:val="1"/>
      <w:numFmt w:val="bullet"/>
      <w:lvlText w:val="•"/>
      <w:lvlJc w:val="left"/>
      <w:pPr>
        <w:tabs>
          <w:tab w:val="num" w:pos="720"/>
        </w:tabs>
        <w:ind w:left="720" w:hanging="360"/>
      </w:pPr>
      <w:rPr>
        <w:rFonts w:ascii="Arial" w:hAnsi="Arial" w:hint="default"/>
      </w:rPr>
    </w:lvl>
    <w:lvl w:ilvl="1" w:tplc="51F21470" w:tentative="1">
      <w:start w:val="1"/>
      <w:numFmt w:val="bullet"/>
      <w:lvlText w:val="•"/>
      <w:lvlJc w:val="left"/>
      <w:pPr>
        <w:tabs>
          <w:tab w:val="num" w:pos="1440"/>
        </w:tabs>
        <w:ind w:left="1440" w:hanging="360"/>
      </w:pPr>
      <w:rPr>
        <w:rFonts w:ascii="Arial" w:hAnsi="Arial" w:hint="default"/>
      </w:rPr>
    </w:lvl>
    <w:lvl w:ilvl="2" w:tplc="5448C9E0" w:tentative="1">
      <w:start w:val="1"/>
      <w:numFmt w:val="bullet"/>
      <w:lvlText w:val="•"/>
      <w:lvlJc w:val="left"/>
      <w:pPr>
        <w:tabs>
          <w:tab w:val="num" w:pos="2160"/>
        </w:tabs>
        <w:ind w:left="2160" w:hanging="360"/>
      </w:pPr>
      <w:rPr>
        <w:rFonts w:ascii="Arial" w:hAnsi="Arial" w:hint="default"/>
      </w:rPr>
    </w:lvl>
    <w:lvl w:ilvl="3" w:tplc="2FB0C8A0" w:tentative="1">
      <w:start w:val="1"/>
      <w:numFmt w:val="bullet"/>
      <w:lvlText w:val="•"/>
      <w:lvlJc w:val="left"/>
      <w:pPr>
        <w:tabs>
          <w:tab w:val="num" w:pos="2880"/>
        </w:tabs>
        <w:ind w:left="2880" w:hanging="360"/>
      </w:pPr>
      <w:rPr>
        <w:rFonts w:ascii="Arial" w:hAnsi="Arial" w:hint="default"/>
      </w:rPr>
    </w:lvl>
    <w:lvl w:ilvl="4" w:tplc="24008A18" w:tentative="1">
      <w:start w:val="1"/>
      <w:numFmt w:val="bullet"/>
      <w:lvlText w:val="•"/>
      <w:lvlJc w:val="left"/>
      <w:pPr>
        <w:tabs>
          <w:tab w:val="num" w:pos="3600"/>
        </w:tabs>
        <w:ind w:left="3600" w:hanging="360"/>
      </w:pPr>
      <w:rPr>
        <w:rFonts w:ascii="Arial" w:hAnsi="Arial" w:hint="default"/>
      </w:rPr>
    </w:lvl>
    <w:lvl w:ilvl="5" w:tplc="3D208276" w:tentative="1">
      <w:start w:val="1"/>
      <w:numFmt w:val="bullet"/>
      <w:lvlText w:val="•"/>
      <w:lvlJc w:val="left"/>
      <w:pPr>
        <w:tabs>
          <w:tab w:val="num" w:pos="4320"/>
        </w:tabs>
        <w:ind w:left="4320" w:hanging="360"/>
      </w:pPr>
      <w:rPr>
        <w:rFonts w:ascii="Arial" w:hAnsi="Arial" w:hint="default"/>
      </w:rPr>
    </w:lvl>
    <w:lvl w:ilvl="6" w:tplc="5FA2419A" w:tentative="1">
      <w:start w:val="1"/>
      <w:numFmt w:val="bullet"/>
      <w:lvlText w:val="•"/>
      <w:lvlJc w:val="left"/>
      <w:pPr>
        <w:tabs>
          <w:tab w:val="num" w:pos="5040"/>
        </w:tabs>
        <w:ind w:left="5040" w:hanging="360"/>
      </w:pPr>
      <w:rPr>
        <w:rFonts w:ascii="Arial" w:hAnsi="Arial" w:hint="default"/>
      </w:rPr>
    </w:lvl>
    <w:lvl w:ilvl="7" w:tplc="262A9E52" w:tentative="1">
      <w:start w:val="1"/>
      <w:numFmt w:val="bullet"/>
      <w:lvlText w:val="•"/>
      <w:lvlJc w:val="left"/>
      <w:pPr>
        <w:tabs>
          <w:tab w:val="num" w:pos="5760"/>
        </w:tabs>
        <w:ind w:left="5760" w:hanging="360"/>
      </w:pPr>
      <w:rPr>
        <w:rFonts w:ascii="Arial" w:hAnsi="Arial" w:hint="default"/>
      </w:rPr>
    </w:lvl>
    <w:lvl w:ilvl="8" w:tplc="342CCC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D31A5"/>
    <w:multiLevelType w:val="hybridMultilevel"/>
    <w:tmpl w:val="C52CA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4E72B5"/>
    <w:multiLevelType w:val="hybridMultilevel"/>
    <w:tmpl w:val="EBD63198"/>
    <w:lvl w:ilvl="0" w:tplc="5DAAB5A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24B1EEB"/>
    <w:multiLevelType w:val="hybridMultilevel"/>
    <w:tmpl w:val="BC22DD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FF46A7"/>
    <w:multiLevelType w:val="hybridMultilevel"/>
    <w:tmpl w:val="07C689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923FFD"/>
    <w:multiLevelType w:val="hybridMultilevel"/>
    <w:tmpl w:val="F23C74BE"/>
    <w:lvl w:ilvl="0" w:tplc="CC0A29D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64347F"/>
    <w:multiLevelType w:val="multilevel"/>
    <w:tmpl w:val="9A785F26"/>
    <w:lvl w:ilvl="0">
      <w:start w:val="1"/>
      <w:numFmt w:val="decimal"/>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lvlText w:val="%4)"/>
      <w:lvlJc w:val="left"/>
      <w:pPr>
        <w:tabs>
          <w:tab w:val="num" w:pos="681"/>
        </w:tabs>
        <w:ind w:left="681" w:hanging="397"/>
      </w:pPr>
      <w:rPr>
        <w:caps w:val="0"/>
        <w:strike w:val="0"/>
        <w:dstrike w:val="0"/>
        <w:vanish w:val="0"/>
        <w:color w:val="000000"/>
        <w:sz w:val="22"/>
        <w:szCs w:val="22"/>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1" w15:restartNumberingAfterBreak="0">
    <w:nsid w:val="6C0E1D4D"/>
    <w:multiLevelType w:val="hybridMultilevel"/>
    <w:tmpl w:val="70AAB1A6"/>
    <w:lvl w:ilvl="0" w:tplc="A63E318A">
      <w:start w:val="1"/>
      <w:numFmt w:val="bullet"/>
      <w:lvlText w:val="•"/>
      <w:lvlJc w:val="left"/>
      <w:pPr>
        <w:tabs>
          <w:tab w:val="num" w:pos="720"/>
        </w:tabs>
        <w:ind w:left="720" w:hanging="360"/>
      </w:pPr>
      <w:rPr>
        <w:rFonts w:ascii="Arial" w:hAnsi="Arial" w:hint="default"/>
      </w:rPr>
    </w:lvl>
    <w:lvl w:ilvl="1" w:tplc="C43CECE4" w:tentative="1">
      <w:start w:val="1"/>
      <w:numFmt w:val="bullet"/>
      <w:lvlText w:val="•"/>
      <w:lvlJc w:val="left"/>
      <w:pPr>
        <w:tabs>
          <w:tab w:val="num" w:pos="1440"/>
        </w:tabs>
        <w:ind w:left="1440" w:hanging="360"/>
      </w:pPr>
      <w:rPr>
        <w:rFonts w:ascii="Arial" w:hAnsi="Arial" w:hint="default"/>
      </w:rPr>
    </w:lvl>
    <w:lvl w:ilvl="2" w:tplc="90082E66" w:tentative="1">
      <w:start w:val="1"/>
      <w:numFmt w:val="bullet"/>
      <w:lvlText w:val="•"/>
      <w:lvlJc w:val="left"/>
      <w:pPr>
        <w:tabs>
          <w:tab w:val="num" w:pos="2160"/>
        </w:tabs>
        <w:ind w:left="2160" w:hanging="360"/>
      </w:pPr>
      <w:rPr>
        <w:rFonts w:ascii="Arial" w:hAnsi="Arial" w:hint="default"/>
      </w:rPr>
    </w:lvl>
    <w:lvl w:ilvl="3" w:tplc="8C1A25AE" w:tentative="1">
      <w:start w:val="1"/>
      <w:numFmt w:val="bullet"/>
      <w:lvlText w:val="•"/>
      <w:lvlJc w:val="left"/>
      <w:pPr>
        <w:tabs>
          <w:tab w:val="num" w:pos="2880"/>
        </w:tabs>
        <w:ind w:left="2880" w:hanging="360"/>
      </w:pPr>
      <w:rPr>
        <w:rFonts w:ascii="Arial" w:hAnsi="Arial" w:hint="default"/>
      </w:rPr>
    </w:lvl>
    <w:lvl w:ilvl="4" w:tplc="D504A460" w:tentative="1">
      <w:start w:val="1"/>
      <w:numFmt w:val="bullet"/>
      <w:lvlText w:val="•"/>
      <w:lvlJc w:val="left"/>
      <w:pPr>
        <w:tabs>
          <w:tab w:val="num" w:pos="3600"/>
        </w:tabs>
        <w:ind w:left="3600" w:hanging="360"/>
      </w:pPr>
      <w:rPr>
        <w:rFonts w:ascii="Arial" w:hAnsi="Arial" w:hint="default"/>
      </w:rPr>
    </w:lvl>
    <w:lvl w:ilvl="5" w:tplc="612C4914" w:tentative="1">
      <w:start w:val="1"/>
      <w:numFmt w:val="bullet"/>
      <w:lvlText w:val="•"/>
      <w:lvlJc w:val="left"/>
      <w:pPr>
        <w:tabs>
          <w:tab w:val="num" w:pos="4320"/>
        </w:tabs>
        <w:ind w:left="4320" w:hanging="360"/>
      </w:pPr>
      <w:rPr>
        <w:rFonts w:ascii="Arial" w:hAnsi="Arial" w:hint="default"/>
      </w:rPr>
    </w:lvl>
    <w:lvl w:ilvl="6" w:tplc="F17CD2E4" w:tentative="1">
      <w:start w:val="1"/>
      <w:numFmt w:val="bullet"/>
      <w:lvlText w:val="•"/>
      <w:lvlJc w:val="left"/>
      <w:pPr>
        <w:tabs>
          <w:tab w:val="num" w:pos="5040"/>
        </w:tabs>
        <w:ind w:left="5040" w:hanging="360"/>
      </w:pPr>
      <w:rPr>
        <w:rFonts w:ascii="Arial" w:hAnsi="Arial" w:hint="default"/>
      </w:rPr>
    </w:lvl>
    <w:lvl w:ilvl="7" w:tplc="241EF13C" w:tentative="1">
      <w:start w:val="1"/>
      <w:numFmt w:val="bullet"/>
      <w:lvlText w:val="•"/>
      <w:lvlJc w:val="left"/>
      <w:pPr>
        <w:tabs>
          <w:tab w:val="num" w:pos="5760"/>
        </w:tabs>
        <w:ind w:left="5760" w:hanging="360"/>
      </w:pPr>
      <w:rPr>
        <w:rFonts w:ascii="Arial" w:hAnsi="Arial" w:hint="default"/>
      </w:rPr>
    </w:lvl>
    <w:lvl w:ilvl="8" w:tplc="260A9D9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3A1D1B"/>
    <w:multiLevelType w:val="hybridMultilevel"/>
    <w:tmpl w:val="D936A172"/>
    <w:lvl w:ilvl="0" w:tplc="3288E322">
      <w:start w:val="1"/>
      <w:numFmt w:val="lowerLetter"/>
      <w:lvlText w:val="%1)"/>
      <w:lvlJc w:val="left"/>
      <w:pPr>
        <w:ind w:left="284" w:hanging="360"/>
      </w:pPr>
      <w:rPr>
        <w:rFonts w:hint="default"/>
      </w:rPr>
    </w:lvl>
    <w:lvl w:ilvl="1" w:tplc="B088D454">
      <w:start w:val="1"/>
      <w:numFmt w:val="decimal"/>
      <w:lvlText w:val="%2."/>
      <w:lvlJc w:val="left"/>
      <w:pPr>
        <w:ind w:left="1004" w:hanging="360"/>
      </w:pPr>
      <w:rPr>
        <w:rFonts w:hint="default"/>
      </w:rPr>
    </w:lvl>
    <w:lvl w:ilvl="2" w:tplc="230CD2EA">
      <w:start w:val="1"/>
      <w:numFmt w:val="decimal"/>
      <w:lvlText w:val="%3)"/>
      <w:lvlJc w:val="left"/>
      <w:pPr>
        <w:ind w:left="1544" w:firstLine="0"/>
      </w:pPr>
      <w:rPr>
        <w:rFonts w:hint="default"/>
      </w:r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3" w15:restartNumberingAfterBreak="0">
    <w:nsid w:val="75410488"/>
    <w:multiLevelType w:val="hybridMultilevel"/>
    <w:tmpl w:val="5FF261DA"/>
    <w:lvl w:ilvl="0" w:tplc="9DDA45E8">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EC6499"/>
    <w:multiLevelType w:val="hybridMultilevel"/>
    <w:tmpl w:val="14462010"/>
    <w:lvl w:ilvl="0" w:tplc="8EE21632">
      <w:start w:val="1"/>
      <w:numFmt w:val="bullet"/>
      <w:lvlText w:val="•"/>
      <w:lvlJc w:val="left"/>
      <w:pPr>
        <w:tabs>
          <w:tab w:val="num" w:pos="720"/>
        </w:tabs>
        <w:ind w:left="720" w:hanging="360"/>
      </w:pPr>
      <w:rPr>
        <w:rFonts w:ascii="Arial" w:hAnsi="Arial" w:hint="default"/>
      </w:rPr>
    </w:lvl>
    <w:lvl w:ilvl="1" w:tplc="CE204542" w:tentative="1">
      <w:start w:val="1"/>
      <w:numFmt w:val="bullet"/>
      <w:lvlText w:val="•"/>
      <w:lvlJc w:val="left"/>
      <w:pPr>
        <w:tabs>
          <w:tab w:val="num" w:pos="1440"/>
        </w:tabs>
        <w:ind w:left="1440" w:hanging="360"/>
      </w:pPr>
      <w:rPr>
        <w:rFonts w:ascii="Arial" w:hAnsi="Arial" w:hint="default"/>
      </w:rPr>
    </w:lvl>
    <w:lvl w:ilvl="2" w:tplc="8AF07F64" w:tentative="1">
      <w:start w:val="1"/>
      <w:numFmt w:val="bullet"/>
      <w:lvlText w:val="•"/>
      <w:lvlJc w:val="left"/>
      <w:pPr>
        <w:tabs>
          <w:tab w:val="num" w:pos="2160"/>
        </w:tabs>
        <w:ind w:left="2160" w:hanging="360"/>
      </w:pPr>
      <w:rPr>
        <w:rFonts w:ascii="Arial" w:hAnsi="Arial" w:hint="default"/>
      </w:rPr>
    </w:lvl>
    <w:lvl w:ilvl="3" w:tplc="BA8E49FA" w:tentative="1">
      <w:start w:val="1"/>
      <w:numFmt w:val="bullet"/>
      <w:lvlText w:val="•"/>
      <w:lvlJc w:val="left"/>
      <w:pPr>
        <w:tabs>
          <w:tab w:val="num" w:pos="2880"/>
        </w:tabs>
        <w:ind w:left="2880" w:hanging="360"/>
      </w:pPr>
      <w:rPr>
        <w:rFonts w:ascii="Arial" w:hAnsi="Arial" w:hint="default"/>
      </w:rPr>
    </w:lvl>
    <w:lvl w:ilvl="4" w:tplc="59ACAD12" w:tentative="1">
      <w:start w:val="1"/>
      <w:numFmt w:val="bullet"/>
      <w:lvlText w:val="•"/>
      <w:lvlJc w:val="left"/>
      <w:pPr>
        <w:tabs>
          <w:tab w:val="num" w:pos="3600"/>
        </w:tabs>
        <w:ind w:left="3600" w:hanging="360"/>
      </w:pPr>
      <w:rPr>
        <w:rFonts w:ascii="Arial" w:hAnsi="Arial" w:hint="default"/>
      </w:rPr>
    </w:lvl>
    <w:lvl w:ilvl="5" w:tplc="09CE7D2C" w:tentative="1">
      <w:start w:val="1"/>
      <w:numFmt w:val="bullet"/>
      <w:lvlText w:val="•"/>
      <w:lvlJc w:val="left"/>
      <w:pPr>
        <w:tabs>
          <w:tab w:val="num" w:pos="4320"/>
        </w:tabs>
        <w:ind w:left="4320" w:hanging="360"/>
      </w:pPr>
      <w:rPr>
        <w:rFonts w:ascii="Arial" w:hAnsi="Arial" w:hint="default"/>
      </w:rPr>
    </w:lvl>
    <w:lvl w:ilvl="6" w:tplc="74926A62" w:tentative="1">
      <w:start w:val="1"/>
      <w:numFmt w:val="bullet"/>
      <w:lvlText w:val="•"/>
      <w:lvlJc w:val="left"/>
      <w:pPr>
        <w:tabs>
          <w:tab w:val="num" w:pos="5040"/>
        </w:tabs>
        <w:ind w:left="5040" w:hanging="360"/>
      </w:pPr>
      <w:rPr>
        <w:rFonts w:ascii="Arial" w:hAnsi="Arial" w:hint="default"/>
      </w:rPr>
    </w:lvl>
    <w:lvl w:ilvl="7" w:tplc="9EB4C7E2" w:tentative="1">
      <w:start w:val="1"/>
      <w:numFmt w:val="bullet"/>
      <w:lvlText w:val="•"/>
      <w:lvlJc w:val="left"/>
      <w:pPr>
        <w:tabs>
          <w:tab w:val="num" w:pos="5760"/>
        </w:tabs>
        <w:ind w:left="5760" w:hanging="360"/>
      </w:pPr>
      <w:rPr>
        <w:rFonts w:ascii="Arial" w:hAnsi="Arial" w:hint="default"/>
      </w:rPr>
    </w:lvl>
    <w:lvl w:ilvl="8" w:tplc="A9C8FE6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1318C8"/>
    <w:multiLevelType w:val="hybridMultilevel"/>
    <w:tmpl w:val="EB9EAC8A"/>
    <w:lvl w:ilvl="0" w:tplc="04150001">
      <w:start w:val="1"/>
      <w:numFmt w:val="bullet"/>
      <w:lvlText w:val=""/>
      <w:lvlJc w:val="left"/>
      <w:pPr>
        <w:ind w:left="1540" w:hanging="360"/>
      </w:pPr>
      <w:rPr>
        <w:rFonts w:ascii="Symbol" w:hAnsi="Symbol" w:hint="default"/>
      </w:rPr>
    </w:lvl>
    <w:lvl w:ilvl="1" w:tplc="04150003">
      <w:start w:val="1"/>
      <w:numFmt w:val="bullet"/>
      <w:lvlText w:val="o"/>
      <w:lvlJc w:val="left"/>
      <w:pPr>
        <w:ind w:left="2260" w:hanging="360"/>
      </w:pPr>
      <w:rPr>
        <w:rFonts w:ascii="Courier New" w:hAnsi="Courier New" w:cs="Courier New" w:hint="default"/>
      </w:rPr>
    </w:lvl>
    <w:lvl w:ilvl="2" w:tplc="04150005">
      <w:start w:val="1"/>
      <w:numFmt w:val="bullet"/>
      <w:lvlText w:val=""/>
      <w:lvlJc w:val="left"/>
      <w:pPr>
        <w:ind w:left="2980" w:hanging="360"/>
      </w:pPr>
      <w:rPr>
        <w:rFonts w:ascii="Wingdings" w:hAnsi="Wingdings" w:hint="default"/>
      </w:rPr>
    </w:lvl>
    <w:lvl w:ilvl="3" w:tplc="04150001">
      <w:start w:val="1"/>
      <w:numFmt w:val="bullet"/>
      <w:lvlText w:val=""/>
      <w:lvlJc w:val="left"/>
      <w:pPr>
        <w:ind w:left="3700" w:hanging="360"/>
      </w:pPr>
      <w:rPr>
        <w:rFonts w:ascii="Symbol" w:hAnsi="Symbol" w:hint="default"/>
      </w:rPr>
    </w:lvl>
    <w:lvl w:ilvl="4" w:tplc="04150003">
      <w:start w:val="1"/>
      <w:numFmt w:val="bullet"/>
      <w:lvlText w:val="o"/>
      <w:lvlJc w:val="left"/>
      <w:pPr>
        <w:ind w:left="4420" w:hanging="360"/>
      </w:pPr>
      <w:rPr>
        <w:rFonts w:ascii="Courier New" w:hAnsi="Courier New" w:cs="Courier New" w:hint="default"/>
      </w:rPr>
    </w:lvl>
    <w:lvl w:ilvl="5" w:tplc="04150005">
      <w:start w:val="1"/>
      <w:numFmt w:val="bullet"/>
      <w:lvlText w:val=""/>
      <w:lvlJc w:val="left"/>
      <w:pPr>
        <w:ind w:left="5140" w:hanging="360"/>
      </w:pPr>
      <w:rPr>
        <w:rFonts w:ascii="Wingdings" w:hAnsi="Wingdings" w:hint="default"/>
      </w:rPr>
    </w:lvl>
    <w:lvl w:ilvl="6" w:tplc="04150001">
      <w:start w:val="1"/>
      <w:numFmt w:val="bullet"/>
      <w:lvlText w:val=""/>
      <w:lvlJc w:val="left"/>
      <w:pPr>
        <w:ind w:left="5860" w:hanging="360"/>
      </w:pPr>
      <w:rPr>
        <w:rFonts w:ascii="Symbol" w:hAnsi="Symbol" w:hint="default"/>
      </w:rPr>
    </w:lvl>
    <w:lvl w:ilvl="7" w:tplc="04150003">
      <w:start w:val="1"/>
      <w:numFmt w:val="bullet"/>
      <w:lvlText w:val="o"/>
      <w:lvlJc w:val="left"/>
      <w:pPr>
        <w:ind w:left="6580" w:hanging="360"/>
      </w:pPr>
      <w:rPr>
        <w:rFonts w:ascii="Courier New" w:hAnsi="Courier New" w:cs="Courier New" w:hint="default"/>
      </w:rPr>
    </w:lvl>
    <w:lvl w:ilvl="8" w:tplc="04150005">
      <w:start w:val="1"/>
      <w:numFmt w:val="bullet"/>
      <w:lvlText w:val=""/>
      <w:lvlJc w:val="left"/>
      <w:pPr>
        <w:ind w:left="7300" w:hanging="360"/>
      </w:pPr>
      <w:rPr>
        <w:rFonts w:ascii="Wingdings" w:hAnsi="Wingdings" w:hint="default"/>
      </w:rPr>
    </w:lvl>
  </w:abstractNum>
  <w:abstractNum w:abstractNumId="46" w15:restartNumberingAfterBreak="0">
    <w:nsid w:val="79D540D8"/>
    <w:multiLevelType w:val="hybridMultilevel"/>
    <w:tmpl w:val="A4000964"/>
    <w:lvl w:ilvl="0" w:tplc="81205064">
      <w:start w:val="1"/>
      <w:numFmt w:val="bullet"/>
      <w:lvlText w:val="•"/>
      <w:lvlJc w:val="left"/>
      <w:pPr>
        <w:tabs>
          <w:tab w:val="num" w:pos="720"/>
        </w:tabs>
        <w:ind w:left="720" w:hanging="360"/>
      </w:pPr>
      <w:rPr>
        <w:rFonts w:ascii="Arial" w:hAnsi="Arial" w:hint="default"/>
      </w:rPr>
    </w:lvl>
    <w:lvl w:ilvl="1" w:tplc="70200E18" w:tentative="1">
      <w:start w:val="1"/>
      <w:numFmt w:val="bullet"/>
      <w:lvlText w:val="•"/>
      <w:lvlJc w:val="left"/>
      <w:pPr>
        <w:tabs>
          <w:tab w:val="num" w:pos="1440"/>
        </w:tabs>
        <w:ind w:left="1440" w:hanging="360"/>
      </w:pPr>
      <w:rPr>
        <w:rFonts w:ascii="Arial" w:hAnsi="Arial" w:hint="default"/>
      </w:rPr>
    </w:lvl>
    <w:lvl w:ilvl="2" w:tplc="0674DC60" w:tentative="1">
      <w:start w:val="1"/>
      <w:numFmt w:val="bullet"/>
      <w:lvlText w:val="•"/>
      <w:lvlJc w:val="left"/>
      <w:pPr>
        <w:tabs>
          <w:tab w:val="num" w:pos="2160"/>
        </w:tabs>
        <w:ind w:left="2160" w:hanging="360"/>
      </w:pPr>
      <w:rPr>
        <w:rFonts w:ascii="Arial" w:hAnsi="Arial" w:hint="default"/>
      </w:rPr>
    </w:lvl>
    <w:lvl w:ilvl="3" w:tplc="07C8E3FE" w:tentative="1">
      <w:start w:val="1"/>
      <w:numFmt w:val="bullet"/>
      <w:lvlText w:val="•"/>
      <w:lvlJc w:val="left"/>
      <w:pPr>
        <w:tabs>
          <w:tab w:val="num" w:pos="2880"/>
        </w:tabs>
        <w:ind w:left="2880" w:hanging="360"/>
      </w:pPr>
      <w:rPr>
        <w:rFonts w:ascii="Arial" w:hAnsi="Arial" w:hint="default"/>
      </w:rPr>
    </w:lvl>
    <w:lvl w:ilvl="4" w:tplc="16983E74" w:tentative="1">
      <w:start w:val="1"/>
      <w:numFmt w:val="bullet"/>
      <w:lvlText w:val="•"/>
      <w:lvlJc w:val="left"/>
      <w:pPr>
        <w:tabs>
          <w:tab w:val="num" w:pos="3600"/>
        </w:tabs>
        <w:ind w:left="3600" w:hanging="360"/>
      </w:pPr>
      <w:rPr>
        <w:rFonts w:ascii="Arial" w:hAnsi="Arial" w:hint="default"/>
      </w:rPr>
    </w:lvl>
    <w:lvl w:ilvl="5" w:tplc="60589E24" w:tentative="1">
      <w:start w:val="1"/>
      <w:numFmt w:val="bullet"/>
      <w:lvlText w:val="•"/>
      <w:lvlJc w:val="left"/>
      <w:pPr>
        <w:tabs>
          <w:tab w:val="num" w:pos="4320"/>
        </w:tabs>
        <w:ind w:left="4320" w:hanging="360"/>
      </w:pPr>
      <w:rPr>
        <w:rFonts w:ascii="Arial" w:hAnsi="Arial" w:hint="default"/>
      </w:rPr>
    </w:lvl>
    <w:lvl w:ilvl="6" w:tplc="565A2E4C" w:tentative="1">
      <w:start w:val="1"/>
      <w:numFmt w:val="bullet"/>
      <w:lvlText w:val="•"/>
      <w:lvlJc w:val="left"/>
      <w:pPr>
        <w:tabs>
          <w:tab w:val="num" w:pos="5040"/>
        </w:tabs>
        <w:ind w:left="5040" w:hanging="360"/>
      </w:pPr>
      <w:rPr>
        <w:rFonts w:ascii="Arial" w:hAnsi="Arial" w:hint="default"/>
      </w:rPr>
    </w:lvl>
    <w:lvl w:ilvl="7" w:tplc="66FC5884" w:tentative="1">
      <w:start w:val="1"/>
      <w:numFmt w:val="bullet"/>
      <w:lvlText w:val="•"/>
      <w:lvlJc w:val="left"/>
      <w:pPr>
        <w:tabs>
          <w:tab w:val="num" w:pos="5760"/>
        </w:tabs>
        <w:ind w:left="5760" w:hanging="360"/>
      </w:pPr>
      <w:rPr>
        <w:rFonts w:ascii="Arial" w:hAnsi="Arial" w:hint="default"/>
      </w:rPr>
    </w:lvl>
    <w:lvl w:ilvl="8" w:tplc="2A1E16C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8000A4"/>
    <w:multiLevelType w:val="hybridMultilevel"/>
    <w:tmpl w:val="5DDC587E"/>
    <w:lvl w:ilvl="0" w:tplc="37A8A0E4">
      <w:start w:val="1"/>
      <w:numFmt w:val="bullet"/>
      <w:lvlText w:val="•"/>
      <w:lvlJc w:val="left"/>
      <w:pPr>
        <w:tabs>
          <w:tab w:val="num" w:pos="720"/>
        </w:tabs>
        <w:ind w:left="720" w:hanging="360"/>
      </w:pPr>
      <w:rPr>
        <w:rFonts w:ascii="Arial" w:hAnsi="Arial" w:hint="default"/>
      </w:rPr>
    </w:lvl>
    <w:lvl w:ilvl="1" w:tplc="ECBEB774" w:tentative="1">
      <w:start w:val="1"/>
      <w:numFmt w:val="bullet"/>
      <w:lvlText w:val="•"/>
      <w:lvlJc w:val="left"/>
      <w:pPr>
        <w:tabs>
          <w:tab w:val="num" w:pos="1440"/>
        </w:tabs>
        <w:ind w:left="1440" w:hanging="360"/>
      </w:pPr>
      <w:rPr>
        <w:rFonts w:ascii="Arial" w:hAnsi="Arial" w:hint="default"/>
      </w:rPr>
    </w:lvl>
    <w:lvl w:ilvl="2" w:tplc="843ED260" w:tentative="1">
      <w:start w:val="1"/>
      <w:numFmt w:val="bullet"/>
      <w:lvlText w:val="•"/>
      <w:lvlJc w:val="left"/>
      <w:pPr>
        <w:tabs>
          <w:tab w:val="num" w:pos="2160"/>
        </w:tabs>
        <w:ind w:left="2160" w:hanging="360"/>
      </w:pPr>
      <w:rPr>
        <w:rFonts w:ascii="Arial" w:hAnsi="Arial" w:hint="default"/>
      </w:rPr>
    </w:lvl>
    <w:lvl w:ilvl="3" w:tplc="65F8788C" w:tentative="1">
      <w:start w:val="1"/>
      <w:numFmt w:val="bullet"/>
      <w:lvlText w:val="•"/>
      <w:lvlJc w:val="left"/>
      <w:pPr>
        <w:tabs>
          <w:tab w:val="num" w:pos="2880"/>
        </w:tabs>
        <w:ind w:left="2880" w:hanging="360"/>
      </w:pPr>
      <w:rPr>
        <w:rFonts w:ascii="Arial" w:hAnsi="Arial" w:hint="default"/>
      </w:rPr>
    </w:lvl>
    <w:lvl w:ilvl="4" w:tplc="2ABA856E" w:tentative="1">
      <w:start w:val="1"/>
      <w:numFmt w:val="bullet"/>
      <w:lvlText w:val="•"/>
      <w:lvlJc w:val="left"/>
      <w:pPr>
        <w:tabs>
          <w:tab w:val="num" w:pos="3600"/>
        </w:tabs>
        <w:ind w:left="3600" w:hanging="360"/>
      </w:pPr>
      <w:rPr>
        <w:rFonts w:ascii="Arial" w:hAnsi="Arial" w:hint="default"/>
      </w:rPr>
    </w:lvl>
    <w:lvl w:ilvl="5" w:tplc="4E186982" w:tentative="1">
      <w:start w:val="1"/>
      <w:numFmt w:val="bullet"/>
      <w:lvlText w:val="•"/>
      <w:lvlJc w:val="left"/>
      <w:pPr>
        <w:tabs>
          <w:tab w:val="num" w:pos="4320"/>
        </w:tabs>
        <w:ind w:left="4320" w:hanging="360"/>
      </w:pPr>
      <w:rPr>
        <w:rFonts w:ascii="Arial" w:hAnsi="Arial" w:hint="default"/>
      </w:rPr>
    </w:lvl>
    <w:lvl w:ilvl="6" w:tplc="1832BD38" w:tentative="1">
      <w:start w:val="1"/>
      <w:numFmt w:val="bullet"/>
      <w:lvlText w:val="•"/>
      <w:lvlJc w:val="left"/>
      <w:pPr>
        <w:tabs>
          <w:tab w:val="num" w:pos="5040"/>
        </w:tabs>
        <w:ind w:left="5040" w:hanging="360"/>
      </w:pPr>
      <w:rPr>
        <w:rFonts w:ascii="Arial" w:hAnsi="Arial" w:hint="default"/>
      </w:rPr>
    </w:lvl>
    <w:lvl w:ilvl="7" w:tplc="8A6CCAAA" w:tentative="1">
      <w:start w:val="1"/>
      <w:numFmt w:val="bullet"/>
      <w:lvlText w:val="•"/>
      <w:lvlJc w:val="left"/>
      <w:pPr>
        <w:tabs>
          <w:tab w:val="num" w:pos="5760"/>
        </w:tabs>
        <w:ind w:left="5760" w:hanging="360"/>
      </w:pPr>
      <w:rPr>
        <w:rFonts w:ascii="Arial" w:hAnsi="Arial" w:hint="default"/>
      </w:rPr>
    </w:lvl>
    <w:lvl w:ilvl="8" w:tplc="6C70A04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496FAA"/>
    <w:multiLevelType w:val="hybridMultilevel"/>
    <w:tmpl w:val="32FEB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0486271">
    <w:abstractNumId w:val="40"/>
  </w:num>
  <w:num w:numId="2" w16cid:durableId="1727338295">
    <w:abstractNumId w:val="20"/>
  </w:num>
  <w:num w:numId="3" w16cid:durableId="1574970675">
    <w:abstractNumId w:val="48"/>
  </w:num>
  <w:num w:numId="4" w16cid:durableId="452092582">
    <w:abstractNumId w:val="16"/>
  </w:num>
  <w:num w:numId="5" w16cid:durableId="1375497952">
    <w:abstractNumId w:val="37"/>
  </w:num>
  <w:num w:numId="6" w16cid:durableId="711001530">
    <w:abstractNumId w:val="20"/>
  </w:num>
  <w:num w:numId="7" w16cid:durableId="1008023753">
    <w:abstractNumId w:val="20"/>
  </w:num>
  <w:num w:numId="8" w16cid:durableId="1573814262">
    <w:abstractNumId w:val="22"/>
  </w:num>
  <w:num w:numId="9" w16cid:durableId="1294094050">
    <w:abstractNumId w:val="9"/>
  </w:num>
  <w:num w:numId="10" w16cid:durableId="1061320153">
    <w:abstractNumId w:val="8"/>
  </w:num>
  <w:num w:numId="11" w16cid:durableId="238641656">
    <w:abstractNumId w:val="43"/>
  </w:num>
  <w:num w:numId="12" w16cid:durableId="1123305472">
    <w:abstractNumId w:val="39"/>
  </w:num>
  <w:num w:numId="13" w16cid:durableId="1565877045">
    <w:abstractNumId w:val="35"/>
  </w:num>
  <w:num w:numId="14" w16cid:durableId="720203707">
    <w:abstractNumId w:val="13"/>
  </w:num>
  <w:num w:numId="15" w16cid:durableId="645739058">
    <w:abstractNumId w:val="33"/>
  </w:num>
  <w:num w:numId="16" w16cid:durableId="1352146944">
    <w:abstractNumId w:val="32"/>
  </w:num>
  <w:num w:numId="17" w16cid:durableId="122236814">
    <w:abstractNumId w:val="0"/>
  </w:num>
  <w:num w:numId="18" w16cid:durableId="7947887">
    <w:abstractNumId w:val="27"/>
  </w:num>
  <w:num w:numId="19" w16cid:durableId="192152511">
    <w:abstractNumId w:val="6"/>
  </w:num>
  <w:num w:numId="20" w16cid:durableId="539896643">
    <w:abstractNumId w:val="42"/>
  </w:num>
  <w:num w:numId="21" w16cid:durableId="1333486947">
    <w:abstractNumId w:val="31"/>
  </w:num>
  <w:num w:numId="22" w16cid:durableId="517430439">
    <w:abstractNumId w:val="15"/>
  </w:num>
  <w:num w:numId="23" w16cid:durableId="61831664">
    <w:abstractNumId w:val="41"/>
  </w:num>
  <w:num w:numId="24" w16cid:durableId="347679070">
    <w:abstractNumId w:val="46"/>
  </w:num>
  <w:num w:numId="25" w16cid:durableId="16930129">
    <w:abstractNumId w:val="47"/>
  </w:num>
  <w:num w:numId="26" w16cid:durableId="481966260">
    <w:abstractNumId w:val="26"/>
  </w:num>
  <w:num w:numId="27" w16cid:durableId="1625187904">
    <w:abstractNumId w:val="3"/>
  </w:num>
  <w:num w:numId="28" w16cid:durableId="488441249">
    <w:abstractNumId w:val="5"/>
  </w:num>
  <w:num w:numId="29" w16cid:durableId="1268274693">
    <w:abstractNumId w:val="34"/>
  </w:num>
  <w:num w:numId="30" w16cid:durableId="1019045551">
    <w:abstractNumId w:val="4"/>
  </w:num>
  <w:num w:numId="31" w16cid:durableId="572087251">
    <w:abstractNumId w:val="44"/>
  </w:num>
  <w:num w:numId="32" w16cid:durableId="1484856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6463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4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664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3002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7125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5104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146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0841798">
    <w:abstractNumId w:val="1"/>
  </w:num>
  <w:num w:numId="41" w16cid:durableId="43987746">
    <w:abstractNumId w:val="45"/>
  </w:num>
  <w:num w:numId="42" w16cid:durableId="1480268189">
    <w:abstractNumId w:val="25"/>
  </w:num>
  <w:num w:numId="43" w16cid:durableId="345059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4519827">
    <w:abstractNumId w:val="23"/>
  </w:num>
  <w:num w:numId="45" w16cid:durableId="1105072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65741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81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6118920">
    <w:abstractNumId w:val="38"/>
  </w:num>
  <w:num w:numId="49" w16cid:durableId="1923026018">
    <w:abstractNumId w:val="29"/>
  </w:num>
  <w:num w:numId="50" w16cid:durableId="681469231">
    <w:abstractNumId w:val="10"/>
  </w:num>
  <w:num w:numId="51" w16cid:durableId="181289918">
    <w:abstractNumId w:val="11"/>
  </w:num>
  <w:num w:numId="52" w16cid:durableId="1085150077">
    <w:abstractNumId w:val="7"/>
  </w:num>
  <w:num w:numId="53" w16cid:durableId="452333517">
    <w:abstractNumId w:val="30"/>
  </w:num>
  <w:num w:numId="54" w16cid:durableId="243535430">
    <w:abstractNumId w:val="18"/>
  </w:num>
  <w:num w:numId="55" w16cid:durableId="457529540">
    <w:abstractNumId w:val="2"/>
  </w:num>
  <w:num w:numId="56" w16cid:durableId="1515536752">
    <w:abstractNumId w:val="19"/>
  </w:num>
  <w:num w:numId="57" w16cid:durableId="690299625">
    <w:abstractNumId w:val="36"/>
  </w:num>
  <w:num w:numId="58" w16cid:durableId="2135514141">
    <w:abstractNumId w:val="21"/>
  </w:num>
  <w:num w:numId="59" w16cid:durableId="937561249">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16"/>
    <w:rsid w:val="00002D2F"/>
    <w:rsid w:val="000065D5"/>
    <w:rsid w:val="0000682A"/>
    <w:rsid w:val="000100DB"/>
    <w:rsid w:val="00016245"/>
    <w:rsid w:val="000179D2"/>
    <w:rsid w:val="00021C65"/>
    <w:rsid w:val="000245CC"/>
    <w:rsid w:val="00025B03"/>
    <w:rsid w:val="00026FBD"/>
    <w:rsid w:val="000310FC"/>
    <w:rsid w:val="00033024"/>
    <w:rsid w:val="0004152C"/>
    <w:rsid w:val="000461AB"/>
    <w:rsid w:val="00046F1D"/>
    <w:rsid w:val="000526FF"/>
    <w:rsid w:val="00053806"/>
    <w:rsid w:val="00054F17"/>
    <w:rsid w:val="0006167B"/>
    <w:rsid w:val="000634D9"/>
    <w:rsid w:val="00070EF2"/>
    <w:rsid w:val="00072975"/>
    <w:rsid w:val="00074989"/>
    <w:rsid w:val="00074C56"/>
    <w:rsid w:val="000776F9"/>
    <w:rsid w:val="000803B3"/>
    <w:rsid w:val="000810FC"/>
    <w:rsid w:val="0008155C"/>
    <w:rsid w:val="0009690F"/>
    <w:rsid w:val="00096DF4"/>
    <w:rsid w:val="000A1069"/>
    <w:rsid w:val="000A1728"/>
    <w:rsid w:val="000A35F8"/>
    <w:rsid w:val="000B6005"/>
    <w:rsid w:val="000B63F7"/>
    <w:rsid w:val="000C1CFD"/>
    <w:rsid w:val="000C792E"/>
    <w:rsid w:val="000E0061"/>
    <w:rsid w:val="000E6C69"/>
    <w:rsid w:val="000E78AC"/>
    <w:rsid w:val="001003E0"/>
    <w:rsid w:val="00102B0B"/>
    <w:rsid w:val="00105037"/>
    <w:rsid w:val="001060FC"/>
    <w:rsid w:val="0011165B"/>
    <w:rsid w:val="001116B7"/>
    <w:rsid w:val="00120263"/>
    <w:rsid w:val="00120BC0"/>
    <w:rsid w:val="00122514"/>
    <w:rsid w:val="001264CE"/>
    <w:rsid w:val="001376E2"/>
    <w:rsid w:val="0014123C"/>
    <w:rsid w:val="00141E8B"/>
    <w:rsid w:val="00142CE3"/>
    <w:rsid w:val="00145054"/>
    <w:rsid w:val="00145175"/>
    <w:rsid w:val="00156DF5"/>
    <w:rsid w:val="001841DF"/>
    <w:rsid w:val="001A0E54"/>
    <w:rsid w:val="001B53FD"/>
    <w:rsid w:val="001B5407"/>
    <w:rsid w:val="001C2131"/>
    <w:rsid w:val="001C5F58"/>
    <w:rsid w:val="001D3B6A"/>
    <w:rsid w:val="001D65A2"/>
    <w:rsid w:val="001F5283"/>
    <w:rsid w:val="001F615E"/>
    <w:rsid w:val="00202E43"/>
    <w:rsid w:val="0020617F"/>
    <w:rsid w:val="0020782C"/>
    <w:rsid w:val="002114E7"/>
    <w:rsid w:val="0021506C"/>
    <w:rsid w:val="002165B3"/>
    <w:rsid w:val="00225355"/>
    <w:rsid w:val="00234695"/>
    <w:rsid w:val="00234E5C"/>
    <w:rsid w:val="00241DE9"/>
    <w:rsid w:val="00252CE4"/>
    <w:rsid w:val="0025323A"/>
    <w:rsid w:val="00255D95"/>
    <w:rsid w:val="00266E59"/>
    <w:rsid w:val="00281174"/>
    <w:rsid w:val="002862D0"/>
    <w:rsid w:val="00294184"/>
    <w:rsid w:val="00294E55"/>
    <w:rsid w:val="002950D3"/>
    <w:rsid w:val="00296531"/>
    <w:rsid w:val="002A6AEA"/>
    <w:rsid w:val="002B7F72"/>
    <w:rsid w:val="002C3AB6"/>
    <w:rsid w:val="002C5CE1"/>
    <w:rsid w:val="002E3A11"/>
    <w:rsid w:val="002E5BCA"/>
    <w:rsid w:val="002E7959"/>
    <w:rsid w:val="002F3CE3"/>
    <w:rsid w:val="00301115"/>
    <w:rsid w:val="00305A2D"/>
    <w:rsid w:val="00321637"/>
    <w:rsid w:val="00332497"/>
    <w:rsid w:val="00337E97"/>
    <w:rsid w:val="0034095A"/>
    <w:rsid w:val="003469B3"/>
    <w:rsid w:val="00352457"/>
    <w:rsid w:val="00361888"/>
    <w:rsid w:val="00380E2B"/>
    <w:rsid w:val="00382DD9"/>
    <w:rsid w:val="003835A8"/>
    <w:rsid w:val="00383FEE"/>
    <w:rsid w:val="0038524F"/>
    <w:rsid w:val="0038744F"/>
    <w:rsid w:val="00395204"/>
    <w:rsid w:val="003A569B"/>
    <w:rsid w:val="003B4231"/>
    <w:rsid w:val="003C1EF7"/>
    <w:rsid w:val="003C33CC"/>
    <w:rsid w:val="003D5028"/>
    <w:rsid w:val="003E0AEF"/>
    <w:rsid w:val="003F0C7C"/>
    <w:rsid w:val="003F3ADF"/>
    <w:rsid w:val="003F7602"/>
    <w:rsid w:val="00404BC8"/>
    <w:rsid w:val="00417078"/>
    <w:rsid w:val="00420618"/>
    <w:rsid w:val="00423AF7"/>
    <w:rsid w:val="004366F6"/>
    <w:rsid w:val="00446C59"/>
    <w:rsid w:val="0048504A"/>
    <w:rsid w:val="00492BD4"/>
    <w:rsid w:val="00492F94"/>
    <w:rsid w:val="0049469B"/>
    <w:rsid w:val="004A729E"/>
    <w:rsid w:val="004B1FD1"/>
    <w:rsid w:val="004C408A"/>
    <w:rsid w:val="004D3182"/>
    <w:rsid w:val="004D58E9"/>
    <w:rsid w:val="004F4A7D"/>
    <w:rsid w:val="005036A8"/>
    <w:rsid w:val="005145CA"/>
    <w:rsid w:val="00517FC5"/>
    <w:rsid w:val="00522D80"/>
    <w:rsid w:val="0053142D"/>
    <w:rsid w:val="00537915"/>
    <w:rsid w:val="005427B2"/>
    <w:rsid w:val="00544ABC"/>
    <w:rsid w:val="00550775"/>
    <w:rsid w:val="00551A30"/>
    <w:rsid w:val="00560A42"/>
    <w:rsid w:val="0057311D"/>
    <w:rsid w:val="00580C60"/>
    <w:rsid w:val="0058167F"/>
    <w:rsid w:val="005856B7"/>
    <w:rsid w:val="00587B8A"/>
    <w:rsid w:val="005942FF"/>
    <w:rsid w:val="005A1369"/>
    <w:rsid w:val="005A39B9"/>
    <w:rsid w:val="005B1EFF"/>
    <w:rsid w:val="005C526F"/>
    <w:rsid w:val="005C75E7"/>
    <w:rsid w:val="005D138B"/>
    <w:rsid w:val="005D52E2"/>
    <w:rsid w:val="005D695D"/>
    <w:rsid w:val="005D7924"/>
    <w:rsid w:val="005E2F0B"/>
    <w:rsid w:val="005E4208"/>
    <w:rsid w:val="005E45DB"/>
    <w:rsid w:val="005E6999"/>
    <w:rsid w:val="005F0DA5"/>
    <w:rsid w:val="005F7C6A"/>
    <w:rsid w:val="00617BE0"/>
    <w:rsid w:val="006306B2"/>
    <w:rsid w:val="00631199"/>
    <w:rsid w:val="00644C31"/>
    <w:rsid w:val="006457C4"/>
    <w:rsid w:val="00656C61"/>
    <w:rsid w:val="00664B3F"/>
    <w:rsid w:val="006659F3"/>
    <w:rsid w:val="00673830"/>
    <w:rsid w:val="006768AC"/>
    <w:rsid w:val="006808A5"/>
    <w:rsid w:val="00680E54"/>
    <w:rsid w:val="0068233F"/>
    <w:rsid w:val="00686289"/>
    <w:rsid w:val="0068656C"/>
    <w:rsid w:val="00695C33"/>
    <w:rsid w:val="006965DC"/>
    <w:rsid w:val="006B049D"/>
    <w:rsid w:val="006B40E2"/>
    <w:rsid w:val="006B7DBF"/>
    <w:rsid w:val="006D67D7"/>
    <w:rsid w:val="006D69C2"/>
    <w:rsid w:val="006E055A"/>
    <w:rsid w:val="006E33A9"/>
    <w:rsid w:val="006F12BD"/>
    <w:rsid w:val="006F1B74"/>
    <w:rsid w:val="006F35E4"/>
    <w:rsid w:val="006F4591"/>
    <w:rsid w:val="00715B88"/>
    <w:rsid w:val="00720A75"/>
    <w:rsid w:val="007218BF"/>
    <w:rsid w:val="00725DCB"/>
    <w:rsid w:val="0073071A"/>
    <w:rsid w:val="00733ED3"/>
    <w:rsid w:val="00734A74"/>
    <w:rsid w:val="0073574B"/>
    <w:rsid w:val="00737F7A"/>
    <w:rsid w:val="00747D9E"/>
    <w:rsid w:val="00775460"/>
    <w:rsid w:val="00775848"/>
    <w:rsid w:val="00781333"/>
    <w:rsid w:val="007858E5"/>
    <w:rsid w:val="00790B45"/>
    <w:rsid w:val="00792025"/>
    <w:rsid w:val="00792EFF"/>
    <w:rsid w:val="0079706E"/>
    <w:rsid w:val="007A068F"/>
    <w:rsid w:val="007A07B2"/>
    <w:rsid w:val="007A7443"/>
    <w:rsid w:val="007B1B73"/>
    <w:rsid w:val="007B1EBA"/>
    <w:rsid w:val="007B27A2"/>
    <w:rsid w:val="007B2D37"/>
    <w:rsid w:val="007C22DA"/>
    <w:rsid w:val="007C6993"/>
    <w:rsid w:val="007C7931"/>
    <w:rsid w:val="007D63E5"/>
    <w:rsid w:val="007E40F4"/>
    <w:rsid w:val="007E7A17"/>
    <w:rsid w:val="007F16C2"/>
    <w:rsid w:val="007F765A"/>
    <w:rsid w:val="00813D6D"/>
    <w:rsid w:val="0081609A"/>
    <w:rsid w:val="00820A99"/>
    <w:rsid w:val="00821112"/>
    <w:rsid w:val="008301CA"/>
    <w:rsid w:val="008319F6"/>
    <w:rsid w:val="00831BAC"/>
    <w:rsid w:val="00831BF9"/>
    <w:rsid w:val="00834937"/>
    <w:rsid w:val="008357C2"/>
    <w:rsid w:val="00836855"/>
    <w:rsid w:val="00840CE6"/>
    <w:rsid w:val="00841BF4"/>
    <w:rsid w:val="00847950"/>
    <w:rsid w:val="00850964"/>
    <w:rsid w:val="00852DDC"/>
    <w:rsid w:val="00853627"/>
    <w:rsid w:val="008559A7"/>
    <w:rsid w:val="008603FD"/>
    <w:rsid w:val="008652BB"/>
    <w:rsid w:val="00867FD1"/>
    <w:rsid w:val="0087578D"/>
    <w:rsid w:val="00880179"/>
    <w:rsid w:val="008863A0"/>
    <w:rsid w:val="00892694"/>
    <w:rsid w:val="00897F47"/>
    <w:rsid w:val="008B2AD4"/>
    <w:rsid w:val="008C340A"/>
    <w:rsid w:val="008D1812"/>
    <w:rsid w:val="008D5E78"/>
    <w:rsid w:val="008D6169"/>
    <w:rsid w:val="008E2DAA"/>
    <w:rsid w:val="008E3197"/>
    <w:rsid w:val="008E7A22"/>
    <w:rsid w:val="008E7C04"/>
    <w:rsid w:val="008F04E7"/>
    <w:rsid w:val="008F5D6C"/>
    <w:rsid w:val="008F6A5E"/>
    <w:rsid w:val="00901D5C"/>
    <w:rsid w:val="009023B9"/>
    <w:rsid w:val="00907DFE"/>
    <w:rsid w:val="00914A60"/>
    <w:rsid w:val="009150EC"/>
    <w:rsid w:val="00923CE1"/>
    <w:rsid w:val="00924F2F"/>
    <w:rsid w:val="00926F96"/>
    <w:rsid w:val="009348AC"/>
    <w:rsid w:val="009457BA"/>
    <w:rsid w:val="0095132F"/>
    <w:rsid w:val="009514F8"/>
    <w:rsid w:val="009517CF"/>
    <w:rsid w:val="00954505"/>
    <w:rsid w:val="00955A7B"/>
    <w:rsid w:val="00955B7F"/>
    <w:rsid w:val="009568DB"/>
    <w:rsid w:val="0096759D"/>
    <w:rsid w:val="00972308"/>
    <w:rsid w:val="009731D1"/>
    <w:rsid w:val="009733AA"/>
    <w:rsid w:val="00973A8F"/>
    <w:rsid w:val="00975ACD"/>
    <w:rsid w:val="00987FD1"/>
    <w:rsid w:val="00993DE3"/>
    <w:rsid w:val="00994BE5"/>
    <w:rsid w:val="009955C5"/>
    <w:rsid w:val="00995DFC"/>
    <w:rsid w:val="009A5E13"/>
    <w:rsid w:val="009B04B0"/>
    <w:rsid w:val="009B2CC2"/>
    <w:rsid w:val="009B3FE3"/>
    <w:rsid w:val="009C4158"/>
    <w:rsid w:val="009C48E9"/>
    <w:rsid w:val="009C4B5F"/>
    <w:rsid w:val="009C5A92"/>
    <w:rsid w:val="009D16E4"/>
    <w:rsid w:val="009D5B44"/>
    <w:rsid w:val="009D606E"/>
    <w:rsid w:val="009D6C98"/>
    <w:rsid w:val="009E0841"/>
    <w:rsid w:val="009E0CEE"/>
    <w:rsid w:val="009E1E06"/>
    <w:rsid w:val="009E3FD8"/>
    <w:rsid w:val="009E40D3"/>
    <w:rsid w:val="009E5FE3"/>
    <w:rsid w:val="00A06B5A"/>
    <w:rsid w:val="00A06BAD"/>
    <w:rsid w:val="00A07D14"/>
    <w:rsid w:val="00A113C2"/>
    <w:rsid w:val="00A11CD2"/>
    <w:rsid w:val="00A14830"/>
    <w:rsid w:val="00A313FE"/>
    <w:rsid w:val="00A437EC"/>
    <w:rsid w:val="00A4466E"/>
    <w:rsid w:val="00A4638F"/>
    <w:rsid w:val="00A56186"/>
    <w:rsid w:val="00A62980"/>
    <w:rsid w:val="00A64CCA"/>
    <w:rsid w:val="00A65C78"/>
    <w:rsid w:val="00A718D7"/>
    <w:rsid w:val="00A749AA"/>
    <w:rsid w:val="00A74F2F"/>
    <w:rsid w:val="00A92057"/>
    <w:rsid w:val="00A94591"/>
    <w:rsid w:val="00AA3B26"/>
    <w:rsid w:val="00AA4432"/>
    <w:rsid w:val="00AA67E8"/>
    <w:rsid w:val="00AB1291"/>
    <w:rsid w:val="00AC0D6C"/>
    <w:rsid w:val="00AC3D19"/>
    <w:rsid w:val="00AC592F"/>
    <w:rsid w:val="00AD3D89"/>
    <w:rsid w:val="00AE2D35"/>
    <w:rsid w:val="00AE4D9D"/>
    <w:rsid w:val="00AF0256"/>
    <w:rsid w:val="00AF313B"/>
    <w:rsid w:val="00AF35E0"/>
    <w:rsid w:val="00B11BA3"/>
    <w:rsid w:val="00B33C03"/>
    <w:rsid w:val="00B4287F"/>
    <w:rsid w:val="00B45B26"/>
    <w:rsid w:val="00B5216D"/>
    <w:rsid w:val="00B747D2"/>
    <w:rsid w:val="00B770D4"/>
    <w:rsid w:val="00B8468D"/>
    <w:rsid w:val="00B859D7"/>
    <w:rsid w:val="00B864C4"/>
    <w:rsid w:val="00B877FF"/>
    <w:rsid w:val="00B93588"/>
    <w:rsid w:val="00B94BD3"/>
    <w:rsid w:val="00B96E90"/>
    <w:rsid w:val="00BA58D9"/>
    <w:rsid w:val="00BB06C3"/>
    <w:rsid w:val="00BB0912"/>
    <w:rsid w:val="00BB13AC"/>
    <w:rsid w:val="00BC0130"/>
    <w:rsid w:val="00BD14E7"/>
    <w:rsid w:val="00BD42BE"/>
    <w:rsid w:val="00BD691D"/>
    <w:rsid w:val="00BF2375"/>
    <w:rsid w:val="00BF3328"/>
    <w:rsid w:val="00C00541"/>
    <w:rsid w:val="00C030C2"/>
    <w:rsid w:val="00C13420"/>
    <w:rsid w:val="00C20809"/>
    <w:rsid w:val="00C23A64"/>
    <w:rsid w:val="00C27327"/>
    <w:rsid w:val="00C27B9C"/>
    <w:rsid w:val="00C31007"/>
    <w:rsid w:val="00C328DC"/>
    <w:rsid w:val="00C36177"/>
    <w:rsid w:val="00C43F9F"/>
    <w:rsid w:val="00C46423"/>
    <w:rsid w:val="00C47336"/>
    <w:rsid w:val="00C51AD2"/>
    <w:rsid w:val="00C5531E"/>
    <w:rsid w:val="00C62BFB"/>
    <w:rsid w:val="00C71555"/>
    <w:rsid w:val="00C722F0"/>
    <w:rsid w:val="00C80EB5"/>
    <w:rsid w:val="00C94E16"/>
    <w:rsid w:val="00C961DB"/>
    <w:rsid w:val="00CA31B7"/>
    <w:rsid w:val="00CB4E71"/>
    <w:rsid w:val="00CB792C"/>
    <w:rsid w:val="00CC070F"/>
    <w:rsid w:val="00CC2FC6"/>
    <w:rsid w:val="00CE7123"/>
    <w:rsid w:val="00CF4CAA"/>
    <w:rsid w:val="00D03BA3"/>
    <w:rsid w:val="00D06680"/>
    <w:rsid w:val="00D106B4"/>
    <w:rsid w:val="00D243F5"/>
    <w:rsid w:val="00D30FA6"/>
    <w:rsid w:val="00D3216B"/>
    <w:rsid w:val="00D37EFB"/>
    <w:rsid w:val="00D56461"/>
    <w:rsid w:val="00D57CFC"/>
    <w:rsid w:val="00D84B0A"/>
    <w:rsid w:val="00D9199A"/>
    <w:rsid w:val="00D926F4"/>
    <w:rsid w:val="00D92E3C"/>
    <w:rsid w:val="00D93E5A"/>
    <w:rsid w:val="00D94E03"/>
    <w:rsid w:val="00D95557"/>
    <w:rsid w:val="00DA2E5F"/>
    <w:rsid w:val="00DA6C4F"/>
    <w:rsid w:val="00DB1583"/>
    <w:rsid w:val="00DB26E6"/>
    <w:rsid w:val="00DB4288"/>
    <w:rsid w:val="00DB4587"/>
    <w:rsid w:val="00DC0234"/>
    <w:rsid w:val="00DC24E7"/>
    <w:rsid w:val="00DC5EC2"/>
    <w:rsid w:val="00DD74BA"/>
    <w:rsid w:val="00DE108C"/>
    <w:rsid w:val="00DE7490"/>
    <w:rsid w:val="00E052C4"/>
    <w:rsid w:val="00E063F6"/>
    <w:rsid w:val="00E11F4A"/>
    <w:rsid w:val="00E13F57"/>
    <w:rsid w:val="00E21CDF"/>
    <w:rsid w:val="00E22B3C"/>
    <w:rsid w:val="00E2380E"/>
    <w:rsid w:val="00E247E4"/>
    <w:rsid w:val="00E254FC"/>
    <w:rsid w:val="00E34C13"/>
    <w:rsid w:val="00E3636B"/>
    <w:rsid w:val="00E37F67"/>
    <w:rsid w:val="00E410CB"/>
    <w:rsid w:val="00E43957"/>
    <w:rsid w:val="00E440A6"/>
    <w:rsid w:val="00E53917"/>
    <w:rsid w:val="00E56406"/>
    <w:rsid w:val="00E60AC7"/>
    <w:rsid w:val="00E6136B"/>
    <w:rsid w:val="00E65599"/>
    <w:rsid w:val="00E825E1"/>
    <w:rsid w:val="00E86E54"/>
    <w:rsid w:val="00E91CEF"/>
    <w:rsid w:val="00EA49C3"/>
    <w:rsid w:val="00EA7CBA"/>
    <w:rsid w:val="00EE2582"/>
    <w:rsid w:val="00EE489C"/>
    <w:rsid w:val="00EF33F2"/>
    <w:rsid w:val="00F00092"/>
    <w:rsid w:val="00F0730B"/>
    <w:rsid w:val="00F212F9"/>
    <w:rsid w:val="00F329AB"/>
    <w:rsid w:val="00F36818"/>
    <w:rsid w:val="00F36F9B"/>
    <w:rsid w:val="00F37E4F"/>
    <w:rsid w:val="00F4306A"/>
    <w:rsid w:val="00F471B2"/>
    <w:rsid w:val="00F47D80"/>
    <w:rsid w:val="00F547D6"/>
    <w:rsid w:val="00F65B55"/>
    <w:rsid w:val="00F65ED9"/>
    <w:rsid w:val="00F84874"/>
    <w:rsid w:val="00F853A2"/>
    <w:rsid w:val="00F926E8"/>
    <w:rsid w:val="00F936BA"/>
    <w:rsid w:val="00F95288"/>
    <w:rsid w:val="00F96E90"/>
    <w:rsid w:val="00FA0D2C"/>
    <w:rsid w:val="00FA1551"/>
    <w:rsid w:val="00FA33CC"/>
    <w:rsid w:val="00FA558A"/>
    <w:rsid w:val="00FA67B5"/>
    <w:rsid w:val="00FA7395"/>
    <w:rsid w:val="00FC1185"/>
    <w:rsid w:val="00FC35C1"/>
    <w:rsid w:val="00FD1F9E"/>
    <w:rsid w:val="00FD21C7"/>
    <w:rsid w:val="00FE0C6E"/>
    <w:rsid w:val="00FE4DFB"/>
    <w:rsid w:val="00FF6B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B63A"/>
  <w15:chartTrackingRefBased/>
  <w15:docId w15:val="{F430113B-AF43-444A-B261-AA79C869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2FF"/>
    <w:pPr>
      <w:spacing w:after="200" w:line="276" w:lineRule="auto"/>
    </w:pPr>
    <w:rPr>
      <w:rFonts w:ascii="Calibri" w:eastAsia="Times New Roman" w:hAnsi="Calibri" w:cs="Times New Roman"/>
      <w:lang w:eastAsia="pl-PL"/>
    </w:rPr>
  </w:style>
  <w:style w:type="paragraph" w:styleId="Nagwek1">
    <w:name w:val="heading 1"/>
    <w:basedOn w:val="AkapitStandardowyRyczat"/>
    <w:next w:val="Normalny"/>
    <w:link w:val="Nagwek1Znak"/>
    <w:uiPriority w:val="9"/>
    <w:qFormat/>
    <w:rsid w:val="005942FF"/>
    <w:pPr>
      <w:jc w:val="center"/>
      <w:outlineLvl w:val="0"/>
    </w:pPr>
    <w:rPr>
      <w:rFonts w:asciiTheme="minorHAnsi" w:hAnsiTheme="minorHAnsi" w:cstheme="minorHAnsi"/>
      <w:b/>
      <w:sz w:val="3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B091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StandardowyRyczat">
    <w:name w:val="Akapit Standardowy Ryczałt"/>
    <w:basedOn w:val="Normalny"/>
    <w:link w:val="AkapitStandardowyRyczatZnak"/>
    <w:qFormat/>
    <w:rsid w:val="00BB0912"/>
    <w:pPr>
      <w:spacing w:before="240" w:after="120" w:line="240" w:lineRule="auto"/>
      <w:jc w:val="both"/>
    </w:pPr>
  </w:style>
  <w:style w:type="character" w:customStyle="1" w:styleId="AkapitStandardowyRyczatZnak">
    <w:name w:val="Akapit Standardowy Ryczałt Znak"/>
    <w:basedOn w:val="Domylnaczcionkaakapitu"/>
    <w:link w:val="AkapitStandardowyRyczat"/>
    <w:rsid w:val="00BB0912"/>
    <w:rPr>
      <w:rFonts w:ascii="Calibri" w:eastAsia="Times New Roman" w:hAnsi="Calibri" w:cs="Times New Roman"/>
      <w:lang w:eastAsia="pl-PL"/>
    </w:rPr>
  </w:style>
  <w:style w:type="paragraph" w:styleId="Tekstprzypisudolnego">
    <w:name w:val="footnote text"/>
    <w:basedOn w:val="Normalny"/>
    <w:link w:val="TekstprzypisudolnegoZnak"/>
    <w:uiPriority w:val="99"/>
    <w:unhideWhenUsed/>
    <w:rsid w:val="00BB0912"/>
    <w:pPr>
      <w:suppressAutoHyphens/>
      <w:spacing w:after="0" w:line="240" w:lineRule="auto"/>
    </w:pPr>
    <w:rPr>
      <w:rFonts w:ascii="Times New Roman" w:eastAsia="Batang" w:hAnsi="Times New Roman"/>
      <w:sz w:val="20"/>
      <w:szCs w:val="20"/>
      <w:lang w:eastAsia="ko-KR"/>
    </w:rPr>
  </w:style>
  <w:style w:type="character" w:customStyle="1" w:styleId="TekstprzypisudolnegoZnak">
    <w:name w:val="Tekst przypisu dolnego Znak"/>
    <w:basedOn w:val="Domylnaczcionkaakapitu"/>
    <w:link w:val="Tekstprzypisudolnego"/>
    <w:uiPriority w:val="99"/>
    <w:rsid w:val="00BB0912"/>
    <w:rPr>
      <w:rFonts w:ascii="Times New Roman" w:eastAsia="Batang" w:hAnsi="Times New Roman" w:cs="Times New Roman"/>
      <w:sz w:val="20"/>
      <w:szCs w:val="20"/>
      <w:lang w:eastAsia="ko-KR"/>
    </w:rPr>
  </w:style>
  <w:style w:type="character" w:styleId="Odwoanieprzypisudolnego">
    <w:name w:val="footnote reference"/>
    <w:uiPriority w:val="99"/>
    <w:unhideWhenUsed/>
    <w:rsid w:val="00BB0912"/>
    <w:rPr>
      <w:vertAlign w:val="superscript"/>
    </w:rPr>
  </w:style>
  <w:style w:type="paragraph" w:styleId="Stopka">
    <w:name w:val="footer"/>
    <w:basedOn w:val="Normalny"/>
    <w:link w:val="StopkaZnak"/>
    <w:uiPriority w:val="99"/>
    <w:unhideWhenUsed/>
    <w:rsid w:val="00BB09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912"/>
    <w:rPr>
      <w:rFonts w:ascii="Calibri" w:eastAsia="Times New Roman" w:hAnsi="Calibri" w:cs="Times New Roman"/>
      <w:lang w:eastAsia="pl-PL"/>
    </w:rPr>
  </w:style>
  <w:style w:type="paragraph" w:customStyle="1" w:styleId="Paragraf">
    <w:name w:val="Paragraf"/>
    <w:basedOn w:val="Normalny"/>
    <w:qFormat/>
    <w:rsid w:val="00BB0912"/>
    <w:pPr>
      <w:numPr>
        <w:numId w:val="2"/>
      </w:numPr>
      <w:spacing w:before="240" w:after="120" w:line="240" w:lineRule="auto"/>
      <w:jc w:val="center"/>
    </w:pPr>
    <w:rPr>
      <w:rFonts w:ascii="Times New Roman" w:hAnsi="Times New Roman"/>
      <w:b/>
      <w:sz w:val="26"/>
      <w:szCs w:val="20"/>
    </w:rPr>
  </w:style>
  <w:style w:type="paragraph" w:customStyle="1" w:styleId="Ustp0">
    <w:name w:val="Ustęp0"/>
    <w:basedOn w:val="Normalny"/>
    <w:qFormat/>
    <w:rsid w:val="00BB0912"/>
    <w:pPr>
      <w:numPr>
        <w:ilvl w:val="1"/>
        <w:numId w:val="2"/>
      </w:numPr>
      <w:spacing w:before="60" w:after="0" w:line="240" w:lineRule="auto"/>
      <w:jc w:val="both"/>
    </w:pPr>
    <w:rPr>
      <w:rFonts w:ascii="Times New Roman" w:hAnsi="Times New Roman"/>
      <w:sz w:val="26"/>
      <w:szCs w:val="20"/>
    </w:rPr>
  </w:style>
  <w:style w:type="paragraph" w:customStyle="1" w:styleId="Ustp">
    <w:name w:val="Ustęp"/>
    <w:basedOn w:val="Normalny"/>
    <w:qFormat/>
    <w:rsid w:val="00BB0912"/>
    <w:pPr>
      <w:numPr>
        <w:ilvl w:val="2"/>
        <w:numId w:val="2"/>
      </w:numPr>
      <w:spacing w:before="60" w:after="0" w:line="240" w:lineRule="auto"/>
      <w:jc w:val="both"/>
    </w:pPr>
    <w:rPr>
      <w:rFonts w:ascii="Times New Roman" w:hAnsi="Times New Roman"/>
      <w:sz w:val="26"/>
      <w:szCs w:val="20"/>
    </w:rPr>
  </w:style>
  <w:style w:type="paragraph" w:customStyle="1" w:styleId="Punkt">
    <w:name w:val="Punkt"/>
    <w:basedOn w:val="Normalny"/>
    <w:qFormat/>
    <w:rsid w:val="00BB0912"/>
    <w:pPr>
      <w:numPr>
        <w:ilvl w:val="3"/>
        <w:numId w:val="2"/>
      </w:numPr>
      <w:spacing w:after="0" w:line="240" w:lineRule="auto"/>
      <w:jc w:val="both"/>
    </w:pPr>
    <w:rPr>
      <w:rFonts w:ascii="Times New Roman" w:hAnsi="Times New Roman"/>
      <w:sz w:val="26"/>
      <w:szCs w:val="20"/>
    </w:rPr>
  </w:style>
  <w:style w:type="paragraph" w:customStyle="1" w:styleId="Litera">
    <w:name w:val="Litera"/>
    <w:basedOn w:val="Normalny"/>
    <w:qFormat/>
    <w:rsid w:val="00BB0912"/>
    <w:pPr>
      <w:numPr>
        <w:ilvl w:val="5"/>
        <w:numId w:val="2"/>
      </w:numPr>
      <w:spacing w:after="0" w:line="240" w:lineRule="auto"/>
      <w:jc w:val="both"/>
    </w:pPr>
    <w:rPr>
      <w:rFonts w:ascii="Times New Roman" w:hAnsi="Times New Roman"/>
      <w:sz w:val="26"/>
      <w:szCs w:val="20"/>
    </w:rPr>
  </w:style>
  <w:style w:type="paragraph" w:customStyle="1" w:styleId="Zdanie">
    <w:name w:val="Zdanie"/>
    <w:basedOn w:val="Normalny"/>
    <w:qFormat/>
    <w:rsid w:val="00BB0912"/>
    <w:pPr>
      <w:numPr>
        <w:ilvl w:val="7"/>
        <w:numId w:val="2"/>
      </w:numPr>
      <w:spacing w:after="0" w:line="240" w:lineRule="auto"/>
      <w:jc w:val="both"/>
    </w:pPr>
    <w:rPr>
      <w:rFonts w:ascii="Times New Roman" w:hAnsi="Times New Roman"/>
      <w:sz w:val="26"/>
      <w:szCs w:val="20"/>
    </w:rPr>
  </w:style>
  <w:style w:type="paragraph" w:styleId="Tekstdymka">
    <w:name w:val="Balloon Text"/>
    <w:basedOn w:val="Normalny"/>
    <w:link w:val="TekstdymkaZnak"/>
    <w:uiPriority w:val="99"/>
    <w:semiHidden/>
    <w:unhideWhenUsed/>
    <w:rsid w:val="005D52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52E2"/>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B96E90"/>
    <w:rPr>
      <w:sz w:val="16"/>
      <w:szCs w:val="16"/>
    </w:rPr>
  </w:style>
  <w:style w:type="paragraph" w:styleId="Tekstkomentarza">
    <w:name w:val="annotation text"/>
    <w:basedOn w:val="Normalny"/>
    <w:link w:val="TekstkomentarzaZnak"/>
    <w:uiPriority w:val="99"/>
    <w:unhideWhenUsed/>
    <w:rsid w:val="00B96E90"/>
    <w:pPr>
      <w:spacing w:line="240" w:lineRule="auto"/>
    </w:pPr>
    <w:rPr>
      <w:sz w:val="20"/>
      <w:szCs w:val="20"/>
    </w:rPr>
  </w:style>
  <w:style w:type="character" w:customStyle="1" w:styleId="TekstkomentarzaZnak">
    <w:name w:val="Tekst komentarza Znak"/>
    <w:basedOn w:val="Domylnaczcionkaakapitu"/>
    <w:link w:val="Tekstkomentarza"/>
    <w:uiPriority w:val="99"/>
    <w:rsid w:val="00B96E9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96E90"/>
    <w:rPr>
      <w:b/>
      <w:bCs/>
    </w:rPr>
  </w:style>
  <w:style w:type="character" w:customStyle="1" w:styleId="TematkomentarzaZnak">
    <w:name w:val="Temat komentarza Znak"/>
    <w:basedOn w:val="TekstkomentarzaZnak"/>
    <w:link w:val="Tematkomentarza"/>
    <w:uiPriority w:val="99"/>
    <w:semiHidden/>
    <w:rsid w:val="00B96E90"/>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790B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0B45"/>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90B45"/>
    <w:rPr>
      <w:vertAlign w:val="superscript"/>
    </w:rPr>
  </w:style>
  <w:style w:type="paragraph" w:styleId="Akapitzlist">
    <w:name w:val="List Paragraph"/>
    <w:basedOn w:val="Normalny"/>
    <w:uiPriority w:val="34"/>
    <w:qFormat/>
    <w:rsid w:val="0087578D"/>
    <w:pPr>
      <w:spacing w:after="160" w:line="259" w:lineRule="auto"/>
      <w:ind w:left="720"/>
      <w:contextualSpacing/>
    </w:pPr>
    <w:rPr>
      <w:rFonts w:asciiTheme="minorHAnsi" w:eastAsiaTheme="minorHAnsi" w:hAnsiTheme="minorHAnsi" w:cstheme="minorBidi"/>
      <w:lang w:eastAsia="en-US"/>
    </w:rPr>
  </w:style>
  <w:style w:type="paragraph" w:styleId="Poprawka">
    <w:name w:val="Revision"/>
    <w:hidden/>
    <w:uiPriority w:val="99"/>
    <w:semiHidden/>
    <w:rsid w:val="0048504A"/>
    <w:pPr>
      <w:spacing w:after="0" w:line="240" w:lineRule="auto"/>
    </w:pPr>
    <w:rPr>
      <w:rFonts w:ascii="Calibri" w:eastAsia="Times New Roman" w:hAnsi="Calibri" w:cs="Times New Roman"/>
      <w:lang w:eastAsia="pl-PL"/>
    </w:rPr>
  </w:style>
  <w:style w:type="paragraph" w:styleId="Nagwek">
    <w:name w:val="header"/>
    <w:basedOn w:val="Normalny"/>
    <w:link w:val="NagwekZnak"/>
    <w:uiPriority w:val="99"/>
    <w:unhideWhenUsed/>
    <w:rsid w:val="004850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04A"/>
    <w:rPr>
      <w:rFonts w:ascii="Calibri" w:eastAsia="Times New Roman" w:hAnsi="Calibri" w:cs="Times New Roman"/>
      <w:lang w:eastAsia="pl-PL"/>
    </w:rPr>
  </w:style>
  <w:style w:type="character" w:styleId="Hipercze">
    <w:name w:val="Hyperlink"/>
    <w:basedOn w:val="Domylnaczcionkaakapitu"/>
    <w:uiPriority w:val="99"/>
    <w:unhideWhenUsed/>
    <w:rsid w:val="0048504A"/>
    <w:rPr>
      <w:color w:val="0563C1"/>
      <w:u w:val="single"/>
    </w:rPr>
  </w:style>
  <w:style w:type="character" w:styleId="UyteHipercze">
    <w:name w:val="FollowedHyperlink"/>
    <w:basedOn w:val="Domylnaczcionkaakapitu"/>
    <w:uiPriority w:val="99"/>
    <w:semiHidden/>
    <w:unhideWhenUsed/>
    <w:rsid w:val="0048504A"/>
    <w:rPr>
      <w:color w:val="954F72"/>
      <w:u w:val="single"/>
    </w:rPr>
  </w:style>
  <w:style w:type="paragraph" w:customStyle="1" w:styleId="xl67">
    <w:name w:val="xl67"/>
    <w:basedOn w:val="Normalny"/>
    <w:rsid w:val="0048504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Normalny"/>
    <w:rsid w:val="004850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ny"/>
    <w:rsid w:val="004850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ny"/>
    <w:rsid w:val="0048504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Normalny"/>
    <w:rsid w:val="0048504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ny"/>
    <w:rsid w:val="0048504A"/>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ny"/>
    <w:rsid w:val="0048504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ny"/>
    <w:rsid w:val="004850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ny"/>
    <w:rsid w:val="0048504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ny"/>
    <w:rsid w:val="0048504A"/>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ny"/>
    <w:rsid w:val="0048504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Normalny"/>
    <w:rsid w:val="0048504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ny"/>
    <w:rsid w:val="0048504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80">
    <w:name w:val="xl80"/>
    <w:basedOn w:val="Normalny"/>
    <w:rsid w:val="0048504A"/>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ny"/>
    <w:rsid w:val="0048504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ny"/>
    <w:rsid w:val="0048504A"/>
    <w:pPr>
      <w:pBdr>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Normalny"/>
    <w:rsid w:val="004850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ny"/>
    <w:rsid w:val="004850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85">
    <w:name w:val="xl85"/>
    <w:basedOn w:val="Normalny"/>
    <w:rsid w:val="0048504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Default">
    <w:name w:val="Default"/>
    <w:basedOn w:val="AkapitStandardowyRyczat"/>
    <w:rsid w:val="005942FF"/>
    <w:rPr>
      <w:rFonts w:asciiTheme="minorHAnsi" w:hAnsiTheme="minorHAnsi" w:cstheme="minorHAnsi"/>
      <w:sz w:val="24"/>
      <w:szCs w:val="24"/>
    </w:rPr>
  </w:style>
  <w:style w:type="paragraph" w:customStyle="1" w:styleId="CZWSPPKTczwsplnapunktw">
    <w:name w:val="CZ_WSP_PKT – część wspólna punktów"/>
    <w:basedOn w:val="Normalny"/>
    <w:next w:val="Normalny"/>
    <w:uiPriority w:val="16"/>
    <w:qFormat/>
    <w:rsid w:val="00FD1F9E"/>
    <w:pPr>
      <w:spacing w:after="0" w:line="360" w:lineRule="auto"/>
      <w:jc w:val="both"/>
    </w:pPr>
    <w:rPr>
      <w:rFonts w:ascii="Times" w:eastAsiaTheme="minorEastAsia" w:hAnsi="Times" w:cs="Arial"/>
      <w:bCs/>
      <w:sz w:val="24"/>
      <w:szCs w:val="20"/>
      <w:lang w:eastAsia="en-US"/>
    </w:rPr>
  </w:style>
  <w:style w:type="character" w:customStyle="1" w:styleId="Nagwek1Znak">
    <w:name w:val="Nagłówek 1 Znak"/>
    <w:basedOn w:val="Domylnaczcionkaakapitu"/>
    <w:link w:val="Nagwek1"/>
    <w:uiPriority w:val="9"/>
    <w:rsid w:val="005942FF"/>
    <w:rPr>
      <w:rFonts w:eastAsia="Times New Roman" w:cstheme="minorHAnsi"/>
      <w:b/>
      <w:sz w:val="32"/>
      <w:szCs w:val="24"/>
      <w:lang w:eastAsia="pl-PL"/>
    </w:rPr>
  </w:style>
  <w:style w:type="paragraph" w:styleId="Nagwekspisutreci">
    <w:name w:val="TOC Heading"/>
    <w:basedOn w:val="Nagwek1"/>
    <w:next w:val="Normalny"/>
    <w:uiPriority w:val="39"/>
    <w:unhideWhenUsed/>
    <w:qFormat/>
    <w:rsid w:val="003C33CC"/>
    <w:pPr>
      <w:keepNext/>
      <w:keepLines/>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Spistreci1">
    <w:name w:val="toc 1"/>
    <w:basedOn w:val="Normalny"/>
    <w:next w:val="Normalny"/>
    <w:autoRedefine/>
    <w:uiPriority w:val="39"/>
    <w:unhideWhenUsed/>
    <w:rsid w:val="000A35F8"/>
    <w:pPr>
      <w:tabs>
        <w:tab w:val="right" w:leader="dot" w:pos="9062"/>
      </w:tabs>
      <w:spacing w:after="100"/>
      <w:jc w:val="both"/>
    </w:pPr>
    <w:rPr>
      <w:b/>
      <w:bCs/>
      <w:noProof/>
    </w:rPr>
  </w:style>
  <w:style w:type="paragraph" w:customStyle="1" w:styleId="xl65">
    <w:name w:val="xl65"/>
    <w:basedOn w:val="Normalny"/>
    <w:rsid w:val="009348A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Normalny"/>
    <w:rsid w:val="00934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975">
      <w:bodyDiv w:val="1"/>
      <w:marLeft w:val="0"/>
      <w:marRight w:val="0"/>
      <w:marTop w:val="0"/>
      <w:marBottom w:val="0"/>
      <w:divBdr>
        <w:top w:val="none" w:sz="0" w:space="0" w:color="auto"/>
        <w:left w:val="none" w:sz="0" w:space="0" w:color="auto"/>
        <w:bottom w:val="none" w:sz="0" w:space="0" w:color="auto"/>
        <w:right w:val="none" w:sz="0" w:space="0" w:color="auto"/>
      </w:divBdr>
      <w:divsChild>
        <w:div w:id="1608612823">
          <w:marLeft w:val="360"/>
          <w:marRight w:val="0"/>
          <w:marTop w:val="200"/>
          <w:marBottom w:val="0"/>
          <w:divBdr>
            <w:top w:val="none" w:sz="0" w:space="0" w:color="auto"/>
            <w:left w:val="none" w:sz="0" w:space="0" w:color="auto"/>
            <w:bottom w:val="none" w:sz="0" w:space="0" w:color="auto"/>
            <w:right w:val="none" w:sz="0" w:space="0" w:color="auto"/>
          </w:divBdr>
        </w:div>
      </w:divsChild>
    </w:div>
    <w:div w:id="298994883">
      <w:bodyDiv w:val="1"/>
      <w:marLeft w:val="0"/>
      <w:marRight w:val="0"/>
      <w:marTop w:val="0"/>
      <w:marBottom w:val="0"/>
      <w:divBdr>
        <w:top w:val="none" w:sz="0" w:space="0" w:color="auto"/>
        <w:left w:val="none" w:sz="0" w:space="0" w:color="auto"/>
        <w:bottom w:val="none" w:sz="0" w:space="0" w:color="auto"/>
        <w:right w:val="none" w:sz="0" w:space="0" w:color="auto"/>
      </w:divBdr>
    </w:div>
    <w:div w:id="464347787">
      <w:bodyDiv w:val="1"/>
      <w:marLeft w:val="0"/>
      <w:marRight w:val="0"/>
      <w:marTop w:val="0"/>
      <w:marBottom w:val="0"/>
      <w:divBdr>
        <w:top w:val="none" w:sz="0" w:space="0" w:color="auto"/>
        <w:left w:val="none" w:sz="0" w:space="0" w:color="auto"/>
        <w:bottom w:val="none" w:sz="0" w:space="0" w:color="auto"/>
        <w:right w:val="none" w:sz="0" w:space="0" w:color="auto"/>
      </w:divBdr>
    </w:div>
    <w:div w:id="472604937">
      <w:bodyDiv w:val="1"/>
      <w:marLeft w:val="0"/>
      <w:marRight w:val="0"/>
      <w:marTop w:val="0"/>
      <w:marBottom w:val="0"/>
      <w:divBdr>
        <w:top w:val="none" w:sz="0" w:space="0" w:color="auto"/>
        <w:left w:val="none" w:sz="0" w:space="0" w:color="auto"/>
        <w:bottom w:val="none" w:sz="0" w:space="0" w:color="auto"/>
        <w:right w:val="none" w:sz="0" w:space="0" w:color="auto"/>
      </w:divBdr>
    </w:div>
    <w:div w:id="578367491">
      <w:bodyDiv w:val="1"/>
      <w:marLeft w:val="0"/>
      <w:marRight w:val="0"/>
      <w:marTop w:val="0"/>
      <w:marBottom w:val="0"/>
      <w:divBdr>
        <w:top w:val="none" w:sz="0" w:space="0" w:color="auto"/>
        <w:left w:val="none" w:sz="0" w:space="0" w:color="auto"/>
        <w:bottom w:val="none" w:sz="0" w:space="0" w:color="auto"/>
        <w:right w:val="none" w:sz="0" w:space="0" w:color="auto"/>
      </w:divBdr>
      <w:divsChild>
        <w:div w:id="383912534">
          <w:marLeft w:val="360"/>
          <w:marRight w:val="0"/>
          <w:marTop w:val="200"/>
          <w:marBottom w:val="0"/>
          <w:divBdr>
            <w:top w:val="none" w:sz="0" w:space="0" w:color="auto"/>
            <w:left w:val="none" w:sz="0" w:space="0" w:color="auto"/>
            <w:bottom w:val="none" w:sz="0" w:space="0" w:color="auto"/>
            <w:right w:val="none" w:sz="0" w:space="0" w:color="auto"/>
          </w:divBdr>
        </w:div>
      </w:divsChild>
    </w:div>
    <w:div w:id="816073415">
      <w:bodyDiv w:val="1"/>
      <w:marLeft w:val="0"/>
      <w:marRight w:val="0"/>
      <w:marTop w:val="0"/>
      <w:marBottom w:val="0"/>
      <w:divBdr>
        <w:top w:val="none" w:sz="0" w:space="0" w:color="auto"/>
        <w:left w:val="none" w:sz="0" w:space="0" w:color="auto"/>
        <w:bottom w:val="none" w:sz="0" w:space="0" w:color="auto"/>
        <w:right w:val="none" w:sz="0" w:space="0" w:color="auto"/>
      </w:divBdr>
    </w:div>
    <w:div w:id="827786699">
      <w:bodyDiv w:val="1"/>
      <w:marLeft w:val="0"/>
      <w:marRight w:val="0"/>
      <w:marTop w:val="0"/>
      <w:marBottom w:val="0"/>
      <w:divBdr>
        <w:top w:val="none" w:sz="0" w:space="0" w:color="auto"/>
        <w:left w:val="none" w:sz="0" w:space="0" w:color="auto"/>
        <w:bottom w:val="none" w:sz="0" w:space="0" w:color="auto"/>
        <w:right w:val="none" w:sz="0" w:space="0" w:color="auto"/>
      </w:divBdr>
      <w:divsChild>
        <w:div w:id="1994093117">
          <w:marLeft w:val="360"/>
          <w:marRight w:val="0"/>
          <w:marTop w:val="200"/>
          <w:marBottom w:val="0"/>
          <w:divBdr>
            <w:top w:val="none" w:sz="0" w:space="0" w:color="auto"/>
            <w:left w:val="none" w:sz="0" w:space="0" w:color="auto"/>
            <w:bottom w:val="none" w:sz="0" w:space="0" w:color="auto"/>
            <w:right w:val="none" w:sz="0" w:space="0" w:color="auto"/>
          </w:divBdr>
        </w:div>
      </w:divsChild>
    </w:div>
    <w:div w:id="876938983">
      <w:bodyDiv w:val="1"/>
      <w:marLeft w:val="0"/>
      <w:marRight w:val="0"/>
      <w:marTop w:val="0"/>
      <w:marBottom w:val="0"/>
      <w:divBdr>
        <w:top w:val="none" w:sz="0" w:space="0" w:color="auto"/>
        <w:left w:val="none" w:sz="0" w:space="0" w:color="auto"/>
        <w:bottom w:val="none" w:sz="0" w:space="0" w:color="auto"/>
        <w:right w:val="none" w:sz="0" w:space="0" w:color="auto"/>
      </w:divBdr>
    </w:div>
    <w:div w:id="905842883">
      <w:bodyDiv w:val="1"/>
      <w:marLeft w:val="0"/>
      <w:marRight w:val="0"/>
      <w:marTop w:val="0"/>
      <w:marBottom w:val="0"/>
      <w:divBdr>
        <w:top w:val="none" w:sz="0" w:space="0" w:color="auto"/>
        <w:left w:val="none" w:sz="0" w:space="0" w:color="auto"/>
        <w:bottom w:val="none" w:sz="0" w:space="0" w:color="auto"/>
        <w:right w:val="none" w:sz="0" w:space="0" w:color="auto"/>
      </w:divBdr>
    </w:div>
    <w:div w:id="956833645">
      <w:bodyDiv w:val="1"/>
      <w:marLeft w:val="0"/>
      <w:marRight w:val="0"/>
      <w:marTop w:val="0"/>
      <w:marBottom w:val="0"/>
      <w:divBdr>
        <w:top w:val="none" w:sz="0" w:space="0" w:color="auto"/>
        <w:left w:val="none" w:sz="0" w:space="0" w:color="auto"/>
        <w:bottom w:val="none" w:sz="0" w:space="0" w:color="auto"/>
        <w:right w:val="none" w:sz="0" w:space="0" w:color="auto"/>
      </w:divBdr>
    </w:div>
    <w:div w:id="968437759">
      <w:bodyDiv w:val="1"/>
      <w:marLeft w:val="0"/>
      <w:marRight w:val="0"/>
      <w:marTop w:val="0"/>
      <w:marBottom w:val="0"/>
      <w:divBdr>
        <w:top w:val="none" w:sz="0" w:space="0" w:color="auto"/>
        <w:left w:val="none" w:sz="0" w:space="0" w:color="auto"/>
        <w:bottom w:val="none" w:sz="0" w:space="0" w:color="auto"/>
        <w:right w:val="none" w:sz="0" w:space="0" w:color="auto"/>
      </w:divBdr>
      <w:divsChild>
        <w:div w:id="2034918689">
          <w:marLeft w:val="360"/>
          <w:marRight w:val="0"/>
          <w:marTop w:val="200"/>
          <w:marBottom w:val="0"/>
          <w:divBdr>
            <w:top w:val="none" w:sz="0" w:space="0" w:color="auto"/>
            <w:left w:val="none" w:sz="0" w:space="0" w:color="auto"/>
            <w:bottom w:val="none" w:sz="0" w:space="0" w:color="auto"/>
            <w:right w:val="none" w:sz="0" w:space="0" w:color="auto"/>
          </w:divBdr>
        </w:div>
      </w:divsChild>
    </w:div>
    <w:div w:id="973755938">
      <w:bodyDiv w:val="1"/>
      <w:marLeft w:val="0"/>
      <w:marRight w:val="0"/>
      <w:marTop w:val="0"/>
      <w:marBottom w:val="0"/>
      <w:divBdr>
        <w:top w:val="none" w:sz="0" w:space="0" w:color="auto"/>
        <w:left w:val="none" w:sz="0" w:space="0" w:color="auto"/>
        <w:bottom w:val="none" w:sz="0" w:space="0" w:color="auto"/>
        <w:right w:val="none" w:sz="0" w:space="0" w:color="auto"/>
      </w:divBdr>
      <w:divsChild>
        <w:div w:id="2088764054">
          <w:marLeft w:val="360"/>
          <w:marRight w:val="0"/>
          <w:marTop w:val="200"/>
          <w:marBottom w:val="0"/>
          <w:divBdr>
            <w:top w:val="none" w:sz="0" w:space="0" w:color="auto"/>
            <w:left w:val="none" w:sz="0" w:space="0" w:color="auto"/>
            <w:bottom w:val="none" w:sz="0" w:space="0" w:color="auto"/>
            <w:right w:val="none" w:sz="0" w:space="0" w:color="auto"/>
          </w:divBdr>
        </w:div>
      </w:divsChild>
    </w:div>
    <w:div w:id="1038698929">
      <w:bodyDiv w:val="1"/>
      <w:marLeft w:val="0"/>
      <w:marRight w:val="0"/>
      <w:marTop w:val="0"/>
      <w:marBottom w:val="0"/>
      <w:divBdr>
        <w:top w:val="none" w:sz="0" w:space="0" w:color="auto"/>
        <w:left w:val="none" w:sz="0" w:space="0" w:color="auto"/>
        <w:bottom w:val="none" w:sz="0" w:space="0" w:color="auto"/>
        <w:right w:val="none" w:sz="0" w:space="0" w:color="auto"/>
      </w:divBdr>
    </w:div>
    <w:div w:id="1141268806">
      <w:bodyDiv w:val="1"/>
      <w:marLeft w:val="0"/>
      <w:marRight w:val="0"/>
      <w:marTop w:val="0"/>
      <w:marBottom w:val="0"/>
      <w:divBdr>
        <w:top w:val="none" w:sz="0" w:space="0" w:color="auto"/>
        <w:left w:val="none" w:sz="0" w:space="0" w:color="auto"/>
        <w:bottom w:val="none" w:sz="0" w:space="0" w:color="auto"/>
        <w:right w:val="none" w:sz="0" w:space="0" w:color="auto"/>
      </w:divBdr>
    </w:div>
    <w:div w:id="1229416482">
      <w:bodyDiv w:val="1"/>
      <w:marLeft w:val="0"/>
      <w:marRight w:val="0"/>
      <w:marTop w:val="0"/>
      <w:marBottom w:val="0"/>
      <w:divBdr>
        <w:top w:val="none" w:sz="0" w:space="0" w:color="auto"/>
        <w:left w:val="none" w:sz="0" w:space="0" w:color="auto"/>
        <w:bottom w:val="none" w:sz="0" w:space="0" w:color="auto"/>
        <w:right w:val="none" w:sz="0" w:space="0" w:color="auto"/>
      </w:divBdr>
    </w:div>
    <w:div w:id="1576934051">
      <w:bodyDiv w:val="1"/>
      <w:marLeft w:val="0"/>
      <w:marRight w:val="0"/>
      <w:marTop w:val="0"/>
      <w:marBottom w:val="0"/>
      <w:divBdr>
        <w:top w:val="none" w:sz="0" w:space="0" w:color="auto"/>
        <w:left w:val="none" w:sz="0" w:space="0" w:color="auto"/>
        <w:bottom w:val="none" w:sz="0" w:space="0" w:color="auto"/>
        <w:right w:val="none" w:sz="0" w:space="0" w:color="auto"/>
      </w:divBdr>
      <w:divsChild>
        <w:div w:id="1377853245">
          <w:marLeft w:val="360"/>
          <w:marRight w:val="0"/>
          <w:marTop w:val="200"/>
          <w:marBottom w:val="0"/>
          <w:divBdr>
            <w:top w:val="none" w:sz="0" w:space="0" w:color="auto"/>
            <w:left w:val="none" w:sz="0" w:space="0" w:color="auto"/>
            <w:bottom w:val="none" w:sz="0" w:space="0" w:color="auto"/>
            <w:right w:val="none" w:sz="0" w:space="0" w:color="auto"/>
          </w:divBdr>
        </w:div>
      </w:divsChild>
    </w:div>
    <w:div w:id="1630546153">
      <w:bodyDiv w:val="1"/>
      <w:marLeft w:val="0"/>
      <w:marRight w:val="0"/>
      <w:marTop w:val="0"/>
      <w:marBottom w:val="0"/>
      <w:divBdr>
        <w:top w:val="none" w:sz="0" w:space="0" w:color="auto"/>
        <w:left w:val="none" w:sz="0" w:space="0" w:color="auto"/>
        <w:bottom w:val="none" w:sz="0" w:space="0" w:color="auto"/>
        <w:right w:val="none" w:sz="0" w:space="0" w:color="auto"/>
      </w:divBdr>
      <w:divsChild>
        <w:div w:id="157116272">
          <w:marLeft w:val="360"/>
          <w:marRight w:val="0"/>
          <w:marTop w:val="200"/>
          <w:marBottom w:val="0"/>
          <w:divBdr>
            <w:top w:val="none" w:sz="0" w:space="0" w:color="auto"/>
            <w:left w:val="none" w:sz="0" w:space="0" w:color="auto"/>
            <w:bottom w:val="none" w:sz="0" w:space="0" w:color="auto"/>
            <w:right w:val="none" w:sz="0" w:space="0" w:color="auto"/>
          </w:divBdr>
        </w:div>
      </w:divsChild>
    </w:div>
    <w:div w:id="1710380188">
      <w:bodyDiv w:val="1"/>
      <w:marLeft w:val="0"/>
      <w:marRight w:val="0"/>
      <w:marTop w:val="0"/>
      <w:marBottom w:val="0"/>
      <w:divBdr>
        <w:top w:val="none" w:sz="0" w:space="0" w:color="auto"/>
        <w:left w:val="none" w:sz="0" w:space="0" w:color="auto"/>
        <w:bottom w:val="none" w:sz="0" w:space="0" w:color="auto"/>
        <w:right w:val="none" w:sz="0" w:space="0" w:color="auto"/>
      </w:divBdr>
      <w:divsChild>
        <w:div w:id="685402095">
          <w:marLeft w:val="360"/>
          <w:marRight w:val="0"/>
          <w:marTop w:val="200"/>
          <w:marBottom w:val="0"/>
          <w:divBdr>
            <w:top w:val="none" w:sz="0" w:space="0" w:color="auto"/>
            <w:left w:val="none" w:sz="0" w:space="0" w:color="auto"/>
            <w:bottom w:val="none" w:sz="0" w:space="0" w:color="auto"/>
            <w:right w:val="none" w:sz="0" w:space="0" w:color="auto"/>
          </w:divBdr>
        </w:div>
      </w:divsChild>
    </w:div>
    <w:div w:id="1718116163">
      <w:bodyDiv w:val="1"/>
      <w:marLeft w:val="0"/>
      <w:marRight w:val="0"/>
      <w:marTop w:val="0"/>
      <w:marBottom w:val="0"/>
      <w:divBdr>
        <w:top w:val="none" w:sz="0" w:space="0" w:color="auto"/>
        <w:left w:val="none" w:sz="0" w:space="0" w:color="auto"/>
        <w:bottom w:val="none" w:sz="0" w:space="0" w:color="auto"/>
        <w:right w:val="none" w:sz="0" w:space="0" w:color="auto"/>
      </w:divBdr>
    </w:div>
    <w:div w:id="1740522052">
      <w:bodyDiv w:val="1"/>
      <w:marLeft w:val="0"/>
      <w:marRight w:val="0"/>
      <w:marTop w:val="0"/>
      <w:marBottom w:val="0"/>
      <w:divBdr>
        <w:top w:val="none" w:sz="0" w:space="0" w:color="auto"/>
        <w:left w:val="none" w:sz="0" w:space="0" w:color="auto"/>
        <w:bottom w:val="none" w:sz="0" w:space="0" w:color="auto"/>
        <w:right w:val="none" w:sz="0" w:space="0" w:color="auto"/>
      </w:divBdr>
    </w:div>
    <w:div w:id="1771126209">
      <w:bodyDiv w:val="1"/>
      <w:marLeft w:val="0"/>
      <w:marRight w:val="0"/>
      <w:marTop w:val="0"/>
      <w:marBottom w:val="0"/>
      <w:divBdr>
        <w:top w:val="none" w:sz="0" w:space="0" w:color="auto"/>
        <w:left w:val="none" w:sz="0" w:space="0" w:color="auto"/>
        <w:bottom w:val="none" w:sz="0" w:space="0" w:color="auto"/>
        <w:right w:val="none" w:sz="0" w:space="0" w:color="auto"/>
      </w:divBdr>
      <w:divsChild>
        <w:div w:id="352656442">
          <w:marLeft w:val="360"/>
          <w:marRight w:val="0"/>
          <w:marTop w:val="200"/>
          <w:marBottom w:val="0"/>
          <w:divBdr>
            <w:top w:val="none" w:sz="0" w:space="0" w:color="auto"/>
            <w:left w:val="none" w:sz="0" w:space="0" w:color="auto"/>
            <w:bottom w:val="none" w:sz="0" w:space="0" w:color="auto"/>
            <w:right w:val="none" w:sz="0" w:space="0" w:color="auto"/>
          </w:divBdr>
        </w:div>
      </w:divsChild>
    </w:div>
    <w:div w:id="1788692699">
      <w:bodyDiv w:val="1"/>
      <w:marLeft w:val="0"/>
      <w:marRight w:val="0"/>
      <w:marTop w:val="0"/>
      <w:marBottom w:val="0"/>
      <w:divBdr>
        <w:top w:val="none" w:sz="0" w:space="0" w:color="auto"/>
        <w:left w:val="none" w:sz="0" w:space="0" w:color="auto"/>
        <w:bottom w:val="none" w:sz="0" w:space="0" w:color="auto"/>
        <w:right w:val="none" w:sz="0" w:space="0" w:color="auto"/>
      </w:divBdr>
      <w:divsChild>
        <w:div w:id="1552644808">
          <w:marLeft w:val="360"/>
          <w:marRight w:val="0"/>
          <w:marTop w:val="200"/>
          <w:marBottom w:val="0"/>
          <w:divBdr>
            <w:top w:val="none" w:sz="0" w:space="0" w:color="auto"/>
            <w:left w:val="none" w:sz="0" w:space="0" w:color="auto"/>
            <w:bottom w:val="none" w:sz="0" w:space="0" w:color="auto"/>
            <w:right w:val="none" w:sz="0" w:space="0" w:color="auto"/>
          </w:divBdr>
        </w:div>
      </w:divsChild>
    </w:div>
    <w:div w:id="20970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2" ma:contentTypeDescription="Utwórz nowy dokument." ma:contentTypeScope="" ma:versionID="96e02b0b367e8203e2f8ea2a949fda13">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1fe49ff148ae2ebcee1e72bb71005709"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ACBD1-D861-4C82-A212-C73CFFEFEF9C}">
  <ds:schemaRefs>
    <ds:schemaRef ds:uri="http://schemas.openxmlformats.org/officeDocument/2006/bibliography"/>
  </ds:schemaRefs>
</ds:datastoreItem>
</file>

<file path=customXml/itemProps2.xml><?xml version="1.0" encoding="utf-8"?>
<ds:datastoreItem xmlns:ds="http://schemas.openxmlformats.org/officeDocument/2006/customXml" ds:itemID="{06428A5F-7505-4D6F-B8A9-F02AC6CE4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99B14-1179-4E89-8A6D-5391F0AAA977}">
  <ds:schemaRefs>
    <ds:schemaRef ds:uri="http://schemas.microsoft.com/sharepoint/v3/contenttype/forms"/>
  </ds:schemaRefs>
</ds:datastoreItem>
</file>

<file path=customXml/itemProps4.xml><?xml version="1.0" encoding="utf-8"?>
<ds:datastoreItem xmlns:ds="http://schemas.openxmlformats.org/officeDocument/2006/customXml" ds:itemID="{B21E94B6-5739-431B-9178-154225A11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7032</Words>
  <Characters>42198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Jakub</dc:creator>
  <cp:keywords/>
  <dc:description/>
  <cp:lastModifiedBy>Orzechowska Katarzyna</cp:lastModifiedBy>
  <cp:revision>6</cp:revision>
  <cp:lastPrinted>2022-09-13T10:21:00Z</cp:lastPrinted>
  <dcterms:created xsi:type="dcterms:W3CDTF">2022-10-25T11:37:00Z</dcterms:created>
  <dcterms:modified xsi:type="dcterms:W3CDTF">2022-10-25T11:41:00Z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