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947" w:rsidRPr="002E07DC" w:rsidRDefault="008B5947" w:rsidP="008B5947">
      <w:pPr>
        <w:shd w:val="clear" w:color="auto" w:fill="FFFFFF"/>
        <w:spacing w:after="0" w:line="240" w:lineRule="auto"/>
        <w:jc w:val="center"/>
        <w:rPr>
          <w:rFonts w:ascii="Arial" w:eastAsia="Times New Roman" w:hAnsi="Arial" w:cs="Arial"/>
          <w:color w:val="2B2B2B"/>
          <w:sz w:val="32"/>
          <w:szCs w:val="32"/>
          <w:lang w:eastAsia="pl-PL"/>
        </w:rPr>
      </w:pPr>
      <w:r w:rsidRPr="002E07DC">
        <w:rPr>
          <w:rFonts w:ascii="Arial" w:eastAsia="Times New Roman" w:hAnsi="Arial" w:cs="Arial"/>
          <w:b/>
          <w:bCs/>
          <w:color w:val="2B2B2B"/>
          <w:sz w:val="32"/>
          <w:szCs w:val="32"/>
          <w:lang w:eastAsia="pl-PL"/>
        </w:rPr>
        <w:t>Ochrona przyrody</w:t>
      </w:r>
    </w:p>
    <w:p w:rsidR="008B5947" w:rsidRPr="008B5947" w:rsidRDefault="008B5947" w:rsidP="008B5947">
      <w:pPr>
        <w:shd w:val="clear" w:color="auto" w:fill="FFFFFF"/>
        <w:spacing w:after="100" w:afterAutospacing="1" w:line="315" w:lineRule="atLeast"/>
        <w:jc w:val="both"/>
        <w:rPr>
          <w:rFonts w:ascii="Arial" w:eastAsia="Times New Roman" w:hAnsi="Arial" w:cs="Arial"/>
          <w:color w:val="2B2B2B"/>
          <w:sz w:val="21"/>
          <w:szCs w:val="21"/>
          <w:lang w:eastAsia="pl-PL"/>
        </w:rPr>
      </w:pPr>
      <w:r w:rsidRPr="008B5947">
        <w:rPr>
          <w:rFonts w:ascii="Arial" w:eastAsia="Times New Roman" w:hAnsi="Arial" w:cs="Arial"/>
          <w:color w:val="2B2B2B"/>
          <w:sz w:val="21"/>
          <w:szCs w:val="21"/>
          <w:lang w:eastAsia="pl-PL"/>
        </w:rPr>
        <w:t> </w:t>
      </w:r>
      <w:r w:rsidRPr="008B5947">
        <w:rPr>
          <w:rFonts w:ascii="Arial" w:eastAsia="Times New Roman" w:hAnsi="Arial" w:cs="Arial"/>
          <w:color w:val="2B2B2B"/>
          <w:sz w:val="20"/>
          <w:szCs w:val="20"/>
          <w:lang w:eastAsia="pl-PL"/>
        </w:rPr>
        <w:t>     Nadleśnictwo Nowy Targ położone jest pomiędzy 3 Parkami Narodowymi: Tatrzańskim, Gorczańskim i Babiogórskim. Całość Lasów Państwowych Nadleśnictwa została uznana decyzją Ministra Środowiska za lasy ochronne. Do ustawowych form ochrony przyrody na terenie Nadleśnictwa należą: rezerwaty przyrody, obszary chronionego krajobrazu, strefy ochronne (otuliny), pomniki przyrody, chronione gatunki roślin i zwierząt oraz obszary włączone do Europejskiej Sieci Ekologicznej „ Natura 2000”.</w:t>
      </w:r>
    </w:p>
    <w:p w:rsidR="008B5947" w:rsidRPr="008B5947" w:rsidRDefault="008B5947" w:rsidP="008B5947">
      <w:pPr>
        <w:shd w:val="clear" w:color="auto" w:fill="FFFFFF"/>
        <w:spacing w:after="100" w:afterAutospacing="1" w:line="315" w:lineRule="atLeast"/>
        <w:ind w:left="1440" w:hanging="360"/>
        <w:rPr>
          <w:rFonts w:ascii="Arial" w:eastAsia="Times New Roman" w:hAnsi="Arial" w:cs="Arial"/>
          <w:color w:val="2B2B2B"/>
          <w:sz w:val="21"/>
          <w:szCs w:val="21"/>
          <w:lang w:eastAsia="pl-PL"/>
        </w:rPr>
      </w:pPr>
      <w:r w:rsidRPr="008B5947">
        <w:rPr>
          <w:rFonts w:ascii="Arial" w:eastAsia="Times New Roman" w:hAnsi="Arial" w:cs="Arial"/>
          <w:b/>
          <w:bCs/>
          <w:color w:val="2B2B2B"/>
          <w:sz w:val="24"/>
          <w:szCs w:val="24"/>
          <w:lang w:eastAsia="pl-PL"/>
        </w:rPr>
        <w:t>     1.</w:t>
      </w:r>
      <w:r w:rsidRPr="008B5947">
        <w:rPr>
          <w:rFonts w:ascii="Times New Roman" w:eastAsia="Times New Roman" w:hAnsi="Times New Roman" w:cs="Times New Roman"/>
          <w:b/>
          <w:bCs/>
          <w:color w:val="2B2B2B"/>
          <w:sz w:val="14"/>
          <w:szCs w:val="14"/>
          <w:lang w:eastAsia="pl-PL"/>
        </w:rPr>
        <w:t>    </w:t>
      </w:r>
      <w:r w:rsidRPr="008B5947">
        <w:rPr>
          <w:rFonts w:ascii="Arial" w:eastAsia="Times New Roman" w:hAnsi="Arial" w:cs="Arial"/>
          <w:b/>
          <w:bCs/>
          <w:color w:val="2B2B2B"/>
          <w:sz w:val="24"/>
          <w:szCs w:val="24"/>
          <w:lang w:eastAsia="pl-PL"/>
        </w:rPr>
        <w:t>Parki Narodowe</w:t>
      </w:r>
      <w:r w:rsidRPr="008B5947">
        <w:rPr>
          <w:rFonts w:ascii="Arial" w:eastAsia="Times New Roman" w:hAnsi="Arial" w:cs="Arial"/>
          <w:color w:val="2B2B2B"/>
          <w:sz w:val="21"/>
          <w:szCs w:val="21"/>
          <w:lang w:eastAsia="pl-PL"/>
        </w:rPr>
        <w:t>  </w:t>
      </w:r>
      <w:bookmarkStart w:id="0" w:name="_GoBack"/>
      <w:bookmarkEnd w:id="0"/>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 xml:space="preserve">Nadleśnictwo sąsiaduje swym zasięgiem terytorialnym z trzema Parkami Narodowymi. Znaczna część gruntów zarządzanych przez Nadleśnictwo znajduje się na terenie otulin dwóch z nich, tj. Babiogórskiego Parku Narodowego oraz Gorczańskiego Parku Narodowego. W przypadku otuliny </w:t>
      </w:r>
      <w:proofErr w:type="spellStart"/>
      <w:r w:rsidRPr="008B5947">
        <w:rPr>
          <w:rFonts w:ascii="Arial" w:eastAsia="Times New Roman" w:hAnsi="Arial" w:cs="Arial"/>
          <w:color w:val="2B2B2B"/>
          <w:sz w:val="20"/>
          <w:szCs w:val="20"/>
          <w:lang w:eastAsia="pl-PL"/>
        </w:rPr>
        <w:t>BgPN</w:t>
      </w:r>
      <w:proofErr w:type="spellEnd"/>
      <w:r w:rsidRPr="008B5947">
        <w:rPr>
          <w:rFonts w:ascii="Arial" w:eastAsia="Times New Roman" w:hAnsi="Arial" w:cs="Arial"/>
          <w:color w:val="2B2B2B"/>
          <w:sz w:val="20"/>
          <w:szCs w:val="20"/>
          <w:lang w:eastAsia="pl-PL"/>
        </w:rPr>
        <w:t xml:space="preserve"> są to tereny zlokalizowane na obszarze leśnictw </w:t>
      </w:r>
      <w:proofErr w:type="spellStart"/>
      <w:r w:rsidRPr="008B5947">
        <w:rPr>
          <w:rFonts w:ascii="Arial" w:eastAsia="Times New Roman" w:hAnsi="Arial" w:cs="Arial"/>
          <w:color w:val="2B2B2B"/>
          <w:sz w:val="20"/>
          <w:szCs w:val="20"/>
          <w:lang w:eastAsia="pl-PL"/>
        </w:rPr>
        <w:t>Stańcowa</w:t>
      </w:r>
      <w:proofErr w:type="spellEnd"/>
      <w:r w:rsidRPr="008B5947">
        <w:rPr>
          <w:rFonts w:ascii="Arial" w:eastAsia="Times New Roman" w:hAnsi="Arial" w:cs="Arial"/>
          <w:color w:val="2B2B2B"/>
          <w:sz w:val="20"/>
          <w:szCs w:val="20"/>
          <w:lang w:eastAsia="pl-PL"/>
        </w:rPr>
        <w:t xml:space="preserve"> i Police o łącznej powierzchni blisko 1298 ha. Natomiast otulina GPN obejmuje swym zasięgiem niemal całe leśnictwo Gorce oraz fragment leśnictwa Rabka na łącznej powierzchni ponad 1026 ha. Dodatkowo blisko hektar gruntów należących do Nadleśnictwa Nowy Targ (m. in. uroczysko „Jaszczurówka”) znajduje się na terenie Tatrzańskiego Parku Narodowego.</w:t>
      </w:r>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b/>
          <w:bCs/>
          <w:color w:val="2B2B2B"/>
          <w:sz w:val="24"/>
          <w:szCs w:val="24"/>
          <w:lang w:eastAsia="pl-PL"/>
        </w:rPr>
        <w:t>2.</w:t>
      </w:r>
      <w:r w:rsidRPr="008B5947">
        <w:rPr>
          <w:rFonts w:ascii="Times New Roman" w:eastAsia="Times New Roman" w:hAnsi="Times New Roman" w:cs="Times New Roman"/>
          <w:b/>
          <w:bCs/>
          <w:color w:val="2B2B2B"/>
          <w:sz w:val="14"/>
          <w:szCs w:val="14"/>
          <w:lang w:eastAsia="pl-PL"/>
        </w:rPr>
        <w:t>    </w:t>
      </w:r>
      <w:r w:rsidRPr="008B5947">
        <w:rPr>
          <w:rFonts w:ascii="Arial" w:eastAsia="Times New Roman" w:hAnsi="Arial" w:cs="Arial"/>
          <w:b/>
          <w:bCs/>
          <w:color w:val="2B2B2B"/>
          <w:sz w:val="24"/>
          <w:szCs w:val="24"/>
          <w:lang w:eastAsia="pl-PL"/>
        </w:rPr>
        <w:t>Rezerwaty przyrody</w:t>
      </w:r>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Na gruntach Nadleśnictwa Nowy Targ znajdują się dwa rezerwaty przyrody:</w:t>
      </w:r>
    </w:p>
    <w:p w:rsidR="008B5947" w:rsidRPr="008B5947" w:rsidRDefault="008B5947" w:rsidP="008B5947">
      <w:pPr>
        <w:shd w:val="clear" w:color="auto" w:fill="FFFFFF"/>
        <w:spacing w:after="100" w:afterAutospacing="1" w:line="315" w:lineRule="atLeast"/>
        <w:ind w:left="2160" w:hanging="36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 xml:space="preserve">„Bór na </w:t>
      </w:r>
      <w:proofErr w:type="spellStart"/>
      <w:r w:rsidRPr="008B5947">
        <w:rPr>
          <w:rFonts w:ascii="Arial" w:eastAsia="Times New Roman" w:hAnsi="Arial" w:cs="Arial"/>
          <w:color w:val="2B2B2B"/>
          <w:sz w:val="20"/>
          <w:szCs w:val="20"/>
          <w:lang w:eastAsia="pl-PL"/>
        </w:rPr>
        <w:t>Czerwonem</w:t>
      </w:r>
      <w:proofErr w:type="spellEnd"/>
      <w:r w:rsidRPr="008B5947">
        <w:rPr>
          <w:rFonts w:ascii="Arial" w:eastAsia="Times New Roman" w:hAnsi="Arial" w:cs="Arial"/>
          <w:color w:val="2B2B2B"/>
          <w:sz w:val="20"/>
          <w:szCs w:val="20"/>
          <w:lang w:eastAsia="pl-PL"/>
        </w:rPr>
        <w:t>” - jeden z najstarszych rezerwatów na terenie Polski. Początkowo ustanowiony decyzją Rady Miasta Nowego Targu w 1925 roku. Powołany po II Wojnie Światowej zarządzeniem Ministra Leśnictwa i Przemysłu Drzewnego i ogłoszony w Monitorze Polskim w 1956 roku. Został poszerzony na mocy Rozporządzenia Nr 3/03 Wojewody Małopolskiego w 2003 roku z inicjatywy Nadleśnictwa Nowy Targ. Posiada aktualny plan ochrony z 2015 roku.</w:t>
      </w:r>
    </w:p>
    <w:p w:rsidR="008B5947" w:rsidRPr="008B5947" w:rsidRDefault="008B5947" w:rsidP="008B5947">
      <w:pPr>
        <w:shd w:val="clear" w:color="auto" w:fill="FFFFFF"/>
        <w:spacing w:after="100" w:afterAutospacing="1" w:line="315" w:lineRule="atLeast"/>
        <w:ind w:left="2160" w:hanging="36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w:t>
      </w:r>
      <w:proofErr w:type="spellStart"/>
      <w:r w:rsidRPr="008B5947">
        <w:rPr>
          <w:rFonts w:ascii="Arial" w:eastAsia="Times New Roman" w:hAnsi="Arial" w:cs="Arial"/>
          <w:color w:val="2B2B2B"/>
          <w:sz w:val="20"/>
          <w:szCs w:val="20"/>
          <w:lang w:eastAsia="pl-PL"/>
        </w:rPr>
        <w:t>Bembeńskie</w:t>
      </w:r>
      <w:proofErr w:type="spellEnd"/>
      <w:r w:rsidRPr="008B5947">
        <w:rPr>
          <w:rFonts w:ascii="Arial" w:eastAsia="Times New Roman" w:hAnsi="Arial" w:cs="Arial"/>
          <w:color w:val="2B2B2B"/>
          <w:sz w:val="20"/>
          <w:szCs w:val="20"/>
          <w:lang w:eastAsia="pl-PL"/>
        </w:rPr>
        <w:t>” - utworzony na mocy Rozporządzenia Nr 3/2001 Wojewody Małopolskiego z dnia 4 stycznia 2001 roku. Powiększony w oparciu o Zarządzenie Nr 38/10 Regionalnego Dyrektora Ochrony Środowiska w Krakowie z dnia 30 grudnia 2010 r. Nie posiada aktualnego planu ochrony.</w:t>
      </w:r>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 zasięgu terytorialnym Nadleśnictwa Nowy Targ znajdują się ponadto rezerwaty przyrody „Skałka Rogoźnicka” i „Przełom Białki pod Krempachami”. Nie są one jednak położone bezpośrednio na gruntach zarządzanych przez Nadleśnictwo.</w:t>
      </w:r>
    </w:p>
    <w:p w:rsidR="008B5947" w:rsidRPr="008B5947" w:rsidRDefault="008B5947" w:rsidP="008B5947">
      <w:pPr>
        <w:shd w:val="clear" w:color="auto" w:fill="FFFFFF"/>
        <w:spacing w:after="100" w:afterAutospacing="1" w:line="240" w:lineRule="auto"/>
        <w:rPr>
          <w:rFonts w:ascii="Arial" w:eastAsia="Times New Roman" w:hAnsi="Arial" w:cs="Arial"/>
          <w:color w:val="2B2B2B"/>
          <w:sz w:val="21"/>
          <w:szCs w:val="21"/>
          <w:lang w:eastAsia="pl-PL"/>
        </w:rPr>
      </w:pPr>
      <w:r w:rsidRPr="008B5947">
        <w:rPr>
          <w:rFonts w:ascii="Arial" w:eastAsia="Times New Roman" w:hAnsi="Arial" w:cs="Arial"/>
          <w:b/>
          <w:bCs/>
          <w:color w:val="2B2B2B"/>
          <w:sz w:val="24"/>
          <w:szCs w:val="24"/>
          <w:lang w:eastAsia="pl-PL"/>
        </w:rPr>
        <w:t>                     3.</w:t>
      </w:r>
      <w:r w:rsidRPr="008B5947">
        <w:rPr>
          <w:rFonts w:ascii="Times New Roman" w:eastAsia="Times New Roman" w:hAnsi="Times New Roman" w:cs="Times New Roman"/>
          <w:b/>
          <w:bCs/>
          <w:color w:val="2B2B2B"/>
          <w:sz w:val="14"/>
          <w:szCs w:val="14"/>
          <w:lang w:eastAsia="pl-PL"/>
        </w:rPr>
        <w:t>    </w:t>
      </w:r>
      <w:r w:rsidRPr="008B5947">
        <w:rPr>
          <w:rFonts w:ascii="Arial" w:eastAsia="Times New Roman" w:hAnsi="Arial" w:cs="Arial"/>
          <w:b/>
          <w:bCs/>
          <w:color w:val="2B2B2B"/>
          <w:sz w:val="24"/>
          <w:szCs w:val="24"/>
          <w:lang w:eastAsia="pl-PL"/>
        </w:rPr>
        <w:t>Obszar chronionego krajobrazu</w:t>
      </w:r>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 xml:space="preserve">Teren Nadleśnictwa Nowy Targ znajduje się w granicach </w:t>
      </w:r>
      <w:proofErr w:type="spellStart"/>
      <w:r w:rsidRPr="008B5947">
        <w:rPr>
          <w:rFonts w:ascii="Arial" w:eastAsia="Times New Roman" w:hAnsi="Arial" w:cs="Arial"/>
          <w:color w:val="2B2B2B"/>
          <w:sz w:val="20"/>
          <w:szCs w:val="20"/>
          <w:lang w:eastAsia="pl-PL"/>
        </w:rPr>
        <w:t>Południowomałopolskiego</w:t>
      </w:r>
      <w:proofErr w:type="spellEnd"/>
      <w:r w:rsidRPr="008B5947">
        <w:rPr>
          <w:rFonts w:ascii="Arial" w:eastAsia="Times New Roman" w:hAnsi="Arial" w:cs="Arial"/>
          <w:color w:val="2B2B2B"/>
          <w:sz w:val="20"/>
          <w:szCs w:val="20"/>
          <w:lang w:eastAsia="pl-PL"/>
        </w:rPr>
        <w:t xml:space="preserve"> Obszaru Chronionego Krajobrazu. Obszar został powołany Rozporządzeniem Nr 27 </w:t>
      </w:r>
      <w:r w:rsidRPr="008B5947">
        <w:rPr>
          <w:rFonts w:ascii="Arial" w:eastAsia="Times New Roman" w:hAnsi="Arial" w:cs="Arial"/>
          <w:color w:val="2B2B2B"/>
          <w:sz w:val="20"/>
          <w:szCs w:val="20"/>
          <w:lang w:eastAsia="pl-PL"/>
        </w:rPr>
        <w:lastRenderedPageBreak/>
        <w:t>Wojewody Nowosądeckiego z dnia 1 października 1997 r. Obecnie obowiązującym dokumentem jest Uchwała Nr XVIII/299/12 Sejmiku Województwa Małopolskiego z dnia 27 lutego 2012 r.</w:t>
      </w:r>
    </w:p>
    <w:p w:rsidR="008B5947" w:rsidRPr="008B5947" w:rsidRDefault="008B5947" w:rsidP="008B5947">
      <w:pPr>
        <w:shd w:val="clear" w:color="auto" w:fill="FFFFFF"/>
        <w:spacing w:after="100" w:afterAutospacing="1" w:line="315" w:lineRule="atLeast"/>
        <w:ind w:left="1440" w:hanging="360"/>
        <w:rPr>
          <w:rFonts w:ascii="Arial" w:eastAsia="Times New Roman" w:hAnsi="Arial" w:cs="Arial"/>
          <w:color w:val="2B2B2B"/>
          <w:sz w:val="21"/>
          <w:szCs w:val="21"/>
          <w:lang w:eastAsia="pl-PL"/>
        </w:rPr>
      </w:pPr>
      <w:r w:rsidRPr="008B5947">
        <w:rPr>
          <w:rFonts w:ascii="Arial" w:eastAsia="Times New Roman" w:hAnsi="Arial" w:cs="Arial"/>
          <w:color w:val="2B2B2B"/>
          <w:sz w:val="21"/>
          <w:szCs w:val="21"/>
          <w:lang w:eastAsia="pl-PL"/>
        </w:rPr>
        <w:t>       </w:t>
      </w:r>
      <w:r w:rsidRPr="008B5947">
        <w:rPr>
          <w:rFonts w:ascii="Arial" w:eastAsia="Times New Roman" w:hAnsi="Arial" w:cs="Arial"/>
          <w:b/>
          <w:bCs/>
          <w:color w:val="2B2B2B"/>
          <w:sz w:val="21"/>
          <w:szCs w:val="21"/>
          <w:lang w:eastAsia="pl-PL"/>
        </w:rPr>
        <w:t> </w:t>
      </w:r>
      <w:r w:rsidRPr="008B5947">
        <w:rPr>
          <w:rFonts w:ascii="Arial" w:eastAsia="Times New Roman" w:hAnsi="Arial" w:cs="Arial"/>
          <w:b/>
          <w:bCs/>
          <w:color w:val="2B2B2B"/>
          <w:sz w:val="24"/>
          <w:szCs w:val="24"/>
          <w:lang w:eastAsia="pl-PL"/>
        </w:rPr>
        <w:t>4.</w:t>
      </w:r>
      <w:r w:rsidRPr="008B5947">
        <w:rPr>
          <w:rFonts w:ascii="Times New Roman" w:eastAsia="Times New Roman" w:hAnsi="Times New Roman" w:cs="Times New Roman"/>
          <w:b/>
          <w:bCs/>
          <w:color w:val="2B2B2B"/>
          <w:sz w:val="14"/>
          <w:szCs w:val="14"/>
          <w:lang w:eastAsia="pl-PL"/>
        </w:rPr>
        <w:t>    </w:t>
      </w:r>
      <w:r w:rsidRPr="008B5947">
        <w:rPr>
          <w:rFonts w:ascii="Arial" w:eastAsia="Times New Roman" w:hAnsi="Arial" w:cs="Arial"/>
          <w:b/>
          <w:bCs/>
          <w:color w:val="2B2B2B"/>
          <w:sz w:val="24"/>
          <w:szCs w:val="24"/>
          <w:lang w:eastAsia="pl-PL"/>
        </w:rPr>
        <w:t>Obszary Natura 2000</w:t>
      </w:r>
    </w:p>
    <w:p w:rsidR="008B5947" w:rsidRPr="008B5947" w:rsidRDefault="008B5947" w:rsidP="008B5947">
      <w:pPr>
        <w:shd w:val="clear" w:color="auto" w:fill="FFFFFF"/>
        <w:spacing w:after="100" w:afterAutospacing="1" w:line="315" w:lineRule="atLeast"/>
        <w:ind w:left="144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 terytorialnym zasięgu działania Nadleśnictwa Nowy Targ znajduje się jedenaście Obszarów europejskiej sieci Natura 2000. Osiem z nich częściowo położonych jest na gruntach zarządzanych przez Nadleśnictwo. Obszary Natura 2000 położone częściowo na gruntach zarządzanych przez Nadleśnictwo:</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Tatry PLC120001,</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Pasmo Policy PLB120006,</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Torfowiska Orawsko Nowotarskie PLB120007,</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Babia Góra PLB120011,</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Ostoja Babiogórska PLH120001,</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Czarna Orawa PLH120002 (obejmuje znikomą powierzchnię jedynie kilku arów wśród gruntów zarządzanych przez Nadleśnictwo Nowy Targ),</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Torfowiska Orawsko Nowotarskie PLH120016,</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Ostoja Gorczańska PLH120018.</w:t>
      </w:r>
    </w:p>
    <w:p w:rsidR="008B5947" w:rsidRPr="008B5947" w:rsidRDefault="008B5947" w:rsidP="008B5947">
      <w:pPr>
        <w:shd w:val="clear" w:color="auto" w:fill="FFFFFF"/>
        <w:spacing w:after="100" w:afterAutospacing="1" w:line="315" w:lineRule="atLeast"/>
        <w:ind w:left="144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Obszary Natura 2000 położone poza gruntami zarządzanymi przez Nadleśnictwo:</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Dolina Białki PLH120024,</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Polana Biały Potok PLH120026,</w:t>
      </w:r>
    </w:p>
    <w:p w:rsidR="008B5947" w:rsidRPr="008B5947" w:rsidRDefault="008B5947" w:rsidP="008B5947">
      <w:pPr>
        <w:shd w:val="clear" w:color="auto" w:fill="FFFFFF"/>
        <w:spacing w:after="100" w:afterAutospacing="1" w:line="315" w:lineRule="atLeast"/>
        <w:ind w:left="2160" w:hanging="36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t>
      </w:r>
      <w:r w:rsidRPr="008B5947">
        <w:rPr>
          <w:rFonts w:ascii="Times New Roman" w:eastAsia="Times New Roman" w:hAnsi="Times New Roman" w:cs="Times New Roman"/>
          <w:color w:val="2B2B2B"/>
          <w:sz w:val="14"/>
          <w:szCs w:val="14"/>
          <w:lang w:eastAsia="pl-PL"/>
        </w:rPr>
        <w:t>       </w:t>
      </w:r>
      <w:r w:rsidRPr="008B5947">
        <w:rPr>
          <w:rFonts w:ascii="Arial" w:eastAsia="Times New Roman" w:hAnsi="Arial" w:cs="Arial"/>
          <w:color w:val="2B2B2B"/>
          <w:sz w:val="20"/>
          <w:szCs w:val="20"/>
          <w:lang w:eastAsia="pl-PL"/>
        </w:rPr>
        <w:t>Górny Dunajec PLH120086.</w:t>
      </w:r>
    </w:p>
    <w:p w:rsidR="008B5947" w:rsidRPr="008B5947" w:rsidRDefault="008B5947" w:rsidP="008B5947">
      <w:pPr>
        <w:shd w:val="clear" w:color="auto" w:fill="FFFFFF"/>
        <w:spacing w:after="100" w:afterAutospacing="1" w:line="315" w:lineRule="atLeast"/>
        <w:ind w:left="1440"/>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Ww. Obszary podlegają obecnie ochronie na mocy prawa wspólnotowego.</w:t>
      </w:r>
    </w:p>
    <w:p w:rsidR="008B5947" w:rsidRPr="008B5947" w:rsidRDefault="008B5947" w:rsidP="008B5947">
      <w:pPr>
        <w:shd w:val="clear" w:color="auto" w:fill="FFFFFF"/>
        <w:spacing w:after="100" w:afterAutospacing="1" w:line="315" w:lineRule="atLeast"/>
        <w:ind w:left="1440" w:hanging="360"/>
        <w:rPr>
          <w:rFonts w:ascii="Arial" w:eastAsia="Times New Roman" w:hAnsi="Arial" w:cs="Arial"/>
          <w:color w:val="2B2B2B"/>
          <w:sz w:val="21"/>
          <w:szCs w:val="21"/>
          <w:lang w:eastAsia="pl-PL"/>
        </w:rPr>
      </w:pPr>
      <w:r w:rsidRPr="008B5947">
        <w:rPr>
          <w:rFonts w:ascii="Arial" w:eastAsia="Times New Roman" w:hAnsi="Arial" w:cs="Arial"/>
          <w:b/>
          <w:bCs/>
          <w:color w:val="2B2B2B"/>
          <w:sz w:val="24"/>
          <w:szCs w:val="24"/>
          <w:lang w:eastAsia="pl-PL"/>
        </w:rPr>
        <w:t>     5.</w:t>
      </w:r>
      <w:r w:rsidRPr="008B5947">
        <w:rPr>
          <w:rFonts w:ascii="Times New Roman" w:eastAsia="Times New Roman" w:hAnsi="Times New Roman" w:cs="Times New Roman"/>
          <w:b/>
          <w:bCs/>
          <w:color w:val="2B2B2B"/>
          <w:sz w:val="14"/>
          <w:szCs w:val="14"/>
          <w:lang w:eastAsia="pl-PL"/>
        </w:rPr>
        <w:t>    </w:t>
      </w:r>
      <w:r w:rsidRPr="008B5947">
        <w:rPr>
          <w:rFonts w:ascii="Arial" w:eastAsia="Times New Roman" w:hAnsi="Arial" w:cs="Arial"/>
          <w:b/>
          <w:bCs/>
          <w:color w:val="2B2B2B"/>
          <w:sz w:val="24"/>
          <w:szCs w:val="24"/>
          <w:lang w:eastAsia="pl-PL"/>
        </w:rPr>
        <w:t>Pomniki przyrody</w:t>
      </w:r>
    </w:p>
    <w:p w:rsidR="008B5947" w:rsidRPr="008B5947" w:rsidRDefault="008B5947" w:rsidP="008B5947">
      <w:pPr>
        <w:shd w:val="clear" w:color="auto" w:fill="FFFFFF"/>
        <w:spacing w:after="100" w:afterAutospacing="1" w:line="315" w:lineRule="atLeast"/>
        <w:ind w:left="1440"/>
        <w:jc w:val="both"/>
        <w:rPr>
          <w:rFonts w:ascii="Arial" w:eastAsia="Times New Roman" w:hAnsi="Arial" w:cs="Arial"/>
          <w:color w:val="2B2B2B"/>
          <w:sz w:val="21"/>
          <w:szCs w:val="21"/>
          <w:lang w:eastAsia="pl-PL"/>
        </w:rPr>
      </w:pPr>
      <w:r w:rsidRPr="008B5947">
        <w:rPr>
          <w:rFonts w:ascii="Arial" w:eastAsia="Times New Roman" w:hAnsi="Arial" w:cs="Arial"/>
          <w:color w:val="2B2B2B"/>
          <w:sz w:val="20"/>
          <w:szCs w:val="20"/>
          <w:lang w:eastAsia="pl-PL"/>
        </w:rPr>
        <w:t>Na gruntach zarządzanych przez Nadleśnictwo Nowy Targ znajdują się dwa pomniki przyrody. Są to dwie jodły pospolite zlokalizowane w pododdziale 51a na terenie leśnictwa Raba Wyżna.</w:t>
      </w:r>
    </w:p>
    <w:p w:rsidR="008F4BA9" w:rsidRDefault="008F4BA9"/>
    <w:sectPr w:rsidR="008F4B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14"/>
    <w:rsid w:val="002E07DC"/>
    <w:rsid w:val="008B5947"/>
    <w:rsid w:val="008F4BA9"/>
    <w:rsid w:val="00B75509"/>
    <w:rsid w:val="00CF3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F7911-D18B-4BD5-9305-034794BCF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59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546</Words>
  <Characters>3282</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Cherchel</dc:creator>
  <cp:keywords/>
  <dc:description/>
  <cp:lastModifiedBy>Natalia Jurzec</cp:lastModifiedBy>
  <cp:revision>4</cp:revision>
  <dcterms:created xsi:type="dcterms:W3CDTF">2021-08-23T07:30:00Z</dcterms:created>
  <dcterms:modified xsi:type="dcterms:W3CDTF">2021-08-23T10:04:00Z</dcterms:modified>
</cp:coreProperties>
</file>