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359" w:rsidRPr="000423ED" w:rsidRDefault="00192359" w:rsidP="00F81BD9">
      <w:pPr>
        <w:pStyle w:val="Nagwek1"/>
        <w:rPr>
          <w:rFonts w:ascii="Arial" w:hAnsi="Arial" w:cs="Arial"/>
          <w:sz w:val="22"/>
          <w:szCs w:val="22"/>
        </w:rPr>
      </w:pPr>
    </w:p>
    <w:p w:rsidR="00192359" w:rsidRPr="000423ED" w:rsidRDefault="00192359" w:rsidP="00F81BD9">
      <w:pPr>
        <w:pStyle w:val="Nagwek1"/>
        <w:rPr>
          <w:rFonts w:ascii="Arial" w:hAnsi="Arial" w:cs="Arial"/>
          <w:sz w:val="22"/>
          <w:szCs w:val="22"/>
        </w:rPr>
      </w:pPr>
    </w:p>
    <w:p w:rsidR="00192359" w:rsidRPr="000423ED" w:rsidRDefault="00192359" w:rsidP="00F81BD9">
      <w:pPr>
        <w:pStyle w:val="Nagwek1"/>
        <w:rPr>
          <w:rFonts w:ascii="Arial" w:hAnsi="Arial" w:cs="Arial"/>
          <w:sz w:val="22"/>
          <w:szCs w:val="22"/>
        </w:rPr>
      </w:pPr>
    </w:p>
    <w:p w:rsidR="00F81BD9" w:rsidRPr="000423ED" w:rsidRDefault="00F81BD9" w:rsidP="000423ED">
      <w:pPr>
        <w:pStyle w:val="pismamz"/>
        <w:spacing w:before="120"/>
        <w:contextualSpacing w:val="0"/>
        <w:rPr>
          <w:rFonts w:cs="Arial"/>
        </w:rPr>
      </w:pPr>
      <w:r w:rsidRPr="000423ED">
        <w:rPr>
          <w:rFonts w:cs="Arial"/>
        </w:rPr>
        <w:t>Poniżej przedstawiam</w:t>
      </w:r>
      <w:r w:rsidR="00192359" w:rsidRPr="000423ED">
        <w:rPr>
          <w:rFonts w:cs="Arial"/>
        </w:rPr>
        <w:t>y</w:t>
      </w:r>
      <w:r w:rsidRPr="000423ED">
        <w:rPr>
          <w:rFonts w:cs="Arial"/>
        </w:rPr>
        <w:t xml:space="preserve"> informacje na temat wzrostu dopłat do leków immunosupresyjnych, jaki miał miejsce w ostatnim czasie.</w:t>
      </w:r>
    </w:p>
    <w:p w:rsidR="00192359" w:rsidRPr="000423ED" w:rsidRDefault="00192359" w:rsidP="000423ED">
      <w:pPr>
        <w:pStyle w:val="Nagwek2"/>
        <w:spacing w:before="120"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423ED">
        <w:rPr>
          <w:rFonts w:ascii="Arial" w:hAnsi="Arial" w:cs="Arial"/>
          <w:sz w:val="22"/>
          <w:szCs w:val="22"/>
        </w:rPr>
        <w:t>Na czym polega mechanizm refundacji leków</w:t>
      </w:r>
    </w:p>
    <w:p w:rsidR="00192359" w:rsidRPr="000423ED" w:rsidRDefault="00192359" w:rsidP="000423ED">
      <w:pPr>
        <w:pStyle w:val="NormalnyWeb"/>
        <w:spacing w:before="12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0423ED">
        <w:rPr>
          <w:rFonts w:ascii="Arial" w:hAnsi="Arial" w:cs="Arial"/>
          <w:sz w:val="22"/>
          <w:szCs w:val="22"/>
        </w:rPr>
        <w:t>Kwestie związane z refundacją leków reguluje ustawa o refundacji.</w:t>
      </w:r>
      <w:r w:rsidR="00E20FD2">
        <w:rPr>
          <w:rFonts w:ascii="Arial" w:hAnsi="Arial" w:cs="Arial"/>
          <w:sz w:val="22"/>
          <w:szCs w:val="22"/>
        </w:rPr>
        <w:t xml:space="preserve"> </w:t>
      </w:r>
      <w:r w:rsidRPr="000423ED">
        <w:rPr>
          <w:rFonts w:ascii="Arial" w:hAnsi="Arial" w:cs="Arial"/>
          <w:sz w:val="22"/>
          <w:szCs w:val="22"/>
        </w:rPr>
        <w:t>Określa ona sposób wyznaczania podstawy limitu finansowania w obrębie danej grupy limitowej. Tą podstawą jest najwyższa spośród najniższych cen hurtowych za DDD (dobową definiowaną dawkę) leku, który dopełnia 15% obrotu ilościowego, liczonego według DDD zrealizowanego w tej grupie limitowej w miesiącu poprzedzającym o 3 miesiące ogłoszenie obwieszczenia refundacyjnego.</w:t>
      </w:r>
    </w:p>
    <w:p w:rsidR="00192359" w:rsidRPr="000423ED" w:rsidRDefault="00192359" w:rsidP="000423ED">
      <w:pPr>
        <w:pStyle w:val="Nagwek3"/>
        <w:spacing w:before="120"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423ED">
        <w:rPr>
          <w:rFonts w:ascii="Arial" w:hAnsi="Arial" w:cs="Arial"/>
          <w:sz w:val="22"/>
          <w:szCs w:val="22"/>
        </w:rPr>
        <w:t>Co się dzieje, gdy pojawia się pierwszy odpowiednik leku</w:t>
      </w:r>
    </w:p>
    <w:p w:rsidR="00192359" w:rsidRPr="000423ED" w:rsidRDefault="00192359" w:rsidP="000423ED">
      <w:pPr>
        <w:pStyle w:val="NormalnyWeb"/>
        <w:spacing w:before="12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0423ED">
        <w:rPr>
          <w:rFonts w:ascii="Arial" w:hAnsi="Arial" w:cs="Arial"/>
          <w:sz w:val="22"/>
          <w:szCs w:val="22"/>
        </w:rPr>
        <w:t>Gdy pierwszy odpowiednik leku zostaje objęty refundacją w danym wskazaniu, podstawą limitu w grupie limitowej jest cena hurtowa za DDD tego odpowiednika. Jeżeli na listę leków refundowanych wchodzą też inne odpowiedniki – podstawa limitu nie może być wyższa niż cena hurtowa za DDD pierwszego odpowiednika.</w:t>
      </w:r>
    </w:p>
    <w:p w:rsidR="00192359" w:rsidRPr="000423ED" w:rsidRDefault="00192359" w:rsidP="000423ED">
      <w:pPr>
        <w:pStyle w:val="Nagwek2"/>
        <w:spacing w:before="120" w:line="360" w:lineRule="auto"/>
        <w:jc w:val="both"/>
        <w:rPr>
          <w:rFonts w:ascii="Arial" w:hAnsi="Arial" w:cs="Arial"/>
          <w:iCs/>
          <w:sz w:val="22"/>
          <w:szCs w:val="22"/>
          <w:lang w:eastAsia="pl-PL"/>
        </w:rPr>
      </w:pPr>
      <w:r w:rsidRPr="000423ED">
        <w:rPr>
          <w:rFonts w:ascii="Arial" w:hAnsi="Arial" w:cs="Arial"/>
          <w:iCs/>
          <w:sz w:val="22"/>
          <w:szCs w:val="22"/>
          <w:lang w:eastAsia="pl-PL"/>
        </w:rPr>
        <w:t xml:space="preserve">Grupa limitowa </w:t>
      </w:r>
      <w:r w:rsidRPr="000423ED">
        <w:rPr>
          <w:rFonts w:ascii="Arial" w:hAnsi="Arial" w:cs="Arial"/>
          <w:sz w:val="22"/>
          <w:szCs w:val="22"/>
        </w:rPr>
        <w:t>134.0 Leki przec</w:t>
      </w:r>
      <w:bookmarkStart w:id="0" w:name="_GoBack"/>
      <w:bookmarkEnd w:id="0"/>
      <w:r w:rsidRPr="000423ED">
        <w:rPr>
          <w:rFonts w:ascii="Arial" w:hAnsi="Arial" w:cs="Arial"/>
          <w:sz w:val="22"/>
          <w:szCs w:val="22"/>
        </w:rPr>
        <w:t xml:space="preserve">iwnowotworowe i immunomodulujące - leki immunosupresyjne - kwas </w:t>
      </w:r>
      <w:proofErr w:type="spellStart"/>
      <w:r w:rsidRPr="000423ED">
        <w:rPr>
          <w:rFonts w:ascii="Arial" w:hAnsi="Arial" w:cs="Arial"/>
          <w:sz w:val="22"/>
          <w:szCs w:val="22"/>
        </w:rPr>
        <w:t>mykofenolowy</w:t>
      </w:r>
      <w:proofErr w:type="spellEnd"/>
      <w:r w:rsidRPr="000423ED">
        <w:rPr>
          <w:rFonts w:ascii="Arial" w:hAnsi="Arial" w:cs="Arial"/>
          <w:sz w:val="22"/>
          <w:szCs w:val="22"/>
        </w:rPr>
        <w:t xml:space="preserve"> i jego pochodne</w:t>
      </w:r>
    </w:p>
    <w:p w:rsidR="00192359" w:rsidRPr="000423ED" w:rsidRDefault="00192359" w:rsidP="000423ED">
      <w:pPr>
        <w:spacing w:before="120" w:after="0" w:line="360" w:lineRule="auto"/>
        <w:jc w:val="both"/>
        <w:rPr>
          <w:rFonts w:ascii="Arial" w:hAnsi="Arial" w:cs="Arial"/>
        </w:rPr>
      </w:pPr>
      <w:r w:rsidRPr="000423ED">
        <w:rPr>
          <w:rFonts w:ascii="Arial" w:hAnsi="Arial" w:cs="Arial"/>
          <w:iCs/>
          <w:lang w:eastAsia="pl-PL"/>
        </w:rPr>
        <w:t xml:space="preserve">W tej grupie limitowej </w:t>
      </w:r>
      <w:r w:rsidRPr="000423ED">
        <w:rPr>
          <w:rFonts w:ascii="Arial" w:hAnsi="Arial" w:cs="Arial"/>
        </w:rPr>
        <w:t xml:space="preserve">są refundowane leki zawierające kwas </w:t>
      </w:r>
      <w:proofErr w:type="spellStart"/>
      <w:r w:rsidRPr="000423ED">
        <w:rPr>
          <w:rFonts w:ascii="Arial" w:hAnsi="Arial" w:cs="Arial"/>
        </w:rPr>
        <w:t>mykofenolowy</w:t>
      </w:r>
      <w:proofErr w:type="spellEnd"/>
      <w:r w:rsidRPr="000423ED">
        <w:rPr>
          <w:rFonts w:ascii="Arial" w:hAnsi="Arial" w:cs="Arial"/>
        </w:rPr>
        <w:t xml:space="preserve"> i </w:t>
      </w:r>
      <w:proofErr w:type="spellStart"/>
      <w:r w:rsidRPr="000423ED">
        <w:rPr>
          <w:rFonts w:ascii="Arial" w:hAnsi="Arial" w:cs="Arial"/>
        </w:rPr>
        <w:t>mykofenolan</w:t>
      </w:r>
      <w:proofErr w:type="spellEnd"/>
      <w:r w:rsidRPr="000423ED">
        <w:rPr>
          <w:rFonts w:ascii="Arial" w:hAnsi="Arial" w:cs="Arial"/>
        </w:rPr>
        <w:t xml:space="preserve"> </w:t>
      </w:r>
      <w:proofErr w:type="spellStart"/>
      <w:r w:rsidRPr="000423ED">
        <w:rPr>
          <w:rFonts w:ascii="Arial" w:hAnsi="Arial" w:cs="Arial"/>
        </w:rPr>
        <w:t>mofetilu</w:t>
      </w:r>
      <w:proofErr w:type="spellEnd"/>
      <w:r w:rsidRPr="000423ED">
        <w:rPr>
          <w:rFonts w:ascii="Arial" w:hAnsi="Arial" w:cs="Arial"/>
        </w:rPr>
        <w:t>.</w:t>
      </w:r>
    </w:p>
    <w:p w:rsidR="00192359" w:rsidRPr="000423ED" w:rsidRDefault="00192359" w:rsidP="000423ED">
      <w:pPr>
        <w:pStyle w:val="Nagwek3"/>
        <w:spacing w:before="120" w:line="360" w:lineRule="auto"/>
        <w:jc w:val="both"/>
        <w:rPr>
          <w:rFonts w:ascii="Arial" w:hAnsi="Arial" w:cs="Arial"/>
          <w:iCs/>
          <w:sz w:val="22"/>
          <w:szCs w:val="22"/>
          <w:lang w:eastAsia="pl-PL"/>
        </w:rPr>
      </w:pPr>
      <w:r w:rsidRPr="000423ED">
        <w:rPr>
          <w:rFonts w:ascii="Arial" w:hAnsi="Arial" w:cs="Arial"/>
          <w:sz w:val="22"/>
          <w:szCs w:val="22"/>
        </w:rPr>
        <w:t>Zmiany od 1 lipca</w:t>
      </w:r>
    </w:p>
    <w:p w:rsidR="00F81BD9" w:rsidRPr="000423ED" w:rsidRDefault="00F81BD9" w:rsidP="000423ED">
      <w:pPr>
        <w:spacing w:before="120" w:after="0" w:line="360" w:lineRule="auto"/>
        <w:jc w:val="both"/>
        <w:rPr>
          <w:rFonts w:ascii="Arial" w:hAnsi="Arial" w:cs="Arial"/>
          <w:iCs/>
          <w:lang w:eastAsia="pl-PL"/>
        </w:rPr>
      </w:pPr>
      <w:r w:rsidRPr="000423ED">
        <w:rPr>
          <w:rFonts w:ascii="Arial" w:hAnsi="Arial" w:cs="Arial"/>
          <w:iCs/>
          <w:lang w:eastAsia="pl-PL"/>
        </w:rPr>
        <w:t xml:space="preserve">Od 1 maja 2017 r. </w:t>
      </w:r>
      <w:r w:rsidR="00192359" w:rsidRPr="000423ED">
        <w:rPr>
          <w:rFonts w:ascii="Arial" w:hAnsi="Arial" w:cs="Arial"/>
          <w:iCs/>
          <w:lang w:eastAsia="pl-PL"/>
        </w:rPr>
        <w:t>wzrosła</w:t>
      </w:r>
      <w:r w:rsidRPr="000423ED">
        <w:rPr>
          <w:rFonts w:ascii="Arial" w:hAnsi="Arial" w:cs="Arial"/>
          <w:iCs/>
          <w:lang w:eastAsia="pl-PL"/>
        </w:rPr>
        <w:t xml:space="preserve"> dopłat</w:t>
      </w:r>
      <w:r w:rsidR="00192359" w:rsidRPr="000423ED">
        <w:rPr>
          <w:rFonts w:ascii="Arial" w:hAnsi="Arial" w:cs="Arial"/>
          <w:iCs/>
          <w:lang w:eastAsia="pl-PL"/>
        </w:rPr>
        <w:t>a</w:t>
      </w:r>
      <w:r w:rsidRPr="000423ED">
        <w:rPr>
          <w:rFonts w:ascii="Arial" w:hAnsi="Arial" w:cs="Arial"/>
          <w:iCs/>
          <w:lang w:eastAsia="pl-PL"/>
        </w:rPr>
        <w:t xml:space="preserve"> do leków zawierających m.in. kwas </w:t>
      </w:r>
      <w:proofErr w:type="spellStart"/>
      <w:r w:rsidRPr="000423ED">
        <w:rPr>
          <w:rFonts w:ascii="Arial" w:hAnsi="Arial" w:cs="Arial"/>
          <w:iCs/>
          <w:lang w:eastAsia="pl-PL"/>
        </w:rPr>
        <w:t>mykofenolowy</w:t>
      </w:r>
      <w:proofErr w:type="spellEnd"/>
      <w:r w:rsidRPr="000423ED">
        <w:rPr>
          <w:rFonts w:ascii="Arial" w:hAnsi="Arial" w:cs="Arial"/>
          <w:iCs/>
          <w:lang w:eastAsia="pl-PL"/>
        </w:rPr>
        <w:t xml:space="preserve">, </w:t>
      </w:r>
      <w:proofErr w:type="spellStart"/>
      <w:r w:rsidRPr="000423ED">
        <w:rPr>
          <w:rFonts w:ascii="Arial" w:hAnsi="Arial" w:cs="Arial"/>
          <w:iCs/>
          <w:lang w:eastAsia="pl-PL"/>
        </w:rPr>
        <w:t>mykofenolan</w:t>
      </w:r>
      <w:proofErr w:type="spellEnd"/>
      <w:r w:rsidRPr="000423ED">
        <w:rPr>
          <w:rFonts w:ascii="Arial" w:hAnsi="Arial" w:cs="Arial"/>
          <w:iCs/>
          <w:lang w:eastAsia="pl-PL"/>
        </w:rPr>
        <w:t xml:space="preserve"> </w:t>
      </w:r>
      <w:proofErr w:type="spellStart"/>
      <w:r w:rsidRPr="000423ED">
        <w:rPr>
          <w:rFonts w:ascii="Arial" w:hAnsi="Arial" w:cs="Arial"/>
          <w:iCs/>
          <w:lang w:eastAsia="pl-PL"/>
        </w:rPr>
        <w:t>mofetilu</w:t>
      </w:r>
      <w:proofErr w:type="spellEnd"/>
      <w:r w:rsidRPr="000423ED">
        <w:rPr>
          <w:rFonts w:ascii="Arial" w:hAnsi="Arial" w:cs="Arial"/>
          <w:iCs/>
          <w:lang w:eastAsia="pl-PL"/>
        </w:rPr>
        <w:t xml:space="preserve"> i </w:t>
      </w:r>
      <w:proofErr w:type="spellStart"/>
      <w:r w:rsidRPr="000423ED">
        <w:rPr>
          <w:rFonts w:ascii="Arial" w:hAnsi="Arial" w:cs="Arial"/>
          <w:iCs/>
          <w:lang w:eastAsia="pl-PL"/>
        </w:rPr>
        <w:t>walgancyklowir</w:t>
      </w:r>
      <w:proofErr w:type="spellEnd"/>
      <w:r w:rsidRPr="000423ED">
        <w:rPr>
          <w:rFonts w:ascii="Arial" w:hAnsi="Arial" w:cs="Arial"/>
          <w:iCs/>
          <w:lang w:eastAsia="pl-PL"/>
        </w:rPr>
        <w:t xml:space="preserve">. </w:t>
      </w:r>
    </w:p>
    <w:p w:rsidR="00F81BD9" w:rsidRDefault="00F81BD9" w:rsidP="000423ED">
      <w:pPr>
        <w:spacing w:before="120" w:after="0" w:line="360" w:lineRule="auto"/>
        <w:jc w:val="both"/>
        <w:rPr>
          <w:rFonts w:ascii="Arial" w:hAnsi="Arial" w:cs="Arial"/>
        </w:rPr>
      </w:pPr>
      <w:r w:rsidRPr="000423ED">
        <w:rPr>
          <w:rFonts w:ascii="Arial" w:hAnsi="Arial" w:cs="Arial"/>
        </w:rPr>
        <w:t>Poniższa tabela pre</w:t>
      </w:r>
      <w:r w:rsidR="00192359" w:rsidRPr="000423ED">
        <w:rPr>
          <w:rFonts w:ascii="Arial" w:hAnsi="Arial" w:cs="Arial"/>
        </w:rPr>
        <w:t>zentuje wysokość dopłat pacjentów</w:t>
      </w:r>
      <w:r w:rsidRPr="000423ED">
        <w:rPr>
          <w:rFonts w:ascii="Arial" w:hAnsi="Arial" w:cs="Arial"/>
        </w:rPr>
        <w:t xml:space="preserve"> do leków w </w:t>
      </w:r>
      <w:r w:rsidR="00192359" w:rsidRPr="000423ED">
        <w:rPr>
          <w:rFonts w:ascii="Arial" w:hAnsi="Arial" w:cs="Arial"/>
        </w:rPr>
        <w:t>tej</w:t>
      </w:r>
      <w:r w:rsidRPr="000423ED">
        <w:rPr>
          <w:rFonts w:ascii="Arial" w:hAnsi="Arial" w:cs="Arial"/>
        </w:rPr>
        <w:t xml:space="preserve"> grupie limitowej, które obowiązywały w okresie od 1 maja 2017 r. do 30 czerwca 2017 r. (leki te są refundowane za odpłatnością ryczałtową i za dopłatą w wysokości różnicy między ceną detaliczną a limitem finansowania):</w:t>
      </w:r>
    </w:p>
    <w:p w:rsidR="000423ED" w:rsidRPr="000423ED" w:rsidRDefault="000423ED" w:rsidP="000423ED">
      <w:pPr>
        <w:spacing w:before="120"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8440" w:type="dxa"/>
        <w:tblLayout w:type="fixed"/>
        <w:tblLook w:val="04A0" w:firstRow="1" w:lastRow="0" w:firstColumn="1" w:lastColumn="0" w:noHBand="0" w:noVBand="1"/>
      </w:tblPr>
      <w:tblGrid>
        <w:gridCol w:w="1514"/>
        <w:gridCol w:w="1241"/>
        <w:gridCol w:w="1462"/>
        <w:gridCol w:w="1214"/>
        <w:gridCol w:w="835"/>
        <w:gridCol w:w="1115"/>
        <w:gridCol w:w="1059"/>
      </w:tblGrid>
      <w:tr w:rsidR="00F81BD9" w:rsidRPr="000423ED" w:rsidTr="00E70F68">
        <w:trPr>
          <w:trHeight w:val="282"/>
          <w:tblHeader/>
        </w:trPr>
        <w:tc>
          <w:tcPr>
            <w:tcW w:w="1514" w:type="dxa"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23E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Nazwa leku</w:t>
            </w:r>
          </w:p>
        </w:tc>
        <w:tc>
          <w:tcPr>
            <w:tcW w:w="1241" w:type="dxa"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23ED">
              <w:rPr>
                <w:rFonts w:ascii="Arial" w:hAnsi="Arial" w:cs="Arial"/>
                <w:b/>
                <w:bCs/>
                <w:sz w:val="18"/>
                <w:szCs w:val="18"/>
              </w:rPr>
              <w:t>Postać</w:t>
            </w:r>
          </w:p>
        </w:tc>
        <w:tc>
          <w:tcPr>
            <w:tcW w:w="1462" w:type="dxa"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23ED">
              <w:rPr>
                <w:rFonts w:ascii="Arial" w:hAnsi="Arial" w:cs="Arial"/>
                <w:b/>
                <w:bCs/>
                <w:sz w:val="18"/>
                <w:szCs w:val="18"/>
              </w:rPr>
              <w:t>Substancja czynna</w:t>
            </w:r>
          </w:p>
        </w:tc>
        <w:tc>
          <w:tcPr>
            <w:tcW w:w="1214" w:type="dxa"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23ED">
              <w:rPr>
                <w:rFonts w:ascii="Arial" w:hAnsi="Arial" w:cs="Arial"/>
                <w:b/>
                <w:bCs/>
                <w:sz w:val="18"/>
                <w:szCs w:val="18"/>
              </w:rPr>
              <w:t>Opako-</w:t>
            </w:r>
            <w:proofErr w:type="spellStart"/>
            <w:r w:rsidRPr="000423ED">
              <w:rPr>
                <w:rFonts w:ascii="Arial" w:hAnsi="Arial" w:cs="Arial"/>
                <w:b/>
                <w:bCs/>
                <w:sz w:val="18"/>
                <w:szCs w:val="18"/>
              </w:rPr>
              <w:t>wanie</w:t>
            </w:r>
            <w:proofErr w:type="spellEnd"/>
          </w:p>
        </w:tc>
        <w:tc>
          <w:tcPr>
            <w:tcW w:w="835" w:type="dxa"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23ED">
              <w:rPr>
                <w:rFonts w:ascii="Arial" w:hAnsi="Arial" w:cs="Arial"/>
                <w:b/>
                <w:bCs/>
                <w:sz w:val="18"/>
                <w:szCs w:val="18"/>
              </w:rPr>
              <w:t>Limit</w:t>
            </w:r>
          </w:p>
        </w:tc>
        <w:tc>
          <w:tcPr>
            <w:tcW w:w="1115" w:type="dxa"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23ED">
              <w:rPr>
                <w:rFonts w:ascii="Arial" w:hAnsi="Arial" w:cs="Arial"/>
                <w:b/>
                <w:bCs/>
                <w:sz w:val="18"/>
                <w:szCs w:val="18"/>
              </w:rPr>
              <w:t>Cena detaliczna</w:t>
            </w:r>
          </w:p>
        </w:tc>
        <w:tc>
          <w:tcPr>
            <w:tcW w:w="1059" w:type="dxa"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23ED">
              <w:rPr>
                <w:rFonts w:ascii="Arial" w:hAnsi="Arial" w:cs="Arial"/>
                <w:b/>
                <w:bCs/>
                <w:sz w:val="18"/>
                <w:szCs w:val="18"/>
              </w:rPr>
              <w:t>Zapłata pacjenta</w:t>
            </w:r>
          </w:p>
        </w:tc>
      </w:tr>
      <w:tr w:rsidR="00F81BD9" w:rsidRPr="000423ED" w:rsidTr="00E70F68">
        <w:trPr>
          <w:trHeight w:val="135"/>
        </w:trPr>
        <w:tc>
          <w:tcPr>
            <w:tcW w:w="151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Marelim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180 mg</w:t>
            </w:r>
          </w:p>
        </w:tc>
        <w:tc>
          <w:tcPr>
            <w:tcW w:w="1241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tabletki dojelitowe</w:t>
            </w:r>
          </w:p>
        </w:tc>
        <w:tc>
          <w:tcPr>
            <w:tcW w:w="1462" w:type="dxa"/>
            <w:vMerge w:val="restart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 xml:space="preserve">Kwas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mykofenolowy</w:t>
            </w:r>
            <w:proofErr w:type="spellEnd"/>
          </w:p>
        </w:tc>
        <w:tc>
          <w:tcPr>
            <w:tcW w:w="121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120 tabl.</w:t>
            </w:r>
          </w:p>
        </w:tc>
        <w:tc>
          <w:tcPr>
            <w:tcW w:w="835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186,42</w:t>
            </w:r>
          </w:p>
        </w:tc>
        <w:tc>
          <w:tcPr>
            <w:tcW w:w="1115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192,66</w:t>
            </w:r>
          </w:p>
        </w:tc>
        <w:tc>
          <w:tcPr>
            <w:tcW w:w="1059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9,44</w:t>
            </w:r>
          </w:p>
        </w:tc>
      </w:tr>
      <w:tr w:rsidR="00F81BD9" w:rsidRPr="000423ED" w:rsidTr="00E70F68">
        <w:trPr>
          <w:trHeight w:val="288"/>
        </w:trPr>
        <w:tc>
          <w:tcPr>
            <w:tcW w:w="151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423ED">
              <w:rPr>
                <w:rFonts w:ascii="Arial" w:hAnsi="Arial" w:cs="Arial"/>
                <w:b/>
                <w:sz w:val="18"/>
                <w:szCs w:val="18"/>
              </w:rPr>
              <w:t>Marelim</w:t>
            </w:r>
            <w:proofErr w:type="spellEnd"/>
            <w:r w:rsidRPr="000423E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3ED">
              <w:rPr>
                <w:rFonts w:ascii="Arial" w:hAnsi="Arial" w:cs="Arial"/>
                <w:b/>
                <w:sz w:val="18"/>
                <w:szCs w:val="18"/>
              </w:rPr>
              <w:t>360 mg*</w:t>
            </w:r>
          </w:p>
        </w:tc>
        <w:tc>
          <w:tcPr>
            <w:tcW w:w="1241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tabletki dojelitowe</w:t>
            </w:r>
          </w:p>
        </w:tc>
        <w:tc>
          <w:tcPr>
            <w:tcW w:w="1462" w:type="dxa"/>
            <w:vMerge/>
            <w:noWrap/>
            <w:vAlign w:val="center"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120 tabl.</w:t>
            </w:r>
          </w:p>
        </w:tc>
        <w:tc>
          <w:tcPr>
            <w:tcW w:w="835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372,83</w:t>
            </w:r>
          </w:p>
        </w:tc>
        <w:tc>
          <w:tcPr>
            <w:tcW w:w="1115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372,83</w:t>
            </w:r>
          </w:p>
        </w:tc>
        <w:tc>
          <w:tcPr>
            <w:tcW w:w="1059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3,20</w:t>
            </w:r>
          </w:p>
        </w:tc>
      </w:tr>
      <w:tr w:rsidR="00F81BD9" w:rsidRPr="000423ED" w:rsidTr="00E70F68">
        <w:trPr>
          <w:trHeight w:val="135"/>
        </w:trPr>
        <w:tc>
          <w:tcPr>
            <w:tcW w:w="151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Myfortic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180 mg</w:t>
            </w:r>
          </w:p>
        </w:tc>
        <w:tc>
          <w:tcPr>
            <w:tcW w:w="1241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 xml:space="preserve">tabl.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dojel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62" w:type="dxa"/>
            <w:vMerge/>
            <w:noWrap/>
            <w:vAlign w:val="center"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120 szt.</w:t>
            </w:r>
          </w:p>
        </w:tc>
        <w:tc>
          <w:tcPr>
            <w:tcW w:w="835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186,42</w:t>
            </w:r>
          </w:p>
        </w:tc>
        <w:tc>
          <w:tcPr>
            <w:tcW w:w="1115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342,11</w:t>
            </w:r>
          </w:p>
        </w:tc>
        <w:tc>
          <w:tcPr>
            <w:tcW w:w="1059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158,89</w:t>
            </w:r>
          </w:p>
        </w:tc>
      </w:tr>
      <w:tr w:rsidR="00F81BD9" w:rsidRPr="000423ED" w:rsidTr="00E70F68">
        <w:trPr>
          <w:trHeight w:val="264"/>
        </w:trPr>
        <w:tc>
          <w:tcPr>
            <w:tcW w:w="151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Myfortic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360 mg</w:t>
            </w:r>
          </w:p>
        </w:tc>
        <w:tc>
          <w:tcPr>
            <w:tcW w:w="1241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 xml:space="preserve">tabl.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dojel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62" w:type="dxa"/>
            <w:vMerge/>
            <w:noWrap/>
            <w:vAlign w:val="center"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120 szt.</w:t>
            </w:r>
          </w:p>
        </w:tc>
        <w:tc>
          <w:tcPr>
            <w:tcW w:w="835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372,83</w:t>
            </w:r>
          </w:p>
        </w:tc>
        <w:tc>
          <w:tcPr>
            <w:tcW w:w="1115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671,74</w:t>
            </w:r>
          </w:p>
        </w:tc>
        <w:tc>
          <w:tcPr>
            <w:tcW w:w="1059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302,11</w:t>
            </w:r>
          </w:p>
        </w:tc>
      </w:tr>
      <w:tr w:rsidR="00F81BD9" w:rsidRPr="000423ED" w:rsidTr="00E70F68">
        <w:trPr>
          <w:trHeight w:val="135"/>
        </w:trPr>
        <w:tc>
          <w:tcPr>
            <w:tcW w:w="151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CellCept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 g/5 ml</w:t>
            </w:r>
          </w:p>
        </w:tc>
        <w:tc>
          <w:tcPr>
            <w:tcW w:w="1241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proszek do sporządza-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nia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 zawiesiny doustnej</w:t>
            </w:r>
          </w:p>
        </w:tc>
        <w:tc>
          <w:tcPr>
            <w:tcW w:w="1462" w:type="dxa"/>
            <w:vMerge w:val="restart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Mykofenolan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mofetilu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 xml:space="preserve">110 g </w:t>
            </w:r>
          </w:p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(175 ml)</w:t>
            </w:r>
          </w:p>
        </w:tc>
        <w:tc>
          <w:tcPr>
            <w:tcW w:w="835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217,48</w:t>
            </w:r>
          </w:p>
        </w:tc>
        <w:tc>
          <w:tcPr>
            <w:tcW w:w="1115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303,35</w:t>
            </w:r>
          </w:p>
        </w:tc>
        <w:tc>
          <w:tcPr>
            <w:tcW w:w="1059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89,07</w:t>
            </w:r>
          </w:p>
        </w:tc>
      </w:tr>
      <w:tr w:rsidR="00F81BD9" w:rsidRPr="000423ED" w:rsidTr="00E70F68">
        <w:trPr>
          <w:trHeight w:val="243"/>
        </w:trPr>
        <w:tc>
          <w:tcPr>
            <w:tcW w:w="151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CellCept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250 mg</w:t>
            </w:r>
          </w:p>
        </w:tc>
        <w:tc>
          <w:tcPr>
            <w:tcW w:w="1241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kaps. twarde</w:t>
            </w:r>
          </w:p>
        </w:tc>
        <w:tc>
          <w:tcPr>
            <w:tcW w:w="1462" w:type="dxa"/>
            <w:vMerge/>
            <w:noWrap/>
            <w:vAlign w:val="center"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100 szt.</w:t>
            </w:r>
          </w:p>
        </w:tc>
        <w:tc>
          <w:tcPr>
            <w:tcW w:w="835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155,35</w:t>
            </w:r>
          </w:p>
        </w:tc>
        <w:tc>
          <w:tcPr>
            <w:tcW w:w="1115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219,94</w:t>
            </w:r>
          </w:p>
        </w:tc>
        <w:tc>
          <w:tcPr>
            <w:tcW w:w="1059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67,79</w:t>
            </w:r>
          </w:p>
        </w:tc>
      </w:tr>
      <w:tr w:rsidR="00F81BD9" w:rsidRPr="000423ED" w:rsidTr="00E70F68">
        <w:trPr>
          <w:trHeight w:val="135"/>
        </w:trPr>
        <w:tc>
          <w:tcPr>
            <w:tcW w:w="151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CellCept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500 mg</w:t>
            </w:r>
          </w:p>
        </w:tc>
        <w:tc>
          <w:tcPr>
            <w:tcW w:w="1241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tabl.</w:t>
            </w:r>
          </w:p>
        </w:tc>
        <w:tc>
          <w:tcPr>
            <w:tcW w:w="1462" w:type="dxa"/>
            <w:vMerge/>
            <w:noWrap/>
            <w:vAlign w:val="center"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50 szt.</w:t>
            </w:r>
          </w:p>
        </w:tc>
        <w:tc>
          <w:tcPr>
            <w:tcW w:w="835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155,35</w:t>
            </w:r>
          </w:p>
        </w:tc>
        <w:tc>
          <w:tcPr>
            <w:tcW w:w="1115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219,94</w:t>
            </w:r>
          </w:p>
        </w:tc>
        <w:tc>
          <w:tcPr>
            <w:tcW w:w="1059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67,79</w:t>
            </w:r>
          </w:p>
        </w:tc>
      </w:tr>
      <w:tr w:rsidR="00F81BD9" w:rsidRPr="000423ED" w:rsidTr="00E70F68">
        <w:trPr>
          <w:trHeight w:val="135"/>
        </w:trPr>
        <w:tc>
          <w:tcPr>
            <w:tcW w:w="151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Mycophenolate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Mofetil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Accord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 250 mg</w:t>
            </w:r>
          </w:p>
        </w:tc>
        <w:tc>
          <w:tcPr>
            <w:tcW w:w="1241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kaps. twarde</w:t>
            </w:r>
          </w:p>
        </w:tc>
        <w:tc>
          <w:tcPr>
            <w:tcW w:w="1462" w:type="dxa"/>
            <w:vMerge/>
            <w:noWrap/>
            <w:vAlign w:val="center"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100 szt.</w:t>
            </w:r>
          </w:p>
        </w:tc>
        <w:tc>
          <w:tcPr>
            <w:tcW w:w="835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129,22</w:t>
            </w:r>
          </w:p>
        </w:tc>
        <w:tc>
          <w:tcPr>
            <w:tcW w:w="1115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129,22</w:t>
            </w:r>
          </w:p>
        </w:tc>
        <w:tc>
          <w:tcPr>
            <w:tcW w:w="1059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3,20</w:t>
            </w:r>
          </w:p>
        </w:tc>
      </w:tr>
      <w:tr w:rsidR="00F81BD9" w:rsidRPr="000423ED" w:rsidTr="00E70F68">
        <w:trPr>
          <w:trHeight w:val="135"/>
        </w:trPr>
        <w:tc>
          <w:tcPr>
            <w:tcW w:w="151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Mycophenolate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Mofetil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Accord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 500 mg</w:t>
            </w:r>
          </w:p>
        </w:tc>
        <w:tc>
          <w:tcPr>
            <w:tcW w:w="1241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 xml:space="preserve">tabl.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powl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62" w:type="dxa"/>
            <w:vMerge/>
            <w:noWrap/>
            <w:vAlign w:val="center"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50 szt.</w:t>
            </w:r>
          </w:p>
        </w:tc>
        <w:tc>
          <w:tcPr>
            <w:tcW w:w="835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129,22</w:t>
            </w:r>
          </w:p>
        </w:tc>
        <w:tc>
          <w:tcPr>
            <w:tcW w:w="1115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129,22</w:t>
            </w:r>
          </w:p>
        </w:tc>
        <w:tc>
          <w:tcPr>
            <w:tcW w:w="1059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3,20</w:t>
            </w:r>
          </w:p>
        </w:tc>
      </w:tr>
      <w:tr w:rsidR="00F81BD9" w:rsidRPr="000423ED" w:rsidTr="00E70F68">
        <w:trPr>
          <w:trHeight w:val="135"/>
        </w:trPr>
        <w:tc>
          <w:tcPr>
            <w:tcW w:w="151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Mycophenolate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mofetil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Apotex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 250 mg</w:t>
            </w:r>
          </w:p>
        </w:tc>
        <w:tc>
          <w:tcPr>
            <w:tcW w:w="1241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kaps. twarde</w:t>
            </w:r>
          </w:p>
        </w:tc>
        <w:tc>
          <w:tcPr>
            <w:tcW w:w="1462" w:type="dxa"/>
            <w:vMerge/>
            <w:noWrap/>
            <w:vAlign w:val="center"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100 szt.</w:t>
            </w:r>
          </w:p>
        </w:tc>
        <w:tc>
          <w:tcPr>
            <w:tcW w:w="835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155,35</w:t>
            </w:r>
          </w:p>
        </w:tc>
        <w:tc>
          <w:tcPr>
            <w:tcW w:w="1115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242,05</w:t>
            </w:r>
          </w:p>
        </w:tc>
        <w:tc>
          <w:tcPr>
            <w:tcW w:w="1059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89,90</w:t>
            </w:r>
          </w:p>
        </w:tc>
      </w:tr>
      <w:tr w:rsidR="00F81BD9" w:rsidRPr="000423ED" w:rsidTr="00E70F68">
        <w:trPr>
          <w:trHeight w:val="135"/>
        </w:trPr>
        <w:tc>
          <w:tcPr>
            <w:tcW w:w="151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Mycophenolate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mofetil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Apotex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 500 mg</w:t>
            </w:r>
          </w:p>
        </w:tc>
        <w:tc>
          <w:tcPr>
            <w:tcW w:w="1241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 xml:space="preserve">tabl.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powl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62" w:type="dxa"/>
            <w:vMerge/>
            <w:noWrap/>
            <w:vAlign w:val="center"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50 szt.</w:t>
            </w:r>
          </w:p>
        </w:tc>
        <w:tc>
          <w:tcPr>
            <w:tcW w:w="835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155,35</w:t>
            </w:r>
          </w:p>
        </w:tc>
        <w:tc>
          <w:tcPr>
            <w:tcW w:w="1115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242,05</w:t>
            </w:r>
          </w:p>
        </w:tc>
        <w:tc>
          <w:tcPr>
            <w:tcW w:w="1059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89,90</w:t>
            </w:r>
          </w:p>
        </w:tc>
      </w:tr>
      <w:tr w:rsidR="00F81BD9" w:rsidRPr="000423ED" w:rsidTr="00E70F68">
        <w:trPr>
          <w:trHeight w:val="135"/>
        </w:trPr>
        <w:tc>
          <w:tcPr>
            <w:tcW w:w="151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Mycophenolate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mofetil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Sandoz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 500 mg </w:t>
            </w:r>
          </w:p>
        </w:tc>
        <w:tc>
          <w:tcPr>
            <w:tcW w:w="1241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 xml:space="preserve">tabl.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powl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62" w:type="dxa"/>
            <w:vMerge/>
            <w:noWrap/>
            <w:vAlign w:val="center"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50 szt.</w:t>
            </w:r>
          </w:p>
        </w:tc>
        <w:tc>
          <w:tcPr>
            <w:tcW w:w="835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155,35</w:t>
            </w:r>
          </w:p>
        </w:tc>
        <w:tc>
          <w:tcPr>
            <w:tcW w:w="1115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163,24</w:t>
            </w:r>
          </w:p>
        </w:tc>
        <w:tc>
          <w:tcPr>
            <w:tcW w:w="1059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11,09</w:t>
            </w:r>
          </w:p>
        </w:tc>
      </w:tr>
      <w:tr w:rsidR="00F81BD9" w:rsidRPr="000423ED" w:rsidTr="00E70F68">
        <w:trPr>
          <w:trHeight w:val="135"/>
        </w:trPr>
        <w:tc>
          <w:tcPr>
            <w:tcW w:w="151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Mycophenolate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mofetil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 Stada 250 mg</w:t>
            </w:r>
          </w:p>
        </w:tc>
        <w:tc>
          <w:tcPr>
            <w:tcW w:w="1241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kaps.</w:t>
            </w:r>
          </w:p>
        </w:tc>
        <w:tc>
          <w:tcPr>
            <w:tcW w:w="1462" w:type="dxa"/>
            <w:vMerge/>
            <w:noWrap/>
            <w:vAlign w:val="center"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100 szt.</w:t>
            </w:r>
          </w:p>
        </w:tc>
        <w:tc>
          <w:tcPr>
            <w:tcW w:w="835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155,35</w:t>
            </w:r>
          </w:p>
        </w:tc>
        <w:tc>
          <w:tcPr>
            <w:tcW w:w="1115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159,84</w:t>
            </w:r>
          </w:p>
        </w:tc>
        <w:tc>
          <w:tcPr>
            <w:tcW w:w="1059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7,69</w:t>
            </w:r>
          </w:p>
        </w:tc>
      </w:tr>
      <w:tr w:rsidR="00F81BD9" w:rsidRPr="000423ED" w:rsidTr="00E70F68">
        <w:trPr>
          <w:trHeight w:val="135"/>
        </w:trPr>
        <w:tc>
          <w:tcPr>
            <w:tcW w:w="151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Mycophenolate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mofetil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 Stada 500 mg</w:t>
            </w:r>
          </w:p>
        </w:tc>
        <w:tc>
          <w:tcPr>
            <w:tcW w:w="1241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 xml:space="preserve">tabl.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powl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62" w:type="dxa"/>
            <w:vMerge/>
            <w:noWrap/>
            <w:vAlign w:val="center"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50 szt.</w:t>
            </w:r>
          </w:p>
        </w:tc>
        <w:tc>
          <w:tcPr>
            <w:tcW w:w="835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155,35</w:t>
            </w:r>
          </w:p>
        </w:tc>
        <w:tc>
          <w:tcPr>
            <w:tcW w:w="1115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159,84</w:t>
            </w:r>
          </w:p>
        </w:tc>
        <w:tc>
          <w:tcPr>
            <w:tcW w:w="1059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7,69</w:t>
            </w:r>
          </w:p>
        </w:tc>
      </w:tr>
      <w:tr w:rsidR="00F81BD9" w:rsidRPr="000423ED" w:rsidTr="00E70F68">
        <w:trPr>
          <w:trHeight w:val="135"/>
        </w:trPr>
        <w:tc>
          <w:tcPr>
            <w:tcW w:w="151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Myfenax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250 mg</w:t>
            </w:r>
          </w:p>
        </w:tc>
        <w:tc>
          <w:tcPr>
            <w:tcW w:w="1241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kaps. twarde</w:t>
            </w:r>
          </w:p>
        </w:tc>
        <w:tc>
          <w:tcPr>
            <w:tcW w:w="1462" w:type="dxa"/>
            <w:vMerge/>
            <w:noWrap/>
            <w:vAlign w:val="center"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100 kaps.</w:t>
            </w:r>
          </w:p>
        </w:tc>
        <w:tc>
          <w:tcPr>
            <w:tcW w:w="835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155,35</w:t>
            </w:r>
          </w:p>
        </w:tc>
        <w:tc>
          <w:tcPr>
            <w:tcW w:w="1115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241,49</w:t>
            </w:r>
          </w:p>
        </w:tc>
        <w:tc>
          <w:tcPr>
            <w:tcW w:w="1059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89,34</w:t>
            </w:r>
          </w:p>
        </w:tc>
      </w:tr>
      <w:tr w:rsidR="00F81BD9" w:rsidRPr="000423ED" w:rsidTr="00E70F68">
        <w:trPr>
          <w:trHeight w:val="35"/>
        </w:trPr>
        <w:tc>
          <w:tcPr>
            <w:tcW w:w="151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Myfenax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500 mg</w:t>
            </w:r>
          </w:p>
        </w:tc>
        <w:tc>
          <w:tcPr>
            <w:tcW w:w="1241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 xml:space="preserve">tabl.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powl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62" w:type="dxa"/>
            <w:vMerge/>
            <w:noWrap/>
            <w:vAlign w:val="center"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50 tabl.</w:t>
            </w:r>
          </w:p>
        </w:tc>
        <w:tc>
          <w:tcPr>
            <w:tcW w:w="835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155,35</w:t>
            </w:r>
          </w:p>
        </w:tc>
        <w:tc>
          <w:tcPr>
            <w:tcW w:w="1115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241,49</w:t>
            </w:r>
          </w:p>
        </w:tc>
        <w:tc>
          <w:tcPr>
            <w:tcW w:w="1059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89,34</w:t>
            </w:r>
          </w:p>
        </w:tc>
      </w:tr>
    </w:tbl>
    <w:p w:rsidR="00F81BD9" w:rsidRPr="000423ED" w:rsidRDefault="00F81BD9" w:rsidP="00F81BD9">
      <w:pPr>
        <w:spacing w:before="120" w:after="120" w:line="360" w:lineRule="auto"/>
        <w:jc w:val="both"/>
        <w:rPr>
          <w:rFonts w:ascii="Arial" w:hAnsi="Arial" w:cs="Arial"/>
        </w:rPr>
      </w:pPr>
      <w:r w:rsidRPr="000423ED">
        <w:rPr>
          <w:rFonts w:ascii="Arial" w:hAnsi="Arial" w:cs="Arial"/>
        </w:rPr>
        <w:t>*</w:t>
      </w:r>
      <w:r w:rsidRPr="000423ED">
        <w:rPr>
          <w:rFonts w:ascii="Arial" w:hAnsi="Arial" w:cs="Arial"/>
          <w:sz w:val="18"/>
        </w:rPr>
        <w:t>podstawa limitu</w:t>
      </w:r>
    </w:p>
    <w:p w:rsidR="00192359" w:rsidRPr="000423ED" w:rsidRDefault="00192359" w:rsidP="000423ED">
      <w:pPr>
        <w:pStyle w:val="Nagwek3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0423ED">
        <w:rPr>
          <w:rFonts w:ascii="Arial" w:hAnsi="Arial" w:cs="Arial"/>
          <w:sz w:val="22"/>
          <w:szCs w:val="22"/>
        </w:rPr>
        <w:t>Zmiany od 1 maja</w:t>
      </w:r>
    </w:p>
    <w:p w:rsidR="00F81BD9" w:rsidRPr="000423ED" w:rsidRDefault="00F81BD9" w:rsidP="000423ED">
      <w:pPr>
        <w:spacing w:before="120" w:after="0" w:line="360" w:lineRule="auto"/>
        <w:jc w:val="both"/>
        <w:rPr>
          <w:rFonts w:ascii="Arial" w:hAnsi="Arial" w:cs="Arial"/>
        </w:rPr>
      </w:pPr>
      <w:r w:rsidRPr="000423ED">
        <w:rPr>
          <w:rFonts w:ascii="Arial" w:hAnsi="Arial" w:cs="Arial"/>
        </w:rPr>
        <w:t xml:space="preserve">Od 1 maja 2017 r. w </w:t>
      </w:r>
      <w:r w:rsidR="00192359" w:rsidRPr="000423ED">
        <w:rPr>
          <w:rFonts w:ascii="Arial" w:hAnsi="Arial" w:cs="Arial"/>
        </w:rPr>
        <w:t>tej</w:t>
      </w:r>
      <w:r w:rsidRPr="000423ED">
        <w:rPr>
          <w:rFonts w:ascii="Arial" w:hAnsi="Arial" w:cs="Arial"/>
        </w:rPr>
        <w:t xml:space="preserve"> grupie limitowej refundacją został objęty pierwszy odpowiednik leku zawierającego kwas </w:t>
      </w:r>
      <w:proofErr w:type="spellStart"/>
      <w:r w:rsidRPr="000423ED">
        <w:rPr>
          <w:rFonts w:ascii="Arial" w:hAnsi="Arial" w:cs="Arial"/>
        </w:rPr>
        <w:t>mykofenolowy</w:t>
      </w:r>
      <w:proofErr w:type="spellEnd"/>
      <w:r w:rsidRPr="000423ED">
        <w:rPr>
          <w:rFonts w:ascii="Arial" w:hAnsi="Arial" w:cs="Arial"/>
        </w:rPr>
        <w:t xml:space="preserve"> (produkt </w:t>
      </w:r>
      <w:proofErr w:type="spellStart"/>
      <w:r w:rsidRPr="000423ED">
        <w:rPr>
          <w:rFonts w:ascii="Arial" w:hAnsi="Arial" w:cs="Arial"/>
        </w:rPr>
        <w:t>Marelim</w:t>
      </w:r>
      <w:proofErr w:type="spellEnd"/>
      <w:r w:rsidRPr="000423ED">
        <w:rPr>
          <w:rFonts w:ascii="Arial" w:hAnsi="Arial" w:cs="Arial"/>
        </w:rPr>
        <w:t xml:space="preserve">). Pierwszym odpowiednikiem jest lek o tej samej substancji czynnej (w tym przypadku – kwas </w:t>
      </w:r>
      <w:proofErr w:type="spellStart"/>
      <w:r w:rsidRPr="000423ED">
        <w:rPr>
          <w:rFonts w:ascii="Arial" w:hAnsi="Arial" w:cs="Arial"/>
        </w:rPr>
        <w:t>mykofenolowy</w:t>
      </w:r>
      <w:proofErr w:type="spellEnd"/>
      <w:r w:rsidRPr="000423ED">
        <w:rPr>
          <w:rFonts w:ascii="Arial" w:hAnsi="Arial" w:cs="Arial"/>
        </w:rPr>
        <w:t xml:space="preserve">), </w:t>
      </w:r>
      <w:r w:rsidR="00192359" w:rsidRPr="000423ED">
        <w:rPr>
          <w:rFonts w:ascii="Arial" w:hAnsi="Arial" w:cs="Arial"/>
        </w:rPr>
        <w:t xml:space="preserve">który </w:t>
      </w:r>
      <w:r w:rsidRPr="000423ED">
        <w:rPr>
          <w:rFonts w:ascii="Arial" w:hAnsi="Arial" w:cs="Arial"/>
        </w:rPr>
        <w:t>ma te same wskazania i tę samą drogę podania, przy braku różnic w postaci farmaceutycznej.</w:t>
      </w:r>
    </w:p>
    <w:p w:rsidR="00F81BD9" w:rsidRPr="000423ED" w:rsidRDefault="00F81BD9" w:rsidP="000423ED">
      <w:pPr>
        <w:spacing w:before="120" w:after="0" w:line="360" w:lineRule="auto"/>
        <w:jc w:val="both"/>
        <w:rPr>
          <w:rFonts w:ascii="Arial" w:hAnsi="Arial" w:cs="Arial"/>
        </w:rPr>
      </w:pPr>
      <w:r w:rsidRPr="000423ED">
        <w:rPr>
          <w:rFonts w:ascii="Arial" w:hAnsi="Arial" w:cs="Arial"/>
        </w:rPr>
        <w:lastRenderedPageBreak/>
        <w:t xml:space="preserve">Objęcie refundacją pierwszego odpowiednika (produktu </w:t>
      </w:r>
      <w:proofErr w:type="spellStart"/>
      <w:r w:rsidRPr="000423ED">
        <w:rPr>
          <w:rFonts w:ascii="Arial" w:hAnsi="Arial" w:cs="Arial"/>
        </w:rPr>
        <w:t>Marelim</w:t>
      </w:r>
      <w:proofErr w:type="spellEnd"/>
      <w:r w:rsidRPr="000423ED">
        <w:rPr>
          <w:rFonts w:ascii="Arial" w:hAnsi="Arial" w:cs="Arial"/>
        </w:rPr>
        <w:t xml:space="preserve">) spowodowało, że to cena hurtowa za produkt </w:t>
      </w:r>
      <w:proofErr w:type="spellStart"/>
      <w:r w:rsidRPr="000423ED">
        <w:rPr>
          <w:rFonts w:ascii="Arial" w:hAnsi="Arial" w:cs="Arial"/>
        </w:rPr>
        <w:t>Marelim</w:t>
      </w:r>
      <w:proofErr w:type="spellEnd"/>
      <w:r w:rsidRPr="000423ED">
        <w:rPr>
          <w:rFonts w:ascii="Arial" w:hAnsi="Arial" w:cs="Arial"/>
        </w:rPr>
        <w:t xml:space="preserve"> 360 mg stała się podstawą limitu finansowania (jest najtańszym produktem w grupie limitowej, uwzględniając zawartość opakowania). </w:t>
      </w:r>
    </w:p>
    <w:p w:rsidR="00F81BD9" w:rsidRPr="000423ED" w:rsidRDefault="00F81BD9" w:rsidP="000423ED">
      <w:pPr>
        <w:spacing w:before="120" w:after="0" w:line="360" w:lineRule="auto"/>
        <w:jc w:val="both"/>
        <w:rPr>
          <w:rFonts w:ascii="Arial" w:hAnsi="Arial" w:cs="Arial"/>
        </w:rPr>
      </w:pPr>
      <w:r w:rsidRPr="000423ED">
        <w:rPr>
          <w:rFonts w:ascii="Arial" w:hAnsi="Arial" w:cs="Arial"/>
        </w:rPr>
        <w:t>W związku z obniżeniem limitu finansowania w grupie wz</w:t>
      </w:r>
      <w:r w:rsidR="00192359" w:rsidRPr="000423ED">
        <w:rPr>
          <w:rFonts w:ascii="Arial" w:hAnsi="Arial" w:cs="Arial"/>
        </w:rPr>
        <w:t>rosły dopłaty pacjenta do leków. Stało się tak dlatego, że</w:t>
      </w:r>
      <w:r w:rsidRPr="000423ED">
        <w:rPr>
          <w:rFonts w:ascii="Arial" w:hAnsi="Arial" w:cs="Arial"/>
        </w:rPr>
        <w:t xml:space="preserve"> różnicę pomiędzy ceną detaliczną a limitem finansowania pokrywa pacjent (uwzględniając zawartość opakowań). </w:t>
      </w:r>
    </w:p>
    <w:p w:rsidR="00F81BD9" w:rsidRPr="000423ED" w:rsidRDefault="00F81BD9" w:rsidP="000423ED">
      <w:pPr>
        <w:spacing w:before="120" w:after="0" w:line="360" w:lineRule="auto"/>
        <w:jc w:val="both"/>
        <w:rPr>
          <w:rFonts w:ascii="Arial" w:hAnsi="Arial" w:cs="Arial"/>
          <w:u w:val="single"/>
        </w:rPr>
      </w:pPr>
      <w:r w:rsidRPr="000423ED">
        <w:rPr>
          <w:rFonts w:ascii="Arial" w:hAnsi="Arial" w:cs="Arial"/>
          <w:u w:val="single"/>
        </w:rPr>
        <w:t xml:space="preserve">Powyższe zmiany wynikają ze stałego mechanizmu, który pozwala na refundację coraz większej liczby skutecznych i bezpiecznych leków. </w:t>
      </w:r>
    </w:p>
    <w:p w:rsidR="00F81BD9" w:rsidRPr="000423ED" w:rsidRDefault="00F81BD9" w:rsidP="000423ED">
      <w:pPr>
        <w:spacing w:before="120" w:after="0" w:line="360" w:lineRule="auto"/>
        <w:jc w:val="both"/>
        <w:rPr>
          <w:rFonts w:ascii="Arial" w:hAnsi="Arial" w:cs="Arial"/>
          <w:b/>
        </w:rPr>
      </w:pPr>
      <w:r w:rsidRPr="000423ED">
        <w:rPr>
          <w:rFonts w:ascii="Arial" w:hAnsi="Arial" w:cs="Arial"/>
          <w:b/>
        </w:rPr>
        <w:t xml:space="preserve">Wzrost dopłat w przypadku obniżenia limitu finansowania zazwyczaj ma charakter przejściowy, gdyż wnioskodawcy (firmy farmaceutyczne) na podstawie art. 24 ust. 1 pkt 3 ustawy o refundacji mają możliwość składania wniosków o obniżenie urzędowych cen zbytu. Podjęcie takich działań zazwyczaj skutkuje obniżeniem dopłaty pacjentów. </w:t>
      </w:r>
    </w:p>
    <w:p w:rsidR="00192359" w:rsidRPr="000423ED" w:rsidRDefault="00192359" w:rsidP="000423ED">
      <w:pPr>
        <w:pStyle w:val="Nagwek3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0423ED">
        <w:rPr>
          <w:rFonts w:ascii="Arial" w:hAnsi="Arial" w:cs="Arial"/>
          <w:sz w:val="22"/>
          <w:szCs w:val="22"/>
        </w:rPr>
        <w:t>Zmiany od 1 lipca</w:t>
      </w:r>
    </w:p>
    <w:p w:rsidR="00F81BD9" w:rsidRDefault="00192359" w:rsidP="000423ED">
      <w:pPr>
        <w:spacing w:before="120" w:after="0" w:line="360" w:lineRule="auto"/>
        <w:jc w:val="both"/>
        <w:rPr>
          <w:rFonts w:ascii="Arial" w:hAnsi="Arial" w:cs="Arial"/>
        </w:rPr>
      </w:pPr>
      <w:r w:rsidRPr="000423ED">
        <w:rPr>
          <w:rFonts w:ascii="Arial" w:hAnsi="Arial" w:cs="Arial"/>
        </w:rPr>
        <w:t>W</w:t>
      </w:r>
      <w:r w:rsidR="00F81BD9" w:rsidRPr="000423ED">
        <w:rPr>
          <w:rFonts w:ascii="Arial" w:hAnsi="Arial" w:cs="Arial"/>
        </w:rPr>
        <w:t xml:space="preserve"> efekcie rozpatrzenia wniosków o obniżenie urzędowych cen zbytu (UCZ) ośmiu leków z </w:t>
      </w:r>
      <w:r w:rsidRPr="000423ED">
        <w:rPr>
          <w:rFonts w:ascii="Arial" w:hAnsi="Arial" w:cs="Arial"/>
        </w:rPr>
        <w:t xml:space="preserve">tej </w:t>
      </w:r>
      <w:r w:rsidR="00F81BD9" w:rsidRPr="000423ED">
        <w:rPr>
          <w:rFonts w:ascii="Arial" w:hAnsi="Arial" w:cs="Arial"/>
        </w:rPr>
        <w:t>grupy limitowej, od 1 lipca 2017 r. dopłaty pacjenta do tych leków (przy niezmienionym limicie finansowania) obniżyły się:</w:t>
      </w:r>
    </w:p>
    <w:p w:rsidR="000423ED" w:rsidRPr="000423ED" w:rsidRDefault="000423ED" w:rsidP="000423ED">
      <w:pPr>
        <w:spacing w:before="120"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8500" w:type="dxa"/>
        <w:tblLook w:val="04A0" w:firstRow="1" w:lastRow="0" w:firstColumn="1" w:lastColumn="0" w:noHBand="0" w:noVBand="1"/>
      </w:tblPr>
      <w:tblGrid>
        <w:gridCol w:w="3823"/>
        <w:gridCol w:w="992"/>
        <w:gridCol w:w="1276"/>
        <w:gridCol w:w="992"/>
        <w:gridCol w:w="1417"/>
      </w:tblGrid>
      <w:tr w:rsidR="00F81BD9" w:rsidRPr="000423ED" w:rsidTr="00E70F68">
        <w:trPr>
          <w:trHeight w:val="530"/>
          <w:tblHeader/>
        </w:trPr>
        <w:tc>
          <w:tcPr>
            <w:tcW w:w="3823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3ED">
              <w:rPr>
                <w:rFonts w:ascii="Arial" w:hAnsi="Arial" w:cs="Arial"/>
                <w:b/>
                <w:sz w:val="18"/>
                <w:szCs w:val="18"/>
              </w:rPr>
              <w:t>Lek</w:t>
            </w:r>
          </w:p>
        </w:tc>
        <w:tc>
          <w:tcPr>
            <w:tcW w:w="992" w:type="dxa"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23ED">
              <w:rPr>
                <w:rFonts w:ascii="Arial" w:hAnsi="Arial" w:cs="Arial"/>
                <w:b/>
                <w:bCs/>
                <w:sz w:val="18"/>
                <w:szCs w:val="18"/>
              </w:rPr>
              <w:t>UCZ 07.2017</w:t>
            </w:r>
          </w:p>
        </w:tc>
        <w:tc>
          <w:tcPr>
            <w:tcW w:w="1276" w:type="dxa"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23ED">
              <w:rPr>
                <w:rFonts w:ascii="Arial" w:hAnsi="Arial" w:cs="Arial"/>
                <w:b/>
                <w:bCs/>
                <w:sz w:val="18"/>
                <w:szCs w:val="18"/>
              </w:rPr>
              <w:t>Zmiana UCZ w stosunku do 05.2017</w:t>
            </w:r>
          </w:p>
        </w:tc>
        <w:tc>
          <w:tcPr>
            <w:tcW w:w="992" w:type="dxa"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23ED">
              <w:rPr>
                <w:rFonts w:ascii="Arial" w:hAnsi="Arial" w:cs="Arial"/>
                <w:b/>
                <w:bCs/>
                <w:sz w:val="18"/>
                <w:szCs w:val="18"/>
              </w:rPr>
              <w:t>Dopłata pacjenta 07.2017</w:t>
            </w:r>
          </w:p>
        </w:tc>
        <w:tc>
          <w:tcPr>
            <w:tcW w:w="1417" w:type="dxa"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23ED">
              <w:rPr>
                <w:rFonts w:ascii="Arial" w:hAnsi="Arial" w:cs="Arial"/>
                <w:b/>
                <w:bCs/>
                <w:sz w:val="18"/>
                <w:szCs w:val="18"/>
              </w:rPr>
              <w:t>Zmiana dopłaty</w:t>
            </w:r>
          </w:p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0423ED">
              <w:rPr>
                <w:rFonts w:ascii="Arial" w:hAnsi="Arial" w:cs="Arial"/>
                <w:b/>
                <w:bCs/>
                <w:sz w:val="18"/>
                <w:szCs w:val="18"/>
              </w:rPr>
              <w:t>pacjenta</w:t>
            </w:r>
          </w:p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23ED">
              <w:rPr>
                <w:rFonts w:ascii="Arial" w:hAnsi="Arial" w:cs="Arial"/>
                <w:b/>
                <w:bCs/>
                <w:sz w:val="18"/>
                <w:szCs w:val="18"/>
              </w:rPr>
              <w:t>w stosunku</w:t>
            </w:r>
          </w:p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23ED">
              <w:rPr>
                <w:rFonts w:ascii="Arial" w:hAnsi="Arial" w:cs="Arial"/>
                <w:b/>
                <w:bCs/>
                <w:sz w:val="18"/>
                <w:szCs w:val="18"/>
              </w:rPr>
              <w:t>do 05.2017</w:t>
            </w:r>
          </w:p>
        </w:tc>
      </w:tr>
      <w:tr w:rsidR="00F81BD9" w:rsidRPr="000423ED" w:rsidTr="00E70F68">
        <w:trPr>
          <w:trHeight w:val="105"/>
        </w:trPr>
        <w:tc>
          <w:tcPr>
            <w:tcW w:w="3823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Mycophenolate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Mofetil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 Accord,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Mycophenolas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mofetil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tabl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powl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., </w:t>
            </w:r>
          </w:p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500 mg, 50 szt.</w:t>
            </w:r>
          </w:p>
        </w:tc>
        <w:tc>
          <w:tcPr>
            <w:tcW w:w="992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276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3,20</w:t>
            </w:r>
          </w:p>
        </w:tc>
        <w:tc>
          <w:tcPr>
            <w:tcW w:w="1417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1BD9" w:rsidRPr="000423ED" w:rsidTr="00E70F68">
        <w:trPr>
          <w:trHeight w:val="105"/>
        </w:trPr>
        <w:tc>
          <w:tcPr>
            <w:tcW w:w="3823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Mycophenolate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Mofetil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 Accord,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Mycophenolas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mofetil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kaps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twarde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</w:p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250 mg, 100 szt.</w:t>
            </w:r>
          </w:p>
        </w:tc>
        <w:tc>
          <w:tcPr>
            <w:tcW w:w="992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276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3,20</w:t>
            </w:r>
          </w:p>
        </w:tc>
        <w:tc>
          <w:tcPr>
            <w:tcW w:w="1417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1BD9" w:rsidRPr="000423ED" w:rsidTr="00E70F68">
        <w:trPr>
          <w:trHeight w:val="105"/>
        </w:trPr>
        <w:tc>
          <w:tcPr>
            <w:tcW w:w="3823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Mycophenolate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mofetil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Stada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Mycophenolas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mofetil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tabl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powl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., 500 mg, 50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92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137,16</w:t>
            </w:r>
          </w:p>
        </w:tc>
        <w:tc>
          <w:tcPr>
            <w:tcW w:w="1276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7,69</w:t>
            </w:r>
          </w:p>
        </w:tc>
        <w:tc>
          <w:tcPr>
            <w:tcW w:w="1417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1BD9" w:rsidRPr="000423ED" w:rsidTr="00E70F68">
        <w:trPr>
          <w:trHeight w:val="105"/>
        </w:trPr>
        <w:tc>
          <w:tcPr>
            <w:tcW w:w="3823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Mycophenolate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mofetil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Stada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Mycophenolas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mofetil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kaps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., 250 mg, 100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92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137,16</w:t>
            </w:r>
          </w:p>
        </w:tc>
        <w:tc>
          <w:tcPr>
            <w:tcW w:w="1276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7,69</w:t>
            </w:r>
          </w:p>
        </w:tc>
        <w:tc>
          <w:tcPr>
            <w:tcW w:w="1417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1BD9" w:rsidRPr="000423ED" w:rsidTr="00E70F68">
        <w:trPr>
          <w:trHeight w:val="105"/>
        </w:trPr>
        <w:tc>
          <w:tcPr>
            <w:tcW w:w="3823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Marelim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Acidum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mycophenolicum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>, tabletki dojelitowe, 180 mg, 120 tabl.</w:t>
            </w:r>
          </w:p>
        </w:tc>
        <w:tc>
          <w:tcPr>
            <w:tcW w:w="992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167,4</w:t>
            </w:r>
          </w:p>
        </w:tc>
        <w:tc>
          <w:tcPr>
            <w:tcW w:w="1276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9,44</w:t>
            </w:r>
          </w:p>
        </w:tc>
        <w:tc>
          <w:tcPr>
            <w:tcW w:w="1417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1BD9" w:rsidRPr="000423ED" w:rsidTr="00E70F68">
        <w:trPr>
          <w:trHeight w:val="105"/>
        </w:trPr>
        <w:tc>
          <w:tcPr>
            <w:tcW w:w="3823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423ED">
              <w:rPr>
                <w:rFonts w:ascii="Arial" w:hAnsi="Arial" w:cs="Arial"/>
                <w:b/>
                <w:sz w:val="18"/>
                <w:szCs w:val="18"/>
              </w:rPr>
              <w:t>Marelim</w:t>
            </w:r>
            <w:proofErr w:type="spellEnd"/>
            <w:r w:rsidRPr="000423ED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b/>
                <w:sz w:val="18"/>
                <w:szCs w:val="18"/>
              </w:rPr>
              <w:t>Acidum</w:t>
            </w:r>
            <w:proofErr w:type="spellEnd"/>
            <w:r w:rsidRPr="000423E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423ED">
              <w:rPr>
                <w:rFonts w:ascii="Arial" w:hAnsi="Arial" w:cs="Arial"/>
                <w:b/>
                <w:sz w:val="18"/>
                <w:szCs w:val="18"/>
              </w:rPr>
              <w:t>mycophenolicum</w:t>
            </w:r>
            <w:proofErr w:type="spellEnd"/>
            <w:r w:rsidRPr="000423ED">
              <w:rPr>
                <w:rFonts w:ascii="Arial" w:hAnsi="Arial" w:cs="Arial"/>
                <w:b/>
                <w:sz w:val="18"/>
                <w:szCs w:val="18"/>
              </w:rPr>
              <w:t>, tabletki dojelitowe, 360 mg, 120 tabl.*</w:t>
            </w:r>
          </w:p>
        </w:tc>
        <w:tc>
          <w:tcPr>
            <w:tcW w:w="992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334,8</w:t>
            </w:r>
          </w:p>
        </w:tc>
        <w:tc>
          <w:tcPr>
            <w:tcW w:w="1276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3,20</w:t>
            </w:r>
          </w:p>
        </w:tc>
        <w:tc>
          <w:tcPr>
            <w:tcW w:w="1417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1BD9" w:rsidRPr="000423ED" w:rsidTr="00E70F68">
        <w:trPr>
          <w:trHeight w:val="105"/>
        </w:trPr>
        <w:tc>
          <w:tcPr>
            <w:tcW w:w="3823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Mycophenolate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mofetil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 Sandoz 500 mg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tabletki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powlekane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Mycophenolas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mofetil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tabl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powl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., 500 mg, 50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92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276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-32,40</w:t>
            </w:r>
          </w:p>
        </w:tc>
        <w:tc>
          <w:tcPr>
            <w:tcW w:w="992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3,20</w:t>
            </w:r>
          </w:p>
        </w:tc>
        <w:tc>
          <w:tcPr>
            <w:tcW w:w="1417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-7,89</w:t>
            </w:r>
          </w:p>
        </w:tc>
      </w:tr>
      <w:tr w:rsidR="00F81BD9" w:rsidRPr="000423ED" w:rsidTr="00E70F68">
        <w:trPr>
          <w:trHeight w:val="105"/>
        </w:trPr>
        <w:tc>
          <w:tcPr>
            <w:tcW w:w="3823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CellCept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Mycophenolas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mofetil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>, proszek do sporządzania zawiesiny doustnej, 1 g/5 ml, 110 g (175 ml)</w:t>
            </w:r>
          </w:p>
        </w:tc>
        <w:tc>
          <w:tcPr>
            <w:tcW w:w="992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209,24</w:t>
            </w:r>
          </w:p>
        </w:tc>
        <w:tc>
          <w:tcPr>
            <w:tcW w:w="1276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-62,87</w:t>
            </w:r>
          </w:p>
        </w:tc>
        <w:tc>
          <w:tcPr>
            <w:tcW w:w="992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23,05</w:t>
            </w:r>
          </w:p>
        </w:tc>
        <w:tc>
          <w:tcPr>
            <w:tcW w:w="1417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-66,02</w:t>
            </w:r>
          </w:p>
        </w:tc>
      </w:tr>
      <w:tr w:rsidR="00F81BD9" w:rsidRPr="000423ED" w:rsidTr="00E70F68">
        <w:trPr>
          <w:trHeight w:val="105"/>
        </w:trPr>
        <w:tc>
          <w:tcPr>
            <w:tcW w:w="3823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CellCept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Mycophenolas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mofetil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kaps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twarde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, 250 mg, 100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92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156,6</w:t>
            </w:r>
          </w:p>
        </w:tc>
        <w:tc>
          <w:tcPr>
            <w:tcW w:w="1276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-37,80</w:t>
            </w:r>
          </w:p>
        </w:tc>
        <w:tc>
          <w:tcPr>
            <w:tcW w:w="992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28,10</w:t>
            </w:r>
          </w:p>
        </w:tc>
        <w:tc>
          <w:tcPr>
            <w:tcW w:w="1417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-39,69</w:t>
            </w:r>
          </w:p>
        </w:tc>
      </w:tr>
      <w:tr w:rsidR="00F81BD9" w:rsidRPr="000423ED" w:rsidTr="00E70F68">
        <w:trPr>
          <w:trHeight w:val="105"/>
        </w:trPr>
        <w:tc>
          <w:tcPr>
            <w:tcW w:w="3823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CellCept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Mycophenolas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mofetil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tabl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., 500 mg, 50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92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156,6</w:t>
            </w:r>
          </w:p>
        </w:tc>
        <w:tc>
          <w:tcPr>
            <w:tcW w:w="1276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-37,80</w:t>
            </w:r>
          </w:p>
        </w:tc>
        <w:tc>
          <w:tcPr>
            <w:tcW w:w="992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28,10</w:t>
            </w:r>
          </w:p>
        </w:tc>
        <w:tc>
          <w:tcPr>
            <w:tcW w:w="1417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-39,69</w:t>
            </w:r>
          </w:p>
        </w:tc>
      </w:tr>
      <w:tr w:rsidR="00F81BD9" w:rsidRPr="000423ED" w:rsidTr="00E70F68">
        <w:trPr>
          <w:trHeight w:val="105"/>
        </w:trPr>
        <w:tc>
          <w:tcPr>
            <w:tcW w:w="3823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Myfenax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Mycophenolas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mofetil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tabl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powl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., 500 mg, 50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tabl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92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132,84</w:t>
            </w:r>
          </w:p>
        </w:tc>
        <w:tc>
          <w:tcPr>
            <w:tcW w:w="1276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-82,08</w:t>
            </w:r>
          </w:p>
        </w:tc>
        <w:tc>
          <w:tcPr>
            <w:tcW w:w="992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3,20</w:t>
            </w:r>
          </w:p>
        </w:tc>
        <w:tc>
          <w:tcPr>
            <w:tcW w:w="1417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-86,14</w:t>
            </w:r>
          </w:p>
        </w:tc>
      </w:tr>
      <w:tr w:rsidR="00F81BD9" w:rsidRPr="000423ED" w:rsidTr="00E70F68">
        <w:trPr>
          <w:trHeight w:val="105"/>
        </w:trPr>
        <w:tc>
          <w:tcPr>
            <w:tcW w:w="3823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Myfenax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Mycophenolas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mofetil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kaps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twarde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, 250 mg, 100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kaps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92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132,84</w:t>
            </w:r>
          </w:p>
        </w:tc>
        <w:tc>
          <w:tcPr>
            <w:tcW w:w="1276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-82,08</w:t>
            </w:r>
          </w:p>
        </w:tc>
        <w:tc>
          <w:tcPr>
            <w:tcW w:w="992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3,20</w:t>
            </w:r>
          </w:p>
        </w:tc>
        <w:tc>
          <w:tcPr>
            <w:tcW w:w="1417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-86,14</w:t>
            </w:r>
          </w:p>
        </w:tc>
      </w:tr>
      <w:tr w:rsidR="00F81BD9" w:rsidRPr="000423ED" w:rsidTr="00E70F68">
        <w:trPr>
          <w:trHeight w:val="105"/>
        </w:trPr>
        <w:tc>
          <w:tcPr>
            <w:tcW w:w="3823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Mycophenolate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mofetil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Apotex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Mycophenolas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mofetil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kaps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twarde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, 250 mg, 100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r w:rsidRPr="000423ED">
              <w:rPr>
                <w:rFonts w:ascii="Arial" w:hAnsi="Arial" w:cs="Arial"/>
                <w:sz w:val="18"/>
                <w:szCs w:val="18"/>
              </w:rPr>
              <w:t xml:space="preserve">(10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blist.po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 10 szt.)</w:t>
            </w:r>
          </w:p>
        </w:tc>
        <w:tc>
          <w:tcPr>
            <w:tcW w:w="992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132,84</w:t>
            </w:r>
          </w:p>
        </w:tc>
        <w:tc>
          <w:tcPr>
            <w:tcW w:w="1276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-82,62</w:t>
            </w:r>
          </w:p>
        </w:tc>
        <w:tc>
          <w:tcPr>
            <w:tcW w:w="992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3,20</w:t>
            </w:r>
          </w:p>
        </w:tc>
        <w:tc>
          <w:tcPr>
            <w:tcW w:w="1417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-86,70</w:t>
            </w:r>
          </w:p>
        </w:tc>
      </w:tr>
      <w:tr w:rsidR="00F81BD9" w:rsidRPr="000423ED" w:rsidTr="00E70F68">
        <w:trPr>
          <w:trHeight w:val="105"/>
        </w:trPr>
        <w:tc>
          <w:tcPr>
            <w:tcW w:w="3823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Mycophenolate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mofetil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Apotex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Mycophenolas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mofetil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tabl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powl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., 500 mg, 50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r w:rsidRPr="000423ED">
              <w:rPr>
                <w:rFonts w:ascii="Arial" w:hAnsi="Arial" w:cs="Arial"/>
                <w:sz w:val="18"/>
                <w:szCs w:val="18"/>
              </w:rPr>
              <w:t xml:space="preserve">(5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blist.po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 10 szt.)</w:t>
            </w:r>
          </w:p>
        </w:tc>
        <w:tc>
          <w:tcPr>
            <w:tcW w:w="992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132,84</w:t>
            </w:r>
          </w:p>
        </w:tc>
        <w:tc>
          <w:tcPr>
            <w:tcW w:w="1276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-82,62</w:t>
            </w:r>
          </w:p>
        </w:tc>
        <w:tc>
          <w:tcPr>
            <w:tcW w:w="992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3,20</w:t>
            </w:r>
          </w:p>
        </w:tc>
        <w:tc>
          <w:tcPr>
            <w:tcW w:w="1417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-86,70</w:t>
            </w:r>
          </w:p>
        </w:tc>
      </w:tr>
      <w:tr w:rsidR="00F81BD9" w:rsidRPr="000423ED" w:rsidTr="00E70F68">
        <w:trPr>
          <w:trHeight w:val="105"/>
        </w:trPr>
        <w:tc>
          <w:tcPr>
            <w:tcW w:w="3823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Myfortic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 180 mg powlekane tabletki dojelitowe,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Acidum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mycophenolicum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, tabl.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dojel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., 180 mg, 120 szt. (12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blist.po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 10 szt.)</w:t>
            </w:r>
          </w:p>
        </w:tc>
        <w:tc>
          <w:tcPr>
            <w:tcW w:w="992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309,73</w:t>
            </w:r>
          </w:p>
        </w:tc>
        <w:tc>
          <w:tcPr>
            <w:tcW w:w="1276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158,89</w:t>
            </w:r>
          </w:p>
        </w:tc>
        <w:tc>
          <w:tcPr>
            <w:tcW w:w="1417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1BD9" w:rsidRPr="000423ED" w:rsidTr="00E70F68">
        <w:trPr>
          <w:trHeight w:val="105"/>
        </w:trPr>
        <w:tc>
          <w:tcPr>
            <w:tcW w:w="3823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Myfortic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 360 mg powlekane tabletki dojelitowe,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Acidum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mycophenolicum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, tabl.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dojel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., 360 mg, 120 szt. (12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blist.po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 10 szt.)</w:t>
            </w:r>
          </w:p>
        </w:tc>
        <w:tc>
          <w:tcPr>
            <w:tcW w:w="992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619,48</w:t>
            </w:r>
          </w:p>
        </w:tc>
        <w:tc>
          <w:tcPr>
            <w:tcW w:w="1276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302,11</w:t>
            </w:r>
          </w:p>
        </w:tc>
        <w:tc>
          <w:tcPr>
            <w:tcW w:w="1417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F81BD9" w:rsidRPr="000423ED" w:rsidRDefault="00F81BD9" w:rsidP="00F81BD9">
      <w:pPr>
        <w:spacing w:before="120" w:after="120" w:line="360" w:lineRule="auto"/>
        <w:jc w:val="both"/>
        <w:rPr>
          <w:rFonts w:ascii="Arial" w:hAnsi="Arial" w:cs="Arial"/>
        </w:rPr>
      </w:pPr>
      <w:r w:rsidRPr="000423ED">
        <w:rPr>
          <w:rFonts w:ascii="Arial" w:hAnsi="Arial" w:cs="Arial"/>
        </w:rPr>
        <w:t>*</w:t>
      </w:r>
      <w:r w:rsidRPr="000423ED">
        <w:rPr>
          <w:rFonts w:ascii="Arial" w:hAnsi="Arial" w:cs="Arial"/>
          <w:sz w:val="18"/>
        </w:rPr>
        <w:t>podstawa limitu</w:t>
      </w:r>
    </w:p>
    <w:p w:rsidR="00192359" w:rsidRPr="000423ED" w:rsidRDefault="00192359" w:rsidP="000423ED">
      <w:pPr>
        <w:pStyle w:val="Nagwek3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23ED">
        <w:rPr>
          <w:rFonts w:ascii="Arial" w:hAnsi="Arial" w:cs="Arial"/>
          <w:sz w:val="22"/>
          <w:szCs w:val="22"/>
        </w:rPr>
        <w:t>Zmiany od 1 września</w:t>
      </w:r>
    </w:p>
    <w:p w:rsidR="00F81BD9" w:rsidRPr="000423ED" w:rsidRDefault="00F81BD9" w:rsidP="000423ED">
      <w:pPr>
        <w:spacing w:before="120" w:after="120" w:line="360" w:lineRule="auto"/>
        <w:jc w:val="both"/>
        <w:rPr>
          <w:rFonts w:ascii="Arial" w:hAnsi="Arial" w:cs="Arial"/>
        </w:rPr>
      </w:pPr>
      <w:r w:rsidRPr="000423ED">
        <w:rPr>
          <w:rFonts w:ascii="Arial" w:hAnsi="Arial" w:cs="Arial"/>
        </w:rPr>
        <w:t xml:space="preserve">Od 1 września 2017 r. podstawą limitu finansowania w tej grupie jest cena hurtowa leku, który dopełnia 15% obrotu ilościowego, liczonego według DDD, zrealizowanego w tej grupie limitowej w miesiącu poprzedzającym o 3 miesiące ogłoszenie obwieszczenia w sprawie wykazu refundowanych leków, środków spożywczych specjalnego przeznaczenia żywieniowego oraz wyrobów medycznych – czyli leku </w:t>
      </w:r>
      <w:proofErr w:type="spellStart"/>
      <w:r w:rsidRPr="000423ED">
        <w:rPr>
          <w:rFonts w:ascii="Arial" w:hAnsi="Arial" w:cs="Arial"/>
        </w:rPr>
        <w:t>Mycofit</w:t>
      </w:r>
      <w:proofErr w:type="spellEnd"/>
      <w:r w:rsidRPr="000423ED">
        <w:rPr>
          <w:rFonts w:ascii="Arial" w:hAnsi="Arial" w:cs="Arial"/>
        </w:rPr>
        <w:t>/</w:t>
      </w:r>
      <w:proofErr w:type="spellStart"/>
      <w:r w:rsidRPr="000423ED">
        <w:rPr>
          <w:rFonts w:ascii="Arial" w:hAnsi="Arial" w:cs="Arial"/>
        </w:rPr>
        <w:t>Mycophenolate</w:t>
      </w:r>
      <w:proofErr w:type="spellEnd"/>
      <w:r w:rsidRPr="000423ED">
        <w:rPr>
          <w:rFonts w:ascii="Arial" w:hAnsi="Arial" w:cs="Arial"/>
        </w:rPr>
        <w:t xml:space="preserve"> </w:t>
      </w:r>
      <w:proofErr w:type="spellStart"/>
      <w:r w:rsidRPr="000423ED">
        <w:rPr>
          <w:rFonts w:ascii="Arial" w:hAnsi="Arial" w:cs="Arial"/>
        </w:rPr>
        <w:t>Mofetil</w:t>
      </w:r>
      <w:proofErr w:type="spellEnd"/>
      <w:r w:rsidRPr="000423ED">
        <w:rPr>
          <w:rFonts w:ascii="Arial" w:hAnsi="Arial" w:cs="Arial"/>
        </w:rPr>
        <w:t xml:space="preserve"> </w:t>
      </w:r>
      <w:proofErr w:type="spellStart"/>
      <w:r w:rsidRPr="000423ED">
        <w:rPr>
          <w:rFonts w:ascii="Arial" w:hAnsi="Arial" w:cs="Arial"/>
        </w:rPr>
        <w:t>Accord</w:t>
      </w:r>
      <w:proofErr w:type="spellEnd"/>
      <w:r w:rsidRPr="000423ED">
        <w:rPr>
          <w:rFonts w:ascii="Arial" w:hAnsi="Arial" w:cs="Arial"/>
        </w:rPr>
        <w:t xml:space="preserve">, </w:t>
      </w:r>
      <w:proofErr w:type="spellStart"/>
      <w:r w:rsidRPr="000423ED">
        <w:rPr>
          <w:rFonts w:ascii="Arial" w:hAnsi="Arial" w:cs="Arial"/>
        </w:rPr>
        <w:t>Mycophenolas</w:t>
      </w:r>
      <w:proofErr w:type="spellEnd"/>
      <w:r w:rsidRPr="000423ED">
        <w:rPr>
          <w:rFonts w:ascii="Arial" w:hAnsi="Arial" w:cs="Arial"/>
        </w:rPr>
        <w:t xml:space="preserve"> </w:t>
      </w:r>
      <w:proofErr w:type="spellStart"/>
      <w:r w:rsidRPr="000423ED">
        <w:rPr>
          <w:rFonts w:ascii="Arial" w:hAnsi="Arial" w:cs="Arial"/>
        </w:rPr>
        <w:t>mofetil</w:t>
      </w:r>
      <w:proofErr w:type="spellEnd"/>
      <w:r w:rsidRPr="000423ED">
        <w:rPr>
          <w:rFonts w:ascii="Arial" w:hAnsi="Arial" w:cs="Arial"/>
        </w:rPr>
        <w:t xml:space="preserve">, tabl. </w:t>
      </w:r>
      <w:proofErr w:type="spellStart"/>
      <w:r w:rsidRPr="000423ED">
        <w:rPr>
          <w:rFonts w:ascii="Arial" w:hAnsi="Arial" w:cs="Arial"/>
        </w:rPr>
        <w:t>powl</w:t>
      </w:r>
      <w:proofErr w:type="spellEnd"/>
      <w:r w:rsidRPr="000423ED">
        <w:rPr>
          <w:rFonts w:ascii="Arial" w:hAnsi="Arial" w:cs="Arial"/>
        </w:rPr>
        <w:t xml:space="preserve">., 500 mg, 50 szt. (cena hurtowa brutto za DDD tego leku jest niższa niż wymienionego wyżej leku </w:t>
      </w:r>
      <w:proofErr w:type="spellStart"/>
      <w:r w:rsidRPr="000423ED">
        <w:rPr>
          <w:rFonts w:ascii="Arial" w:hAnsi="Arial" w:cs="Arial"/>
        </w:rPr>
        <w:t>Marelim</w:t>
      </w:r>
      <w:proofErr w:type="spellEnd"/>
      <w:r w:rsidRPr="000423ED">
        <w:rPr>
          <w:rFonts w:ascii="Arial" w:hAnsi="Arial" w:cs="Arial"/>
        </w:rPr>
        <w:t xml:space="preserve"> ze statusem pierwszego odpowiednika). W efekcie rozpatrzenia wniosków o obniżenie urzędowych cen zbytu (UCZ) czterech leków z ww. grupy limitowej oraz w związku ze zmianą podstawy limitu finansowania, od 1 września 2017 r. dopłaty pacjenta do większości leków z tej grupy limitowej wzrosły.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1134"/>
        <w:gridCol w:w="1276"/>
        <w:gridCol w:w="1134"/>
        <w:gridCol w:w="1269"/>
      </w:tblGrid>
      <w:tr w:rsidR="00F81BD9" w:rsidRPr="000423ED" w:rsidTr="00E70F68">
        <w:trPr>
          <w:trHeight w:val="300"/>
        </w:trPr>
        <w:tc>
          <w:tcPr>
            <w:tcW w:w="3681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23ED">
              <w:rPr>
                <w:rFonts w:ascii="Arial" w:hAnsi="Arial" w:cs="Arial"/>
                <w:b/>
                <w:bCs/>
                <w:sz w:val="18"/>
                <w:szCs w:val="18"/>
              </w:rPr>
              <w:t>Lek</w:t>
            </w:r>
          </w:p>
        </w:tc>
        <w:tc>
          <w:tcPr>
            <w:tcW w:w="113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23ED">
              <w:rPr>
                <w:rFonts w:ascii="Arial" w:hAnsi="Arial" w:cs="Arial"/>
                <w:b/>
                <w:bCs/>
                <w:sz w:val="18"/>
                <w:szCs w:val="18"/>
              </w:rPr>
              <w:t>UCZ</w:t>
            </w:r>
          </w:p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23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09.2017</w:t>
            </w:r>
          </w:p>
        </w:tc>
        <w:tc>
          <w:tcPr>
            <w:tcW w:w="1276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23ED">
              <w:rPr>
                <w:rFonts w:ascii="Arial" w:hAnsi="Arial" w:cs="Arial"/>
                <w:b/>
                <w:bCs/>
                <w:sz w:val="18"/>
                <w:szCs w:val="18"/>
              </w:rPr>
              <w:t>zmiana UCZ w stosunku do 07.2017</w:t>
            </w:r>
          </w:p>
        </w:tc>
        <w:tc>
          <w:tcPr>
            <w:tcW w:w="113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23ED">
              <w:rPr>
                <w:rFonts w:ascii="Arial" w:hAnsi="Arial" w:cs="Arial"/>
                <w:b/>
                <w:bCs/>
                <w:sz w:val="18"/>
                <w:szCs w:val="18"/>
              </w:rPr>
              <w:t>Dopłata pacjenta 09.2017</w:t>
            </w:r>
          </w:p>
        </w:tc>
        <w:tc>
          <w:tcPr>
            <w:tcW w:w="1269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23ED">
              <w:rPr>
                <w:rFonts w:ascii="Arial" w:hAnsi="Arial" w:cs="Arial"/>
                <w:b/>
                <w:bCs/>
                <w:sz w:val="18"/>
                <w:szCs w:val="18"/>
              </w:rPr>
              <w:t>Zmiana dopłaty pacjenta w stosunku do 07.2017</w:t>
            </w:r>
          </w:p>
        </w:tc>
      </w:tr>
      <w:tr w:rsidR="00F81BD9" w:rsidRPr="000423ED" w:rsidTr="00E70F68">
        <w:trPr>
          <w:trHeight w:val="300"/>
        </w:trPr>
        <w:tc>
          <w:tcPr>
            <w:tcW w:w="3681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Myfenax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Mycophenolas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mofetil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kaps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twarde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, 250 mg, 100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kaps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3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102,06</w:t>
            </w:r>
          </w:p>
        </w:tc>
        <w:tc>
          <w:tcPr>
            <w:tcW w:w="1276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-30,78</w:t>
            </w:r>
          </w:p>
        </w:tc>
        <w:tc>
          <w:tcPr>
            <w:tcW w:w="113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3,2</w:t>
            </w:r>
          </w:p>
        </w:tc>
        <w:tc>
          <w:tcPr>
            <w:tcW w:w="1269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1BD9" w:rsidRPr="000423ED" w:rsidTr="00E70F68">
        <w:trPr>
          <w:trHeight w:val="300"/>
        </w:trPr>
        <w:tc>
          <w:tcPr>
            <w:tcW w:w="3681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Myfenax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Mycophenolas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mofetil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tabl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powl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., 500 mg, 50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tabl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3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102,06</w:t>
            </w:r>
          </w:p>
        </w:tc>
        <w:tc>
          <w:tcPr>
            <w:tcW w:w="1276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-30,78</w:t>
            </w:r>
          </w:p>
        </w:tc>
        <w:tc>
          <w:tcPr>
            <w:tcW w:w="113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3,2</w:t>
            </w:r>
          </w:p>
        </w:tc>
        <w:tc>
          <w:tcPr>
            <w:tcW w:w="1269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1BD9" w:rsidRPr="000423ED" w:rsidTr="00E70F68">
        <w:trPr>
          <w:trHeight w:val="300"/>
        </w:trPr>
        <w:tc>
          <w:tcPr>
            <w:tcW w:w="3681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Mycophenolate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mofetil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 Sandoz 500 mg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tabletki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powlekane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Mycophenolas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mofetil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tabl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powl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., 500 mg, 50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3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276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3,2</w:t>
            </w:r>
          </w:p>
        </w:tc>
        <w:tc>
          <w:tcPr>
            <w:tcW w:w="1269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1BD9" w:rsidRPr="000423ED" w:rsidTr="00E70F68">
        <w:trPr>
          <w:trHeight w:val="300"/>
        </w:trPr>
        <w:tc>
          <w:tcPr>
            <w:tcW w:w="3681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Mycophenolate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Mofetil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 Accord,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Mycophenolas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mofetil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kaps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twarde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, 250 mg, 100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3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276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3,2</w:t>
            </w:r>
          </w:p>
        </w:tc>
        <w:tc>
          <w:tcPr>
            <w:tcW w:w="1269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1BD9" w:rsidRPr="000423ED" w:rsidTr="00E70F68">
        <w:trPr>
          <w:trHeight w:val="300"/>
        </w:trPr>
        <w:tc>
          <w:tcPr>
            <w:tcW w:w="3681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0423ED"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Mycofit</w:t>
            </w:r>
            <w:proofErr w:type="spellEnd"/>
            <w:r w:rsidRPr="000423E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/Mycophenolate </w:t>
            </w:r>
            <w:proofErr w:type="spellStart"/>
            <w:r w:rsidRPr="000423ED">
              <w:rPr>
                <w:rFonts w:ascii="Arial" w:hAnsi="Arial" w:cs="Arial"/>
                <w:b/>
                <w:sz w:val="18"/>
                <w:szCs w:val="18"/>
                <w:lang w:val="en-US"/>
              </w:rPr>
              <w:t>Mofetil</w:t>
            </w:r>
            <w:proofErr w:type="spellEnd"/>
            <w:r w:rsidRPr="000423E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Accord, </w:t>
            </w:r>
            <w:proofErr w:type="spellStart"/>
            <w:r w:rsidRPr="000423ED">
              <w:rPr>
                <w:rFonts w:ascii="Arial" w:hAnsi="Arial" w:cs="Arial"/>
                <w:b/>
                <w:sz w:val="18"/>
                <w:szCs w:val="18"/>
                <w:lang w:val="en-US"/>
              </w:rPr>
              <w:t>Mycophenolas</w:t>
            </w:r>
            <w:proofErr w:type="spellEnd"/>
            <w:r w:rsidRPr="000423E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23ED">
              <w:rPr>
                <w:rFonts w:ascii="Arial" w:hAnsi="Arial" w:cs="Arial"/>
                <w:b/>
                <w:sz w:val="18"/>
                <w:szCs w:val="18"/>
                <w:lang w:val="en-US"/>
              </w:rPr>
              <w:t>mofetil</w:t>
            </w:r>
            <w:proofErr w:type="spellEnd"/>
            <w:r w:rsidRPr="000423E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b/>
                <w:sz w:val="18"/>
                <w:szCs w:val="18"/>
                <w:lang w:val="en-US"/>
              </w:rPr>
              <w:t>tabl</w:t>
            </w:r>
            <w:proofErr w:type="spellEnd"/>
            <w:r w:rsidRPr="000423E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423ED">
              <w:rPr>
                <w:rFonts w:ascii="Arial" w:hAnsi="Arial" w:cs="Arial"/>
                <w:b/>
                <w:sz w:val="18"/>
                <w:szCs w:val="18"/>
                <w:lang w:val="en-US"/>
              </w:rPr>
              <w:t>powl</w:t>
            </w:r>
            <w:proofErr w:type="spellEnd"/>
            <w:r w:rsidRPr="000423ED">
              <w:rPr>
                <w:rFonts w:ascii="Arial" w:hAnsi="Arial" w:cs="Arial"/>
                <w:b/>
                <w:sz w:val="18"/>
                <w:szCs w:val="18"/>
                <w:lang w:val="en-US"/>
              </w:rPr>
              <w:t>., 500 mg, 50 szt.*</w:t>
            </w:r>
          </w:p>
        </w:tc>
        <w:tc>
          <w:tcPr>
            <w:tcW w:w="113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276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3,2</w:t>
            </w:r>
          </w:p>
        </w:tc>
        <w:tc>
          <w:tcPr>
            <w:tcW w:w="1269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1BD9" w:rsidRPr="000423ED" w:rsidTr="00E70F68">
        <w:trPr>
          <w:trHeight w:val="300"/>
        </w:trPr>
        <w:tc>
          <w:tcPr>
            <w:tcW w:w="3681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Marelim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Acidum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mycophenolicum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>, tabletki dojelitowe, 180 mg, 120 tabl.</w:t>
            </w:r>
          </w:p>
        </w:tc>
        <w:tc>
          <w:tcPr>
            <w:tcW w:w="113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156,6</w:t>
            </w:r>
          </w:p>
        </w:tc>
        <w:tc>
          <w:tcPr>
            <w:tcW w:w="1276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-10,8</w:t>
            </w:r>
          </w:p>
        </w:tc>
        <w:tc>
          <w:tcPr>
            <w:tcW w:w="113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29,85</w:t>
            </w:r>
          </w:p>
        </w:tc>
        <w:tc>
          <w:tcPr>
            <w:tcW w:w="1269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20,41</w:t>
            </w:r>
          </w:p>
        </w:tc>
      </w:tr>
      <w:tr w:rsidR="00F81BD9" w:rsidRPr="000423ED" w:rsidTr="00E70F68">
        <w:trPr>
          <w:trHeight w:val="300"/>
        </w:trPr>
        <w:tc>
          <w:tcPr>
            <w:tcW w:w="3681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Mycophenolate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mofetil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Apotex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Mycophenolas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mofetil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kaps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twarde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, 250 mg, 100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r w:rsidRPr="000423ED">
              <w:rPr>
                <w:rFonts w:ascii="Arial" w:hAnsi="Arial" w:cs="Arial"/>
                <w:sz w:val="18"/>
                <w:szCs w:val="18"/>
              </w:rPr>
              <w:t xml:space="preserve">(10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blist.po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 10 szt.)</w:t>
            </w:r>
          </w:p>
        </w:tc>
        <w:tc>
          <w:tcPr>
            <w:tcW w:w="113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132,84</w:t>
            </w:r>
          </w:p>
        </w:tc>
        <w:tc>
          <w:tcPr>
            <w:tcW w:w="1276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29,28</w:t>
            </w:r>
          </w:p>
        </w:tc>
        <w:tc>
          <w:tcPr>
            <w:tcW w:w="1269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26,08</w:t>
            </w:r>
          </w:p>
        </w:tc>
      </w:tr>
      <w:tr w:rsidR="00F81BD9" w:rsidRPr="000423ED" w:rsidTr="00E70F68">
        <w:trPr>
          <w:trHeight w:val="300"/>
        </w:trPr>
        <w:tc>
          <w:tcPr>
            <w:tcW w:w="3681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Mycophenolate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mofetil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Apotex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Mycophenolas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mofetil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tabl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powl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., 500 mg, 50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r w:rsidRPr="000423ED">
              <w:rPr>
                <w:rFonts w:ascii="Arial" w:hAnsi="Arial" w:cs="Arial"/>
                <w:sz w:val="18"/>
                <w:szCs w:val="18"/>
              </w:rPr>
              <w:t xml:space="preserve">(5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blist.po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 10 szt.)</w:t>
            </w:r>
          </w:p>
        </w:tc>
        <w:tc>
          <w:tcPr>
            <w:tcW w:w="113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132,84</w:t>
            </w:r>
          </w:p>
        </w:tc>
        <w:tc>
          <w:tcPr>
            <w:tcW w:w="1276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29,28</w:t>
            </w:r>
          </w:p>
        </w:tc>
        <w:tc>
          <w:tcPr>
            <w:tcW w:w="1269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26,08</w:t>
            </w:r>
          </w:p>
        </w:tc>
      </w:tr>
      <w:tr w:rsidR="00F81BD9" w:rsidRPr="000423ED" w:rsidTr="00E70F68">
        <w:trPr>
          <w:trHeight w:val="300"/>
        </w:trPr>
        <w:tc>
          <w:tcPr>
            <w:tcW w:w="3681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Marelim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Acidum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mycophenolicum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>, tabletki dojelitowe, 360 mg, 120 tabl.</w:t>
            </w:r>
          </w:p>
        </w:tc>
        <w:tc>
          <w:tcPr>
            <w:tcW w:w="113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1276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-10,8</w:t>
            </w:r>
          </w:p>
        </w:tc>
        <w:tc>
          <w:tcPr>
            <w:tcW w:w="113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56,53</w:t>
            </w:r>
          </w:p>
        </w:tc>
        <w:tc>
          <w:tcPr>
            <w:tcW w:w="1269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53,33</w:t>
            </w:r>
          </w:p>
        </w:tc>
      </w:tr>
      <w:tr w:rsidR="00F81BD9" w:rsidRPr="000423ED" w:rsidTr="00E70F68">
        <w:trPr>
          <w:trHeight w:val="300"/>
        </w:trPr>
        <w:tc>
          <w:tcPr>
            <w:tcW w:w="3681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Mycophenolate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mofetil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Stada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Mycophenolas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mofetil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kaps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., 250 mg, 100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3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137,16</w:t>
            </w:r>
          </w:p>
        </w:tc>
        <w:tc>
          <w:tcPr>
            <w:tcW w:w="1276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33,82</w:t>
            </w:r>
          </w:p>
        </w:tc>
        <w:tc>
          <w:tcPr>
            <w:tcW w:w="1269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26,13</w:t>
            </w:r>
          </w:p>
        </w:tc>
      </w:tr>
      <w:tr w:rsidR="00F81BD9" w:rsidRPr="000423ED" w:rsidTr="00E70F68">
        <w:trPr>
          <w:trHeight w:val="300"/>
        </w:trPr>
        <w:tc>
          <w:tcPr>
            <w:tcW w:w="3681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Mycophenolate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mofetil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Stada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Mycophenolas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mofetil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tabl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powl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., 500 mg, 50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3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137,16</w:t>
            </w:r>
          </w:p>
        </w:tc>
        <w:tc>
          <w:tcPr>
            <w:tcW w:w="1276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33,82</w:t>
            </w:r>
          </w:p>
        </w:tc>
        <w:tc>
          <w:tcPr>
            <w:tcW w:w="1269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26,13</w:t>
            </w:r>
          </w:p>
        </w:tc>
      </w:tr>
      <w:tr w:rsidR="00F81BD9" w:rsidRPr="000423ED" w:rsidTr="00E70F68">
        <w:trPr>
          <w:trHeight w:val="300"/>
        </w:trPr>
        <w:tc>
          <w:tcPr>
            <w:tcW w:w="3681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CellCept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Mycophenolas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mofetil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>, proszek do sporządzania zawiesiny doustnej, 1 g/5 ml, 110 g (175 ml)</w:t>
            </w:r>
          </w:p>
        </w:tc>
        <w:tc>
          <w:tcPr>
            <w:tcW w:w="113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209,24</w:t>
            </w:r>
          </w:p>
        </w:tc>
        <w:tc>
          <w:tcPr>
            <w:tcW w:w="1276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60,74</w:t>
            </w:r>
          </w:p>
        </w:tc>
        <w:tc>
          <w:tcPr>
            <w:tcW w:w="1269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37,69</w:t>
            </w:r>
          </w:p>
        </w:tc>
      </w:tr>
      <w:tr w:rsidR="00F81BD9" w:rsidRPr="000423ED" w:rsidTr="00E70F68">
        <w:trPr>
          <w:trHeight w:val="300"/>
        </w:trPr>
        <w:tc>
          <w:tcPr>
            <w:tcW w:w="3681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CellCept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Mycophenolas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mofetil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tabl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., 500 mg, 50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3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156,6</w:t>
            </w:r>
          </w:p>
        </w:tc>
        <w:tc>
          <w:tcPr>
            <w:tcW w:w="1276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54,23</w:t>
            </w:r>
          </w:p>
        </w:tc>
        <w:tc>
          <w:tcPr>
            <w:tcW w:w="1269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26,13</w:t>
            </w:r>
          </w:p>
        </w:tc>
      </w:tr>
      <w:tr w:rsidR="00F81BD9" w:rsidRPr="000423ED" w:rsidTr="00E70F68">
        <w:trPr>
          <w:trHeight w:val="300"/>
        </w:trPr>
        <w:tc>
          <w:tcPr>
            <w:tcW w:w="3681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CellCept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Mycophenolas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mofetil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kaps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twarde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, 250 mg, 100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3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156,6</w:t>
            </w:r>
          </w:p>
        </w:tc>
        <w:tc>
          <w:tcPr>
            <w:tcW w:w="1276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54,23</w:t>
            </w:r>
          </w:p>
        </w:tc>
        <w:tc>
          <w:tcPr>
            <w:tcW w:w="1269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26,13</w:t>
            </w:r>
          </w:p>
        </w:tc>
      </w:tr>
      <w:tr w:rsidR="00F81BD9" w:rsidRPr="000423ED" w:rsidTr="00E70F68">
        <w:trPr>
          <w:trHeight w:val="300"/>
        </w:trPr>
        <w:tc>
          <w:tcPr>
            <w:tcW w:w="3681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Myfortic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 180 mg powlekane tabletki dojelitowe,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Acidum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mycophenolicum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, tabl.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dojel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., 180 mg, 120 szt. (12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blist.po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 10 szt.)</w:t>
            </w:r>
          </w:p>
        </w:tc>
        <w:tc>
          <w:tcPr>
            <w:tcW w:w="113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309,73</w:t>
            </w:r>
          </w:p>
        </w:tc>
        <w:tc>
          <w:tcPr>
            <w:tcW w:w="1276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190,64</w:t>
            </w:r>
          </w:p>
        </w:tc>
        <w:tc>
          <w:tcPr>
            <w:tcW w:w="1269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31,75</w:t>
            </w:r>
          </w:p>
        </w:tc>
      </w:tr>
      <w:tr w:rsidR="00F81BD9" w:rsidRPr="000423ED" w:rsidTr="00E70F68">
        <w:trPr>
          <w:trHeight w:val="300"/>
        </w:trPr>
        <w:tc>
          <w:tcPr>
            <w:tcW w:w="3681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Myfortic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 360 mg powlekane tabletki dojelitowe,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Acidum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mycophenolicum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, tabl.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dojel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., 360 mg, 120 szt. (12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blist.po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 10 szt.)</w:t>
            </w:r>
          </w:p>
        </w:tc>
        <w:tc>
          <w:tcPr>
            <w:tcW w:w="113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619,48</w:t>
            </w:r>
          </w:p>
        </w:tc>
        <w:tc>
          <w:tcPr>
            <w:tcW w:w="1276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366,78</w:t>
            </w:r>
          </w:p>
        </w:tc>
        <w:tc>
          <w:tcPr>
            <w:tcW w:w="1269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64,67</w:t>
            </w:r>
          </w:p>
        </w:tc>
      </w:tr>
    </w:tbl>
    <w:p w:rsidR="00F81BD9" w:rsidRPr="000423ED" w:rsidRDefault="00F81BD9" w:rsidP="00F81BD9">
      <w:pPr>
        <w:spacing w:before="120" w:after="120" w:line="360" w:lineRule="auto"/>
        <w:jc w:val="both"/>
        <w:rPr>
          <w:rFonts w:ascii="Arial" w:hAnsi="Arial" w:cs="Arial"/>
        </w:rPr>
      </w:pPr>
      <w:r w:rsidRPr="000423ED">
        <w:rPr>
          <w:rFonts w:ascii="Arial" w:hAnsi="Arial" w:cs="Arial"/>
        </w:rPr>
        <w:t>*</w:t>
      </w:r>
      <w:r w:rsidRPr="000423ED">
        <w:rPr>
          <w:rFonts w:ascii="Arial" w:hAnsi="Arial" w:cs="Arial"/>
          <w:sz w:val="18"/>
        </w:rPr>
        <w:t>podstawa limitu</w:t>
      </w:r>
    </w:p>
    <w:p w:rsidR="00F81BD9" w:rsidRPr="000423ED" w:rsidRDefault="00F81BD9" w:rsidP="000423ED">
      <w:pPr>
        <w:spacing w:before="120" w:after="0" w:line="360" w:lineRule="auto"/>
        <w:jc w:val="both"/>
        <w:rPr>
          <w:rFonts w:ascii="Arial" w:hAnsi="Arial" w:cs="Arial"/>
          <w:b/>
          <w:u w:val="single"/>
        </w:rPr>
      </w:pPr>
      <w:r w:rsidRPr="000423ED">
        <w:rPr>
          <w:rFonts w:ascii="Arial" w:hAnsi="Arial" w:cs="Arial"/>
          <w:b/>
        </w:rPr>
        <w:t xml:space="preserve">Urzędowe ceny zbytu leków nie zostały podwyższone, natomiast w związku z obniżeniem limitu finansowania, od 1 września 2017 r. wzrosły dopłaty pacjenta do leków w ww. grupie limitowej. </w:t>
      </w:r>
      <w:r w:rsidRPr="000423ED">
        <w:rPr>
          <w:rFonts w:ascii="Arial" w:hAnsi="Arial" w:cs="Arial"/>
          <w:b/>
          <w:u w:val="single"/>
        </w:rPr>
        <w:t>Należy zaznaczyć, że leki z wyższą dopłatą mają tańsze odpowiedniki.</w:t>
      </w:r>
    </w:p>
    <w:p w:rsidR="00192359" w:rsidRPr="000423ED" w:rsidRDefault="00192359" w:rsidP="000423ED">
      <w:pPr>
        <w:pStyle w:val="Nagwek2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0423ED">
        <w:rPr>
          <w:rFonts w:ascii="Arial" w:hAnsi="Arial" w:cs="Arial"/>
          <w:sz w:val="22"/>
          <w:szCs w:val="22"/>
        </w:rPr>
        <w:t xml:space="preserve">Grupa limitowa 116.0 Leki przeciwwirusowe - </w:t>
      </w:r>
      <w:proofErr w:type="spellStart"/>
      <w:r w:rsidRPr="000423ED">
        <w:rPr>
          <w:rFonts w:ascii="Arial" w:hAnsi="Arial" w:cs="Arial"/>
          <w:sz w:val="22"/>
          <w:szCs w:val="22"/>
        </w:rPr>
        <w:t>walgancyklowir</w:t>
      </w:r>
      <w:proofErr w:type="spellEnd"/>
      <w:r w:rsidRPr="000423ED">
        <w:rPr>
          <w:rFonts w:ascii="Arial" w:hAnsi="Arial" w:cs="Arial"/>
          <w:sz w:val="22"/>
          <w:szCs w:val="22"/>
        </w:rPr>
        <w:t xml:space="preserve"> - postacie do stosowania doustnego</w:t>
      </w:r>
    </w:p>
    <w:p w:rsidR="00192359" w:rsidRPr="000423ED" w:rsidRDefault="00192359" w:rsidP="000423ED">
      <w:pPr>
        <w:spacing w:before="120" w:after="0" w:line="360" w:lineRule="auto"/>
        <w:jc w:val="both"/>
        <w:rPr>
          <w:rFonts w:ascii="Arial" w:hAnsi="Arial" w:cs="Arial"/>
        </w:rPr>
      </w:pPr>
      <w:r w:rsidRPr="000423ED">
        <w:rPr>
          <w:rFonts w:ascii="Arial" w:hAnsi="Arial" w:cs="Arial"/>
        </w:rPr>
        <w:t xml:space="preserve">W tej grupie sytuacja wyglądała podobnie. </w:t>
      </w:r>
    </w:p>
    <w:p w:rsidR="00F81BD9" w:rsidRPr="000423ED" w:rsidRDefault="00192359" w:rsidP="000423ED">
      <w:pPr>
        <w:pStyle w:val="Nagwek3"/>
        <w:spacing w:before="12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0423ED">
        <w:rPr>
          <w:rFonts w:ascii="Arial" w:hAnsi="Arial" w:cs="Arial"/>
          <w:sz w:val="22"/>
          <w:szCs w:val="22"/>
        </w:rPr>
        <w:t>Zmiany od 1 maja</w:t>
      </w:r>
    </w:p>
    <w:p w:rsidR="00192359" w:rsidRPr="000423ED" w:rsidRDefault="00F81BD9" w:rsidP="000423ED">
      <w:pPr>
        <w:spacing w:before="120" w:after="0" w:line="360" w:lineRule="auto"/>
        <w:jc w:val="both"/>
        <w:rPr>
          <w:rFonts w:ascii="Arial" w:hAnsi="Arial" w:cs="Arial"/>
        </w:rPr>
      </w:pPr>
      <w:r w:rsidRPr="000423ED">
        <w:rPr>
          <w:rFonts w:ascii="Arial" w:hAnsi="Arial" w:cs="Arial"/>
        </w:rPr>
        <w:t xml:space="preserve">Od 1 maja 2017 r. dwa refundowane leki zawierające </w:t>
      </w:r>
      <w:proofErr w:type="spellStart"/>
      <w:r w:rsidRPr="000423ED">
        <w:rPr>
          <w:rFonts w:ascii="Arial" w:hAnsi="Arial" w:cs="Arial"/>
        </w:rPr>
        <w:t>walganycklowir</w:t>
      </w:r>
      <w:proofErr w:type="spellEnd"/>
      <w:r w:rsidRPr="000423ED">
        <w:rPr>
          <w:rFonts w:ascii="Arial" w:hAnsi="Arial" w:cs="Arial"/>
        </w:rPr>
        <w:t xml:space="preserve"> w stałej postaci doustnej (</w:t>
      </w:r>
      <w:proofErr w:type="spellStart"/>
      <w:r w:rsidRPr="000423ED">
        <w:rPr>
          <w:rFonts w:ascii="Arial" w:hAnsi="Arial" w:cs="Arial"/>
        </w:rPr>
        <w:t>Valhit</w:t>
      </w:r>
      <w:proofErr w:type="spellEnd"/>
      <w:r w:rsidRPr="000423ED">
        <w:rPr>
          <w:rFonts w:ascii="Arial" w:hAnsi="Arial" w:cs="Arial"/>
        </w:rPr>
        <w:t xml:space="preserve"> oraz </w:t>
      </w:r>
      <w:proofErr w:type="spellStart"/>
      <w:r w:rsidRPr="000423ED">
        <w:rPr>
          <w:rFonts w:ascii="Arial" w:hAnsi="Arial" w:cs="Arial"/>
        </w:rPr>
        <w:t>Valganciclovir</w:t>
      </w:r>
      <w:proofErr w:type="spellEnd"/>
      <w:r w:rsidRPr="000423ED">
        <w:rPr>
          <w:rFonts w:ascii="Arial" w:hAnsi="Arial" w:cs="Arial"/>
        </w:rPr>
        <w:t xml:space="preserve"> </w:t>
      </w:r>
      <w:proofErr w:type="spellStart"/>
      <w:r w:rsidRPr="000423ED">
        <w:rPr>
          <w:rFonts w:ascii="Arial" w:hAnsi="Arial" w:cs="Arial"/>
        </w:rPr>
        <w:t>Teva</w:t>
      </w:r>
      <w:proofErr w:type="spellEnd"/>
      <w:r w:rsidRPr="000423ED">
        <w:rPr>
          <w:rFonts w:ascii="Arial" w:hAnsi="Arial" w:cs="Arial"/>
        </w:rPr>
        <w:t xml:space="preserve">) zostały objęte refundacją w kolejnym wskazaniu: zakażenie wirusem cytomegalii u pacjentów poddawanych przeszczepom nerek - profilaktyka po zakończeniu hospitalizacji związanej z transplantacją do 200 dni po przeszczepie. W okresie marzec-kwiecień 2017 r. jedynym lekiem zawierającym </w:t>
      </w:r>
      <w:proofErr w:type="spellStart"/>
      <w:r w:rsidRPr="000423ED">
        <w:rPr>
          <w:rFonts w:ascii="Arial" w:hAnsi="Arial" w:cs="Arial"/>
        </w:rPr>
        <w:t>walgancyklowir</w:t>
      </w:r>
      <w:proofErr w:type="spellEnd"/>
      <w:r w:rsidRPr="000423ED">
        <w:rPr>
          <w:rFonts w:ascii="Arial" w:hAnsi="Arial" w:cs="Arial"/>
        </w:rPr>
        <w:t xml:space="preserve"> w postaci tabletek, który był refundowany w ww. wskazaniu, był lek </w:t>
      </w:r>
      <w:proofErr w:type="spellStart"/>
      <w:r w:rsidRPr="000423ED">
        <w:rPr>
          <w:rFonts w:ascii="Arial" w:hAnsi="Arial" w:cs="Arial"/>
        </w:rPr>
        <w:t>Ceglar</w:t>
      </w:r>
      <w:proofErr w:type="spellEnd"/>
      <w:r w:rsidRPr="000423ED">
        <w:rPr>
          <w:rFonts w:ascii="Arial" w:hAnsi="Arial" w:cs="Arial"/>
        </w:rPr>
        <w:t xml:space="preserve">. Objęcie refundacją leków ze statusem pierwszego odpowiednika (co miało </w:t>
      </w:r>
      <w:r w:rsidRPr="000423ED">
        <w:rPr>
          <w:rFonts w:ascii="Arial" w:hAnsi="Arial" w:cs="Arial"/>
        </w:rPr>
        <w:lastRenderedPageBreak/>
        <w:t>miejsce w tej sytuacji) spowodowało obniżenie limitu finansowania w tej grupie limitowej, pociągając za sobą wzrost dopłat do leków, których cena detaliczna przekracza limit finansowania.</w:t>
      </w:r>
    </w:p>
    <w:p w:rsidR="000423ED" w:rsidRPr="000423ED" w:rsidRDefault="00F81BD9" w:rsidP="000423ED">
      <w:pPr>
        <w:spacing w:before="120" w:after="0" w:line="360" w:lineRule="auto"/>
        <w:jc w:val="both"/>
        <w:rPr>
          <w:rFonts w:ascii="Arial" w:hAnsi="Arial" w:cs="Arial"/>
        </w:rPr>
      </w:pPr>
      <w:r w:rsidRPr="000423ED">
        <w:rPr>
          <w:rFonts w:ascii="Arial" w:hAnsi="Arial" w:cs="Arial"/>
        </w:rPr>
        <w:t xml:space="preserve">Wysokość dopłaty pacjenta do leków zawierających </w:t>
      </w:r>
      <w:proofErr w:type="spellStart"/>
      <w:r w:rsidRPr="000423ED">
        <w:rPr>
          <w:rFonts w:ascii="Arial" w:hAnsi="Arial" w:cs="Arial"/>
        </w:rPr>
        <w:t>walgancyklowir</w:t>
      </w:r>
      <w:proofErr w:type="spellEnd"/>
      <w:r w:rsidRPr="000423ED">
        <w:rPr>
          <w:rFonts w:ascii="Arial" w:hAnsi="Arial" w:cs="Arial"/>
        </w:rPr>
        <w:t>, jaka obowiązywała w okresie od 1 maja 2017 r. do 30 czerwca 2017 r., prezentuje poniższa tabela (leki te są refundowane za odpłatnością ryczałtową i za dopłatą w wysokości różnicy między ceną detaliczną a limitem finansowania):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1287"/>
        <w:gridCol w:w="1134"/>
        <w:gridCol w:w="1417"/>
        <w:gridCol w:w="981"/>
        <w:gridCol w:w="1277"/>
        <w:gridCol w:w="947"/>
      </w:tblGrid>
      <w:tr w:rsidR="00F81BD9" w:rsidRPr="000423ED" w:rsidTr="00E70F68">
        <w:trPr>
          <w:trHeight w:val="461"/>
          <w:tblHeader/>
        </w:trPr>
        <w:tc>
          <w:tcPr>
            <w:tcW w:w="1413" w:type="dxa"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23ED"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287" w:type="dxa"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23ED">
              <w:rPr>
                <w:rFonts w:ascii="Arial" w:hAnsi="Arial" w:cs="Arial"/>
                <w:b/>
                <w:bCs/>
                <w:sz w:val="18"/>
                <w:szCs w:val="18"/>
              </w:rPr>
              <w:t>Postać</w:t>
            </w:r>
          </w:p>
        </w:tc>
        <w:tc>
          <w:tcPr>
            <w:tcW w:w="1134" w:type="dxa"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23ED">
              <w:rPr>
                <w:rFonts w:ascii="Arial" w:hAnsi="Arial" w:cs="Arial"/>
                <w:b/>
                <w:bCs/>
                <w:sz w:val="18"/>
                <w:szCs w:val="18"/>
              </w:rPr>
              <w:t>Dawka</w:t>
            </w:r>
          </w:p>
        </w:tc>
        <w:tc>
          <w:tcPr>
            <w:tcW w:w="1417" w:type="dxa"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23ED">
              <w:rPr>
                <w:rFonts w:ascii="Arial" w:hAnsi="Arial" w:cs="Arial"/>
                <w:b/>
                <w:bCs/>
                <w:sz w:val="18"/>
                <w:szCs w:val="18"/>
              </w:rPr>
              <w:t>Opakowanie</w:t>
            </w:r>
          </w:p>
        </w:tc>
        <w:tc>
          <w:tcPr>
            <w:tcW w:w="981" w:type="dxa"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23ED">
              <w:rPr>
                <w:rFonts w:ascii="Arial" w:hAnsi="Arial" w:cs="Arial"/>
                <w:b/>
                <w:bCs/>
                <w:sz w:val="18"/>
                <w:szCs w:val="18"/>
              </w:rPr>
              <w:t>Limit</w:t>
            </w:r>
          </w:p>
        </w:tc>
        <w:tc>
          <w:tcPr>
            <w:tcW w:w="1277" w:type="dxa"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23ED">
              <w:rPr>
                <w:rFonts w:ascii="Arial" w:hAnsi="Arial" w:cs="Arial"/>
                <w:b/>
                <w:bCs/>
                <w:sz w:val="18"/>
                <w:szCs w:val="18"/>
              </w:rPr>
              <w:t>Cena detaliczna</w:t>
            </w:r>
          </w:p>
        </w:tc>
        <w:tc>
          <w:tcPr>
            <w:tcW w:w="947" w:type="dxa"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23ED">
              <w:rPr>
                <w:rFonts w:ascii="Arial" w:hAnsi="Arial" w:cs="Arial"/>
                <w:b/>
                <w:bCs/>
                <w:sz w:val="18"/>
                <w:szCs w:val="18"/>
              </w:rPr>
              <w:t>Zapłata pacjenta</w:t>
            </w:r>
          </w:p>
        </w:tc>
      </w:tr>
      <w:tr w:rsidR="00F81BD9" w:rsidRPr="000423ED" w:rsidTr="00E70F68">
        <w:trPr>
          <w:trHeight w:val="152"/>
        </w:trPr>
        <w:tc>
          <w:tcPr>
            <w:tcW w:w="1413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Valganciclovir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Teva</w:t>
            </w:r>
            <w:proofErr w:type="spellEnd"/>
          </w:p>
        </w:tc>
        <w:tc>
          <w:tcPr>
            <w:tcW w:w="1287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 xml:space="preserve">tabl.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powl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450 mg</w:t>
            </w:r>
          </w:p>
        </w:tc>
        <w:tc>
          <w:tcPr>
            <w:tcW w:w="1417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60 szt.</w:t>
            </w:r>
          </w:p>
        </w:tc>
        <w:tc>
          <w:tcPr>
            <w:tcW w:w="981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2864,49</w:t>
            </w:r>
          </w:p>
        </w:tc>
        <w:tc>
          <w:tcPr>
            <w:tcW w:w="1277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2864,49</w:t>
            </w:r>
          </w:p>
        </w:tc>
        <w:tc>
          <w:tcPr>
            <w:tcW w:w="947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3,20</w:t>
            </w:r>
          </w:p>
        </w:tc>
      </w:tr>
      <w:tr w:rsidR="00F81BD9" w:rsidRPr="000423ED" w:rsidTr="00E70F68">
        <w:trPr>
          <w:trHeight w:val="152"/>
        </w:trPr>
        <w:tc>
          <w:tcPr>
            <w:tcW w:w="1413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Valhit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287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 xml:space="preserve">tabl.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powl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450 mg</w:t>
            </w:r>
          </w:p>
        </w:tc>
        <w:tc>
          <w:tcPr>
            <w:tcW w:w="1417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60 szt.</w:t>
            </w:r>
          </w:p>
        </w:tc>
        <w:tc>
          <w:tcPr>
            <w:tcW w:w="981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2864,49</w:t>
            </w:r>
          </w:p>
        </w:tc>
        <w:tc>
          <w:tcPr>
            <w:tcW w:w="1277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2864,49</w:t>
            </w:r>
          </w:p>
        </w:tc>
        <w:tc>
          <w:tcPr>
            <w:tcW w:w="947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3,20</w:t>
            </w:r>
          </w:p>
        </w:tc>
      </w:tr>
      <w:tr w:rsidR="00F81BD9" w:rsidRPr="000423ED" w:rsidTr="00E70F68">
        <w:trPr>
          <w:trHeight w:val="152"/>
        </w:trPr>
        <w:tc>
          <w:tcPr>
            <w:tcW w:w="1413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Ceglar</w:t>
            </w:r>
            <w:proofErr w:type="spellEnd"/>
          </w:p>
        </w:tc>
        <w:tc>
          <w:tcPr>
            <w:tcW w:w="1287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 xml:space="preserve">tabl.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powl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450 mg</w:t>
            </w:r>
          </w:p>
        </w:tc>
        <w:tc>
          <w:tcPr>
            <w:tcW w:w="1417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60 szt.</w:t>
            </w:r>
          </w:p>
        </w:tc>
        <w:tc>
          <w:tcPr>
            <w:tcW w:w="981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2864,49</w:t>
            </w:r>
          </w:p>
        </w:tc>
        <w:tc>
          <w:tcPr>
            <w:tcW w:w="1277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3919,11</w:t>
            </w:r>
          </w:p>
        </w:tc>
        <w:tc>
          <w:tcPr>
            <w:tcW w:w="947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1057,82</w:t>
            </w:r>
          </w:p>
        </w:tc>
      </w:tr>
      <w:tr w:rsidR="00F81BD9" w:rsidRPr="000423ED" w:rsidTr="00E70F68">
        <w:trPr>
          <w:trHeight w:val="152"/>
        </w:trPr>
        <w:tc>
          <w:tcPr>
            <w:tcW w:w="1413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Valcyte</w:t>
            </w:r>
            <w:proofErr w:type="spellEnd"/>
          </w:p>
        </w:tc>
        <w:tc>
          <w:tcPr>
            <w:tcW w:w="1287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 xml:space="preserve">tabl.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powl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450 mg</w:t>
            </w:r>
          </w:p>
        </w:tc>
        <w:tc>
          <w:tcPr>
            <w:tcW w:w="1417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60 szt.</w:t>
            </w:r>
          </w:p>
        </w:tc>
        <w:tc>
          <w:tcPr>
            <w:tcW w:w="981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2864,49</w:t>
            </w:r>
          </w:p>
        </w:tc>
        <w:tc>
          <w:tcPr>
            <w:tcW w:w="1277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4188,44</w:t>
            </w:r>
          </w:p>
        </w:tc>
        <w:tc>
          <w:tcPr>
            <w:tcW w:w="947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1327,15</w:t>
            </w:r>
          </w:p>
        </w:tc>
      </w:tr>
      <w:tr w:rsidR="00F81BD9" w:rsidRPr="000423ED" w:rsidTr="00E70F68">
        <w:trPr>
          <w:trHeight w:val="152"/>
        </w:trPr>
        <w:tc>
          <w:tcPr>
            <w:tcW w:w="1413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Valcyte</w:t>
            </w:r>
            <w:proofErr w:type="spellEnd"/>
          </w:p>
        </w:tc>
        <w:tc>
          <w:tcPr>
            <w:tcW w:w="1287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proszek do sporządzania roztworu doustnego</w:t>
            </w:r>
          </w:p>
        </w:tc>
        <w:tc>
          <w:tcPr>
            <w:tcW w:w="113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50 mg/ml</w:t>
            </w:r>
          </w:p>
        </w:tc>
        <w:tc>
          <w:tcPr>
            <w:tcW w:w="1417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 but. po 12 g</w:t>
            </w:r>
          </w:p>
        </w:tc>
        <w:tc>
          <w:tcPr>
            <w:tcW w:w="981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530,47</w:t>
            </w:r>
          </w:p>
        </w:tc>
        <w:tc>
          <w:tcPr>
            <w:tcW w:w="1277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1086,22</w:t>
            </w:r>
          </w:p>
        </w:tc>
        <w:tc>
          <w:tcPr>
            <w:tcW w:w="947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558,95</w:t>
            </w:r>
          </w:p>
        </w:tc>
      </w:tr>
    </w:tbl>
    <w:p w:rsidR="00F81BD9" w:rsidRPr="000423ED" w:rsidRDefault="00F81BD9" w:rsidP="00F81BD9">
      <w:pPr>
        <w:spacing w:before="120" w:after="120" w:line="360" w:lineRule="auto"/>
        <w:jc w:val="both"/>
        <w:rPr>
          <w:rFonts w:ascii="Arial" w:hAnsi="Arial" w:cs="Arial"/>
        </w:rPr>
      </w:pPr>
      <w:r w:rsidRPr="000423ED">
        <w:rPr>
          <w:rFonts w:ascii="Arial" w:hAnsi="Arial" w:cs="Arial"/>
        </w:rPr>
        <w:t>*</w:t>
      </w:r>
      <w:r w:rsidRPr="000423ED">
        <w:rPr>
          <w:rFonts w:ascii="Arial" w:hAnsi="Arial" w:cs="Arial"/>
          <w:sz w:val="18"/>
        </w:rPr>
        <w:t>podstawa limitu</w:t>
      </w:r>
    </w:p>
    <w:p w:rsidR="00192359" w:rsidRPr="000423ED" w:rsidRDefault="00192359" w:rsidP="000423ED">
      <w:pPr>
        <w:pStyle w:val="Nagwek3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0423ED">
        <w:rPr>
          <w:rFonts w:ascii="Arial" w:hAnsi="Arial" w:cs="Arial"/>
          <w:sz w:val="22"/>
          <w:szCs w:val="22"/>
        </w:rPr>
        <w:t>Zmiany od 1 lipca</w:t>
      </w:r>
    </w:p>
    <w:p w:rsidR="00F81BD9" w:rsidRPr="000423ED" w:rsidRDefault="00192359" w:rsidP="000423ED">
      <w:pPr>
        <w:spacing w:before="120" w:after="0" w:line="360" w:lineRule="auto"/>
        <w:jc w:val="both"/>
        <w:rPr>
          <w:rFonts w:ascii="Arial" w:hAnsi="Arial" w:cs="Arial"/>
        </w:rPr>
      </w:pPr>
      <w:r w:rsidRPr="000423ED">
        <w:rPr>
          <w:rFonts w:ascii="Arial" w:hAnsi="Arial" w:cs="Arial"/>
        </w:rPr>
        <w:t>W</w:t>
      </w:r>
      <w:r w:rsidR="00F81BD9" w:rsidRPr="000423ED">
        <w:rPr>
          <w:rFonts w:ascii="Arial" w:hAnsi="Arial" w:cs="Arial"/>
        </w:rPr>
        <w:t xml:space="preserve"> efekcie rozpatrzenia wniosków o obniżenie urzędowych cen zbytu (UCZ) trzech leków z </w:t>
      </w:r>
      <w:r w:rsidRPr="000423ED">
        <w:rPr>
          <w:rFonts w:ascii="Arial" w:hAnsi="Arial" w:cs="Arial"/>
        </w:rPr>
        <w:t>tej</w:t>
      </w:r>
      <w:r w:rsidR="00F81BD9" w:rsidRPr="000423ED">
        <w:rPr>
          <w:rFonts w:ascii="Arial" w:hAnsi="Arial" w:cs="Arial"/>
        </w:rPr>
        <w:t xml:space="preserve"> grupy limitowej, od 1 lipca 2017 r. limit finansowania ponownie się obniżył, a dopłaty pacjenta zmieniły się: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81"/>
        <w:gridCol w:w="1009"/>
        <w:gridCol w:w="1414"/>
        <w:gridCol w:w="1137"/>
        <w:gridCol w:w="1553"/>
      </w:tblGrid>
      <w:tr w:rsidR="00F81BD9" w:rsidRPr="000423ED" w:rsidTr="00E70F68">
        <w:trPr>
          <w:trHeight w:val="300"/>
          <w:tblHeader/>
        </w:trPr>
        <w:tc>
          <w:tcPr>
            <w:tcW w:w="3381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23ED">
              <w:rPr>
                <w:rFonts w:ascii="Arial" w:hAnsi="Arial" w:cs="Arial"/>
                <w:b/>
                <w:bCs/>
                <w:sz w:val="18"/>
                <w:szCs w:val="18"/>
              </w:rPr>
              <w:t>Lek</w:t>
            </w:r>
          </w:p>
        </w:tc>
        <w:tc>
          <w:tcPr>
            <w:tcW w:w="1009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23ED">
              <w:rPr>
                <w:rFonts w:ascii="Arial" w:hAnsi="Arial" w:cs="Arial"/>
                <w:b/>
                <w:bCs/>
                <w:sz w:val="18"/>
                <w:szCs w:val="18"/>
              </w:rPr>
              <w:t>UCZ</w:t>
            </w:r>
          </w:p>
        </w:tc>
        <w:tc>
          <w:tcPr>
            <w:tcW w:w="141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23ED">
              <w:rPr>
                <w:rFonts w:ascii="Arial" w:hAnsi="Arial" w:cs="Arial"/>
                <w:b/>
                <w:bCs/>
                <w:sz w:val="18"/>
                <w:szCs w:val="18"/>
              </w:rPr>
              <w:t>Zmiana UCZ w stosunku do 05.2017</w:t>
            </w:r>
          </w:p>
        </w:tc>
        <w:tc>
          <w:tcPr>
            <w:tcW w:w="1137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23ED">
              <w:rPr>
                <w:rFonts w:ascii="Arial" w:hAnsi="Arial" w:cs="Arial"/>
                <w:b/>
                <w:bCs/>
                <w:sz w:val="18"/>
                <w:szCs w:val="18"/>
              </w:rPr>
              <w:t>Dopłata pacjenta</w:t>
            </w:r>
          </w:p>
        </w:tc>
        <w:tc>
          <w:tcPr>
            <w:tcW w:w="1553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23ED">
              <w:rPr>
                <w:rFonts w:ascii="Arial" w:hAnsi="Arial" w:cs="Arial"/>
                <w:b/>
                <w:bCs/>
                <w:sz w:val="18"/>
                <w:szCs w:val="18"/>
              </w:rPr>
              <w:t>Zmiana dopłaty pacjenta  w stosunku do 05.2017</w:t>
            </w:r>
          </w:p>
        </w:tc>
      </w:tr>
      <w:tr w:rsidR="00F81BD9" w:rsidRPr="000423ED" w:rsidTr="00E70F68">
        <w:trPr>
          <w:trHeight w:val="300"/>
        </w:trPr>
        <w:tc>
          <w:tcPr>
            <w:tcW w:w="3381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Valhit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Valganciclovirum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tabl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powl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., 450 mg, 60 szt.*</w:t>
            </w:r>
          </w:p>
        </w:tc>
        <w:tc>
          <w:tcPr>
            <w:tcW w:w="1009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2106,00</w:t>
            </w:r>
          </w:p>
        </w:tc>
        <w:tc>
          <w:tcPr>
            <w:tcW w:w="141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-561,60</w:t>
            </w:r>
          </w:p>
        </w:tc>
        <w:tc>
          <w:tcPr>
            <w:tcW w:w="1137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3,20</w:t>
            </w:r>
          </w:p>
        </w:tc>
        <w:tc>
          <w:tcPr>
            <w:tcW w:w="1553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1BD9" w:rsidRPr="000423ED" w:rsidTr="00E70F68">
        <w:trPr>
          <w:trHeight w:val="300"/>
        </w:trPr>
        <w:tc>
          <w:tcPr>
            <w:tcW w:w="3381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Ceglar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Valganciclovirum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tabl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powl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., 450 mg, 60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09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2127,60</w:t>
            </w:r>
          </w:p>
        </w:tc>
        <w:tc>
          <w:tcPr>
            <w:tcW w:w="141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-1544,40</w:t>
            </w:r>
          </w:p>
        </w:tc>
        <w:tc>
          <w:tcPr>
            <w:tcW w:w="1137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25,88</w:t>
            </w:r>
          </w:p>
        </w:tc>
        <w:tc>
          <w:tcPr>
            <w:tcW w:w="1553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-1031,94</w:t>
            </w:r>
          </w:p>
        </w:tc>
      </w:tr>
      <w:tr w:rsidR="00F81BD9" w:rsidRPr="000423ED" w:rsidTr="00E70F68">
        <w:trPr>
          <w:trHeight w:val="300"/>
        </w:trPr>
        <w:tc>
          <w:tcPr>
            <w:tcW w:w="3381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Valganciclovir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Teva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Valganciclovirum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tabl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powl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., 450 mg, 60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009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2226,96</w:t>
            </w:r>
          </w:p>
        </w:tc>
        <w:tc>
          <w:tcPr>
            <w:tcW w:w="141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-440,64</w:t>
            </w:r>
          </w:p>
        </w:tc>
        <w:tc>
          <w:tcPr>
            <w:tcW w:w="1137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130,21</w:t>
            </w:r>
          </w:p>
        </w:tc>
        <w:tc>
          <w:tcPr>
            <w:tcW w:w="1553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127,01</w:t>
            </w:r>
          </w:p>
        </w:tc>
      </w:tr>
      <w:tr w:rsidR="00F81BD9" w:rsidRPr="000423ED" w:rsidTr="00E70F68">
        <w:trPr>
          <w:trHeight w:val="300"/>
        </w:trPr>
        <w:tc>
          <w:tcPr>
            <w:tcW w:w="3381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Sperart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Valganciclovirum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>, tabletki powlekane, 450 mg, 60 tabl.**</w:t>
            </w:r>
          </w:p>
        </w:tc>
        <w:tc>
          <w:tcPr>
            <w:tcW w:w="1009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2430,04</w:t>
            </w:r>
          </w:p>
        </w:tc>
        <w:tc>
          <w:tcPr>
            <w:tcW w:w="141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37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343,44</w:t>
            </w:r>
          </w:p>
        </w:tc>
        <w:tc>
          <w:tcPr>
            <w:tcW w:w="1553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81BD9" w:rsidRPr="000423ED" w:rsidTr="00E70F68">
        <w:trPr>
          <w:trHeight w:val="300"/>
        </w:trPr>
        <w:tc>
          <w:tcPr>
            <w:tcW w:w="3381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Valcyte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Valganciclovirum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tabl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powl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., 450 mg, 60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r w:rsidRPr="000423ED">
              <w:rPr>
                <w:rFonts w:ascii="Arial" w:hAnsi="Arial" w:cs="Arial"/>
                <w:sz w:val="18"/>
                <w:szCs w:val="18"/>
              </w:rPr>
              <w:t xml:space="preserve">(1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but.po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 60 szt.)</w:t>
            </w:r>
          </w:p>
        </w:tc>
        <w:tc>
          <w:tcPr>
            <w:tcW w:w="1009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3928,50</w:t>
            </w:r>
          </w:p>
        </w:tc>
        <w:tc>
          <w:tcPr>
            <w:tcW w:w="141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7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1916,83</w:t>
            </w:r>
          </w:p>
        </w:tc>
        <w:tc>
          <w:tcPr>
            <w:tcW w:w="1553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589,68</w:t>
            </w:r>
          </w:p>
        </w:tc>
      </w:tr>
      <w:tr w:rsidR="00F81BD9" w:rsidRPr="000423ED" w:rsidTr="00E70F68">
        <w:trPr>
          <w:trHeight w:val="300"/>
        </w:trPr>
        <w:tc>
          <w:tcPr>
            <w:tcW w:w="3381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Valcyte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Valganciclovirum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, proszek do sporządzania roztworu doustnego, 50 mg/ml, 1 </w:t>
            </w:r>
            <w:proofErr w:type="spellStart"/>
            <w:r w:rsidRPr="000423ED">
              <w:rPr>
                <w:rFonts w:ascii="Arial" w:hAnsi="Arial" w:cs="Arial"/>
                <w:sz w:val="18"/>
                <w:szCs w:val="18"/>
              </w:rPr>
              <w:t>but.po</w:t>
            </w:r>
            <w:proofErr w:type="spellEnd"/>
            <w:r w:rsidRPr="000423ED">
              <w:rPr>
                <w:rFonts w:ascii="Arial" w:hAnsi="Arial" w:cs="Arial"/>
                <w:sz w:val="18"/>
                <w:szCs w:val="18"/>
              </w:rPr>
              <w:t xml:space="preserve"> 12 g</w:t>
            </w:r>
          </w:p>
        </w:tc>
        <w:tc>
          <w:tcPr>
            <w:tcW w:w="1009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1010,24</w:t>
            </w:r>
          </w:p>
        </w:tc>
        <w:tc>
          <w:tcPr>
            <w:tcW w:w="1414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7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666,79</w:t>
            </w:r>
          </w:p>
        </w:tc>
        <w:tc>
          <w:tcPr>
            <w:tcW w:w="1553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423ED">
              <w:rPr>
                <w:rFonts w:ascii="Arial" w:hAnsi="Arial" w:cs="Arial"/>
                <w:sz w:val="18"/>
                <w:szCs w:val="18"/>
              </w:rPr>
              <w:t>107,84</w:t>
            </w:r>
          </w:p>
        </w:tc>
      </w:tr>
    </w:tbl>
    <w:p w:rsidR="00F81BD9" w:rsidRPr="000423ED" w:rsidRDefault="00F81BD9" w:rsidP="00F81BD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0423ED">
        <w:rPr>
          <w:rFonts w:ascii="Arial" w:hAnsi="Arial" w:cs="Arial"/>
        </w:rPr>
        <w:t>*</w:t>
      </w:r>
      <w:r w:rsidRPr="000423ED">
        <w:rPr>
          <w:rFonts w:ascii="Arial" w:hAnsi="Arial" w:cs="Arial"/>
          <w:sz w:val="18"/>
        </w:rPr>
        <w:t>podstawa limitu</w:t>
      </w:r>
    </w:p>
    <w:p w:rsidR="00F81BD9" w:rsidRDefault="00F81BD9" w:rsidP="00F81BD9">
      <w:pPr>
        <w:spacing w:after="0" w:line="240" w:lineRule="auto"/>
        <w:contextualSpacing/>
        <w:jc w:val="both"/>
        <w:rPr>
          <w:rFonts w:ascii="Arial" w:hAnsi="Arial" w:cs="Arial"/>
          <w:sz w:val="16"/>
        </w:rPr>
      </w:pPr>
      <w:r w:rsidRPr="000423ED">
        <w:rPr>
          <w:rFonts w:ascii="Arial" w:hAnsi="Arial" w:cs="Arial"/>
        </w:rPr>
        <w:t>**</w:t>
      </w:r>
      <w:r w:rsidRPr="000423ED">
        <w:rPr>
          <w:rFonts w:ascii="Arial" w:hAnsi="Arial" w:cs="Arial"/>
          <w:sz w:val="18"/>
          <w:szCs w:val="18"/>
        </w:rPr>
        <w:t>lek objęty</w:t>
      </w:r>
      <w:r w:rsidRPr="000423ED">
        <w:rPr>
          <w:rFonts w:ascii="Arial" w:hAnsi="Arial" w:cs="Arial"/>
          <w:sz w:val="18"/>
        </w:rPr>
        <w:t xml:space="preserve"> refundacją od 01.07.2017 r</w:t>
      </w:r>
      <w:r w:rsidRPr="000423ED">
        <w:rPr>
          <w:rFonts w:ascii="Arial" w:hAnsi="Arial" w:cs="Arial"/>
          <w:sz w:val="16"/>
        </w:rPr>
        <w:t>.</w:t>
      </w:r>
    </w:p>
    <w:p w:rsidR="000423ED" w:rsidRPr="000423ED" w:rsidRDefault="000423ED" w:rsidP="00F81BD9">
      <w:pPr>
        <w:spacing w:after="0" w:line="240" w:lineRule="auto"/>
        <w:contextualSpacing/>
        <w:jc w:val="both"/>
        <w:rPr>
          <w:rFonts w:ascii="Arial" w:hAnsi="Arial" w:cs="Arial"/>
          <w:sz w:val="16"/>
        </w:rPr>
      </w:pPr>
    </w:p>
    <w:p w:rsidR="00192359" w:rsidRPr="000423ED" w:rsidRDefault="00192359" w:rsidP="000423ED">
      <w:pPr>
        <w:pStyle w:val="Nagwek3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0423ED">
        <w:rPr>
          <w:rFonts w:ascii="Arial" w:hAnsi="Arial" w:cs="Arial"/>
          <w:sz w:val="22"/>
          <w:szCs w:val="22"/>
        </w:rPr>
        <w:t>Zmiany od 1 września</w:t>
      </w:r>
    </w:p>
    <w:p w:rsidR="00F81BD9" w:rsidRPr="000423ED" w:rsidRDefault="00F81BD9" w:rsidP="000423ED">
      <w:pPr>
        <w:spacing w:before="120" w:after="0" w:line="360" w:lineRule="auto"/>
        <w:jc w:val="both"/>
        <w:rPr>
          <w:rFonts w:ascii="Arial" w:hAnsi="Arial" w:cs="Arial"/>
        </w:rPr>
      </w:pPr>
      <w:r w:rsidRPr="000423ED">
        <w:rPr>
          <w:rFonts w:ascii="Arial" w:hAnsi="Arial" w:cs="Arial"/>
        </w:rPr>
        <w:t xml:space="preserve">Od 1 września 2017 r. nastąpiły kolejne zmiany w </w:t>
      </w:r>
      <w:r w:rsidR="00192359" w:rsidRPr="000423ED">
        <w:rPr>
          <w:rFonts w:ascii="Arial" w:hAnsi="Arial" w:cs="Arial"/>
        </w:rPr>
        <w:t>tej</w:t>
      </w:r>
      <w:r w:rsidRPr="000423ED">
        <w:rPr>
          <w:rFonts w:ascii="Arial" w:hAnsi="Arial" w:cs="Arial"/>
        </w:rPr>
        <w:t xml:space="preserve"> grupie limitowej.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1001"/>
        <w:gridCol w:w="1267"/>
        <w:gridCol w:w="1276"/>
        <w:gridCol w:w="1553"/>
      </w:tblGrid>
      <w:tr w:rsidR="00F81BD9" w:rsidRPr="000423ED" w:rsidTr="00E70F68">
        <w:trPr>
          <w:trHeight w:val="300"/>
          <w:jc w:val="center"/>
        </w:trPr>
        <w:tc>
          <w:tcPr>
            <w:tcW w:w="3397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423ED">
              <w:rPr>
                <w:rFonts w:ascii="Arial" w:hAnsi="Arial" w:cs="Arial"/>
                <w:b/>
                <w:bCs/>
                <w:sz w:val="18"/>
              </w:rPr>
              <w:t>Lek</w:t>
            </w:r>
          </w:p>
        </w:tc>
        <w:tc>
          <w:tcPr>
            <w:tcW w:w="1001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423ED">
              <w:rPr>
                <w:rFonts w:ascii="Arial" w:hAnsi="Arial" w:cs="Arial"/>
                <w:b/>
                <w:bCs/>
                <w:sz w:val="18"/>
              </w:rPr>
              <w:t xml:space="preserve">UCZ </w:t>
            </w:r>
          </w:p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423ED">
              <w:rPr>
                <w:rFonts w:ascii="Arial" w:hAnsi="Arial" w:cs="Arial"/>
                <w:b/>
                <w:bCs/>
                <w:sz w:val="18"/>
              </w:rPr>
              <w:t>09.2017</w:t>
            </w:r>
          </w:p>
        </w:tc>
        <w:tc>
          <w:tcPr>
            <w:tcW w:w="1267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423ED">
              <w:rPr>
                <w:rFonts w:ascii="Arial" w:hAnsi="Arial" w:cs="Arial"/>
                <w:b/>
                <w:bCs/>
                <w:sz w:val="18"/>
              </w:rPr>
              <w:t>Zmiana UCZ w stosunku do 07.2017</w:t>
            </w:r>
          </w:p>
        </w:tc>
        <w:tc>
          <w:tcPr>
            <w:tcW w:w="1276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423ED">
              <w:rPr>
                <w:rFonts w:ascii="Arial" w:hAnsi="Arial" w:cs="Arial"/>
                <w:b/>
                <w:bCs/>
                <w:sz w:val="18"/>
              </w:rPr>
              <w:t>Dopłata</w:t>
            </w:r>
          </w:p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423ED">
              <w:rPr>
                <w:rFonts w:ascii="Arial" w:hAnsi="Arial" w:cs="Arial"/>
                <w:b/>
                <w:bCs/>
                <w:sz w:val="18"/>
              </w:rPr>
              <w:t>pacjenta</w:t>
            </w:r>
          </w:p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423ED">
              <w:rPr>
                <w:rFonts w:ascii="Arial" w:hAnsi="Arial" w:cs="Arial"/>
                <w:b/>
                <w:bCs/>
                <w:sz w:val="18"/>
              </w:rPr>
              <w:t>09.2017</w:t>
            </w:r>
          </w:p>
        </w:tc>
        <w:tc>
          <w:tcPr>
            <w:tcW w:w="1553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0423ED">
              <w:rPr>
                <w:rFonts w:ascii="Arial" w:hAnsi="Arial" w:cs="Arial"/>
                <w:b/>
                <w:bCs/>
                <w:sz w:val="18"/>
              </w:rPr>
              <w:t xml:space="preserve">Zmiana dopłaty pacjenta </w:t>
            </w:r>
            <w:r w:rsidRPr="000423ED">
              <w:rPr>
                <w:rFonts w:ascii="Arial" w:hAnsi="Arial" w:cs="Arial"/>
                <w:b/>
                <w:bCs/>
                <w:sz w:val="18"/>
              </w:rPr>
              <w:lastRenderedPageBreak/>
              <w:t>w stosunku do 07.2017</w:t>
            </w:r>
          </w:p>
        </w:tc>
      </w:tr>
      <w:tr w:rsidR="00F81BD9" w:rsidRPr="000423ED" w:rsidTr="00E70F68">
        <w:trPr>
          <w:trHeight w:val="300"/>
          <w:jc w:val="center"/>
        </w:trPr>
        <w:tc>
          <w:tcPr>
            <w:tcW w:w="3397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proofErr w:type="spellStart"/>
            <w:r w:rsidRPr="000423ED">
              <w:rPr>
                <w:rFonts w:ascii="Arial" w:hAnsi="Arial" w:cs="Arial"/>
                <w:b/>
                <w:sz w:val="18"/>
                <w:lang w:val="en-US"/>
              </w:rPr>
              <w:lastRenderedPageBreak/>
              <w:t>Ceglar</w:t>
            </w:r>
            <w:proofErr w:type="spellEnd"/>
            <w:r w:rsidRPr="000423ED">
              <w:rPr>
                <w:rFonts w:ascii="Arial" w:hAnsi="Arial" w:cs="Arial"/>
                <w:b/>
                <w:sz w:val="18"/>
                <w:lang w:val="en-US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b/>
                <w:sz w:val="18"/>
                <w:lang w:val="en-US"/>
              </w:rPr>
              <w:t>Valganciclovirum</w:t>
            </w:r>
            <w:proofErr w:type="spellEnd"/>
            <w:r w:rsidRPr="000423ED">
              <w:rPr>
                <w:rFonts w:ascii="Arial" w:hAnsi="Arial" w:cs="Arial"/>
                <w:b/>
                <w:sz w:val="18"/>
                <w:lang w:val="en-US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b/>
                <w:sz w:val="18"/>
                <w:lang w:val="en-US"/>
              </w:rPr>
              <w:t>tabl</w:t>
            </w:r>
            <w:proofErr w:type="spellEnd"/>
            <w:r w:rsidRPr="000423ED">
              <w:rPr>
                <w:rFonts w:ascii="Arial" w:hAnsi="Arial" w:cs="Arial"/>
                <w:b/>
                <w:sz w:val="18"/>
                <w:lang w:val="en-US"/>
              </w:rPr>
              <w:t xml:space="preserve">. </w:t>
            </w:r>
            <w:proofErr w:type="spellStart"/>
            <w:r w:rsidRPr="000423ED">
              <w:rPr>
                <w:rFonts w:ascii="Arial" w:hAnsi="Arial" w:cs="Arial"/>
                <w:b/>
                <w:sz w:val="18"/>
                <w:lang w:val="en-US"/>
              </w:rPr>
              <w:t>powl</w:t>
            </w:r>
            <w:proofErr w:type="spellEnd"/>
            <w:r w:rsidRPr="000423ED">
              <w:rPr>
                <w:rFonts w:ascii="Arial" w:hAnsi="Arial" w:cs="Arial"/>
                <w:b/>
                <w:sz w:val="18"/>
                <w:lang w:val="en-US"/>
              </w:rPr>
              <w:t>., 450 mg, 60 szt.*</w:t>
            </w:r>
          </w:p>
        </w:tc>
        <w:tc>
          <w:tcPr>
            <w:tcW w:w="1001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0423ED">
              <w:rPr>
                <w:rFonts w:ascii="Arial" w:hAnsi="Arial" w:cs="Arial"/>
                <w:sz w:val="18"/>
              </w:rPr>
              <w:t>1620,00</w:t>
            </w:r>
          </w:p>
        </w:tc>
        <w:tc>
          <w:tcPr>
            <w:tcW w:w="1267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0423ED">
              <w:rPr>
                <w:rFonts w:ascii="Arial" w:hAnsi="Arial" w:cs="Arial"/>
                <w:sz w:val="18"/>
              </w:rPr>
              <w:t>-507,60</w:t>
            </w:r>
          </w:p>
        </w:tc>
        <w:tc>
          <w:tcPr>
            <w:tcW w:w="1276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0423ED">
              <w:rPr>
                <w:rFonts w:ascii="Arial" w:hAnsi="Arial" w:cs="Arial"/>
                <w:sz w:val="18"/>
              </w:rPr>
              <w:t>3,20</w:t>
            </w:r>
          </w:p>
        </w:tc>
        <w:tc>
          <w:tcPr>
            <w:tcW w:w="1553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0423ED">
              <w:rPr>
                <w:rFonts w:ascii="Arial" w:hAnsi="Arial" w:cs="Arial"/>
                <w:sz w:val="18"/>
              </w:rPr>
              <w:t>-22,68</w:t>
            </w:r>
          </w:p>
        </w:tc>
      </w:tr>
      <w:tr w:rsidR="00F81BD9" w:rsidRPr="000423ED" w:rsidTr="00E70F68">
        <w:trPr>
          <w:trHeight w:val="300"/>
          <w:jc w:val="center"/>
        </w:trPr>
        <w:tc>
          <w:tcPr>
            <w:tcW w:w="3397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0423ED">
              <w:rPr>
                <w:rFonts w:ascii="Arial" w:hAnsi="Arial" w:cs="Arial"/>
                <w:sz w:val="18"/>
                <w:lang w:val="en-US"/>
              </w:rPr>
              <w:t>Valganciclovir</w:t>
            </w:r>
            <w:proofErr w:type="spellEnd"/>
            <w:r w:rsidRPr="000423ED"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spellStart"/>
            <w:r w:rsidRPr="000423ED">
              <w:rPr>
                <w:rFonts w:ascii="Arial" w:hAnsi="Arial" w:cs="Arial"/>
                <w:sz w:val="18"/>
                <w:lang w:val="en-US"/>
              </w:rPr>
              <w:t>Teva</w:t>
            </w:r>
            <w:proofErr w:type="spellEnd"/>
            <w:r w:rsidRPr="000423ED">
              <w:rPr>
                <w:rFonts w:ascii="Arial" w:hAnsi="Arial" w:cs="Arial"/>
                <w:sz w:val="18"/>
                <w:lang w:val="en-US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  <w:lang w:val="en-US"/>
              </w:rPr>
              <w:t>Valganciclovirum</w:t>
            </w:r>
            <w:proofErr w:type="spellEnd"/>
            <w:r w:rsidRPr="000423ED">
              <w:rPr>
                <w:rFonts w:ascii="Arial" w:hAnsi="Arial" w:cs="Arial"/>
                <w:sz w:val="18"/>
                <w:lang w:val="en-US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  <w:lang w:val="en-US"/>
              </w:rPr>
              <w:t>tabl</w:t>
            </w:r>
            <w:proofErr w:type="spellEnd"/>
            <w:r w:rsidRPr="000423ED">
              <w:rPr>
                <w:rFonts w:ascii="Arial" w:hAnsi="Arial" w:cs="Arial"/>
                <w:sz w:val="18"/>
                <w:lang w:val="en-US"/>
              </w:rPr>
              <w:t xml:space="preserve">. </w:t>
            </w:r>
            <w:proofErr w:type="spellStart"/>
            <w:r w:rsidRPr="000423ED">
              <w:rPr>
                <w:rFonts w:ascii="Arial" w:hAnsi="Arial" w:cs="Arial"/>
                <w:sz w:val="18"/>
                <w:lang w:val="en-US"/>
              </w:rPr>
              <w:t>powl</w:t>
            </w:r>
            <w:proofErr w:type="spellEnd"/>
            <w:r w:rsidRPr="000423ED">
              <w:rPr>
                <w:rFonts w:ascii="Arial" w:hAnsi="Arial" w:cs="Arial"/>
                <w:sz w:val="18"/>
                <w:lang w:val="en-US"/>
              </w:rPr>
              <w:t xml:space="preserve">., 450 mg, 60 </w:t>
            </w:r>
            <w:proofErr w:type="spellStart"/>
            <w:r w:rsidRPr="000423ED">
              <w:rPr>
                <w:rFonts w:ascii="Arial" w:hAnsi="Arial" w:cs="Arial"/>
                <w:sz w:val="18"/>
                <w:lang w:val="en-US"/>
              </w:rPr>
              <w:t>szt</w:t>
            </w:r>
            <w:proofErr w:type="spellEnd"/>
            <w:r w:rsidRPr="000423ED">
              <w:rPr>
                <w:rFonts w:ascii="Arial" w:hAnsi="Arial" w:cs="Arial"/>
                <w:sz w:val="18"/>
                <w:lang w:val="en-US"/>
              </w:rPr>
              <w:t>.</w:t>
            </w:r>
          </w:p>
        </w:tc>
        <w:tc>
          <w:tcPr>
            <w:tcW w:w="1001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0423ED">
              <w:rPr>
                <w:rFonts w:ascii="Arial" w:hAnsi="Arial" w:cs="Arial"/>
                <w:sz w:val="18"/>
              </w:rPr>
              <w:t>1759,32</w:t>
            </w:r>
          </w:p>
        </w:tc>
        <w:tc>
          <w:tcPr>
            <w:tcW w:w="1267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0423ED">
              <w:rPr>
                <w:rFonts w:ascii="Arial" w:hAnsi="Arial" w:cs="Arial"/>
                <w:sz w:val="18"/>
              </w:rPr>
              <w:t>-467,64</w:t>
            </w:r>
          </w:p>
        </w:tc>
        <w:tc>
          <w:tcPr>
            <w:tcW w:w="1276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0423ED">
              <w:rPr>
                <w:rFonts w:ascii="Arial" w:hAnsi="Arial" w:cs="Arial"/>
                <w:sz w:val="18"/>
              </w:rPr>
              <w:t>149,49</w:t>
            </w:r>
          </w:p>
        </w:tc>
        <w:tc>
          <w:tcPr>
            <w:tcW w:w="1553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0423ED">
              <w:rPr>
                <w:rFonts w:ascii="Arial" w:hAnsi="Arial" w:cs="Arial"/>
                <w:sz w:val="18"/>
              </w:rPr>
              <w:t>19,28</w:t>
            </w:r>
          </w:p>
        </w:tc>
      </w:tr>
      <w:tr w:rsidR="00F81BD9" w:rsidRPr="000423ED" w:rsidTr="00E70F68">
        <w:trPr>
          <w:trHeight w:val="300"/>
          <w:jc w:val="center"/>
        </w:trPr>
        <w:tc>
          <w:tcPr>
            <w:tcW w:w="3397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lang w:val="en-US"/>
              </w:rPr>
            </w:pPr>
            <w:proofErr w:type="spellStart"/>
            <w:r w:rsidRPr="000423ED">
              <w:rPr>
                <w:rFonts w:ascii="Arial" w:hAnsi="Arial" w:cs="Arial"/>
                <w:sz w:val="18"/>
                <w:lang w:val="en-US"/>
              </w:rPr>
              <w:t>Valhit</w:t>
            </w:r>
            <w:proofErr w:type="spellEnd"/>
            <w:r w:rsidRPr="000423ED">
              <w:rPr>
                <w:rFonts w:ascii="Arial" w:hAnsi="Arial" w:cs="Arial"/>
                <w:sz w:val="18"/>
                <w:lang w:val="en-US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  <w:lang w:val="en-US"/>
              </w:rPr>
              <w:t>Valganciclovirum</w:t>
            </w:r>
            <w:proofErr w:type="spellEnd"/>
            <w:r w:rsidRPr="000423ED">
              <w:rPr>
                <w:rFonts w:ascii="Arial" w:hAnsi="Arial" w:cs="Arial"/>
                <w:sz w:val="18"/>
                <w:lang w:val="en-US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  <w:lang w:val="en-US"/>
              </w:rPr>
              <w:t>tabl</w:t>
            </w:r>
            <w:proofErr w:type="spellEnd"/>
            <w:r w:rsidRPr="000423ED">
              <w:rPr>
                <w:rFonts w:ascii="Arial" w:hAnsi="Arial" w:cs="Arial"/>
                <w:sz w:val="18"/>
                <w:lang w:val="en-US"/>
              </w:rPr>
              <w:t xml:space="preserve">. </w:t>
            </w:r>
            <w:proofErr w:type="spellStart"/>
            <w:r w:rsidRPr="000423ED">
              <w:rPr>
                <w:rFonts w:ascii="Arial" w:hAnsi="Arial" w:cs="Arial"/>
                <w:sz w:val="18"/>
                <w:lang w:val="en-US"/>
              </w:rPr>
              <w:t>powl</w:t>
            </w:r>
            <w:proofErr w:type="spellEnd"/>
            <w:r w:rsidRPr="000423ED">
              <w:rPr>
                <w:rFonts w:ascii="Arial" w:hAnsi="Arial" w:cs="Arial"/>
                <w:sz w:val="18"/>
                <w:lang w:val="en-US"/>
              </w:rPr>
              <w:t xml:space="preserve">., 450 mg, 60 </w:t>
            </w:r>
            <w:proofErr w:type="spellStart"/>
            <w:r w:rsidRPr="000423ED">
              <w:rPr>
                <w:rFonts w:ascii="Arial" w:hAnsi="Arial" w:cs="Arial"/>
                <w:sz w:val="18"/>
                <w:lang w:val="en-US"/>
              </w:rPr>
              <w:t>szt</w:t>
            </w:r>
            <w:proofErr w:type="spellEnd"/>
            <w:r w:rsidRPr="000423ED">
              <w:rPr>
                <w:rFonts w:ascii="Arial" w:hAnsi="Arial" w:cs="Arial"/>
                <w:sz w:val="18"/>
                <w:lang w:val="en-US"/>
              </w:rPr>
              <w:t>.</w:t>
            </w:r>
          </w:p>
        </w:tc>
        <w:tc>
          <w:tcPr>
            <w:tcW w:w="1001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0423ED">
              <w:rPr>
                <w:rFonts w:ascii="Arial" w:hAnsi="Arial" w:cs="Arial"/>
                <w:sz w:val="18"/>
              </w:rPr>
              <w:t>1836,00</w:t>
            </w:r>
          </w:p>
        </w:tc>
        <w:tc>
          <w:tcPr>
            <w:tcW w:w="1267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0423ED">
              <w:rPr>
                <w:rFonts w:ascii="Arial" w:hAnsi="Arial" w:cs="Arial"/>
                <w:sz w:val="18"/>
              </w:rPr>
              <w:t>-270,00</w:t>
            </w:r>
          </w:p>
        </w:tc>
        <w:tc>
          <w:tcPr>
            <w:tcW w:w="1276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0423ED">
              <w:rPr>
                <w:rFonts w:ascii="Arial" w:hAnsi="Arial" w:cs="Arial"/>
                <w:sz w:val="18"/>
              </w:rPr>
              <w:t>230,00</w:t>
            </w:r>
          </w:p>
        </w:tc>
        <w:tc>
          <w:tcPr>
            <w:tcW w:w="1553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0423ED">
              <w:rPr>
                <w:rFonts w:ascii="Arial" w:hAnsi="Arial" w:cs="Arial"/>
                <w:sz w:val="18"/>
              </w:rPr>
              <w:t>226,8</w:t>
            </w:r>
          </w:p>
        </w:tc>
      </w:tr>
      <w:tr w:rsidR="00F81BD9" w:rsidRPr="000423ED" w:rsidTr="00E70F68">
        <w:trPr>
          <w:trHeight w:val="300"/>
          <w:jc w:val="center"/>
        </w:trPr>
        <w:tc>
          <w:tcPr>
            <w:tcW w:w="3397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0423ED">
              <w:rPr>
                <w:rFonts w:ascii="Arial" w:hAnsi="Arial" w:cs="Arial"/>
                <w:sz w:val="18"/>
              </w:rPr>
              <w:t>Valcyclox</w:t>
            </w:r>
            <w:proofErr w:type="spellEnd"/>
            <w:r w:rsidRPr="000423ED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</w:rPr>
              <w:t>Valganciclovirum</w:t>
            </w:r>
            <w:proofErr w:type="spellEnd"/>
            <w:r w:rsidRPr="000423ED">
              <w:rPr>
                <w:rFonts w:ascii="Arial" w:hAnsi="Arial" w:cs="Arial"/>
                <w:sz w:val="18"/>
              </w:rPr>
              <w:t>, tabletki powlekane, 450 mg, 60 tabl.**</w:t>
            </w:r>
          </w:p>
        </w:tc>
        <w:tc>
          <w:tcPr>
            <w:tcW w:w="1001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0423ED">
              <w:rPr>
                <w:rFonts w:ascii="Arial" w:hAnsi="Arial" w:cs="Arial"/>
                <w:sz w:val="18"/>
              </w:rPr>
              <w:t>1944,00</w:t>
            </w:r>
          </w:p>
        </w:tc>
        <w:tc>
          <w:tcPr>
            <w:tcW w:w="1267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0423ED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276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0423ED">
              <w:rPr>
                <w:rFonts w:ascii="Arial" w:hAnsi="Arial" w:cs="Arial"/>
                <w:sz w:val="18"/>
              </w:rPr>
              <w:t>343,40</w:t>
            </w:r>
          </w:p>
        </w:tc>
        <w:tc>
          <w:tcPr>
            <w:tcW w:w="1553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0423ED">
              <w:rPr>
                <w:rFonts w:ascii="Arial" w:hAnsi="Arial" w:cs="Arial"/>
                <w:sz w:val="18"/>
              </w:rPr>
              <w:t>-</w:t>
            </w:r>
          </w:p>
        </w:tc>
      </w:tr>
      <w:tr w:rsidR="00F81BD9" w:rsidRPr="000423ED" w:rsidTr="00E70F68">
        <w:trPr>
          <w:trHeight w:val="300"/>
          <w:jc w:val="center"/>
        </w:trPr>
        <w:tc>
          <w:tcPr>
            <w:tcW w:w="3397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0423ED">
              <w:rPr>
                <w:rFonts w:ascii="Arial" w:hAnsi="Arial" w:cs="Arial"/>
                <w:sz w:val="18"/>
              </w:rPr>
              <w:t>Sperart</w:t>
            </w:r>
            <w:proofErr w:type="spellEnd"/>
            <w:r w:rsidRPr="000423ED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</w:rPr>
              <w:t>Valganciclovirum</w:t>
            </w:r>
            <w:proofErr w:type="spellEnd"/>
            <w:r w:rsidRPr="000423ED">
              <w:rPr>
                <w:rFonts w:ascii="Arial" w:hAnsi="Arial" w:cs="Arial"/>
                <w:sz w:val="18"/>
              </w:rPr>
              <w:t>, tabletki powlekane, 450 mg, 60 tabl.</w:t>
            </w:r>
          </w:p>
        </w:tc>
        <w:tc>
          <w:tcPr>
            <w:tcW w:w="1001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0423ED">
              <w:rPr>
                <w:rFonts w:ascii="Arial" w:hAnsi="Arial" w:cs="Arial"/>
                <w:sz w:val="18"/>
              </w:rPr>
              <w:t>2052,00</w:t>
            </w:r>
          </w:p>
        </w:tc>
        <w:tc>
          <w:tcPr>
            <w:tcW w:w="1267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0423ED">
              <w:rPr>
                <w:rFonts w:ascii="Arial" w:hAnsi="Arial" w:cs="Arial"/>
                <w:sz w:val="18"/>
              </w:rPr>
              <w:t>-378,04</w:t>
            </w:r>
          </w:p>
        </w:tc>
        <w:tc>
          <w:tcPr>
            <w:tcW w:w="1276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0423ED">
              <w:rPr>
                <w:rFonts w:ascii="Arial" w:hAnsi="Arial" w:cs="Arial"/>
                <w:sz w:val="18"/>
              </w:rPr>
              <w:t>456,80</w:t>
            </w:r>
          </w:p>
        </w:tc>
        <w:tc>
          <w:tcPr>
            <w:tcW w:w="1553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0423ED">
              <w:rPr>
                <w:rFonts w:ascii="Arial" w:hAnsi="Arial" w:cs="Arial"/>
                <w:sz w:val="18"/>
              </w:rPr>
              <w:t>113,36</w:t>
            </w:r>
          </w:p>
        </w:tc>
      </w:tr>
      <w:tr w:rsidR="00F81BD9" w:rsidRPr="000423ED" w:rsidTr="00E70F68">
        <w:trPr>
          <w:trHeight w:val="300"/>
          <w:jc w:val="center"/>
        </w:trPr>
        <w:tc>
          <w:tcPr>
            <w:tcW w:w="3397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0423ED">
              <w:rPr>
                <w:rFonts w:ascii="Arial" w:hAnsi="Arial" w:cs="Arial"/>
                <w:sz w:val="18"/>
                <w:lang w:val="en-US"/>
              </w:rPr>
              <w:t>Valcyte</w:t>
            </w:r>
            <w:proofErr w:type="spellEnd"/>
            <w:r w:rsidRPr="000423ED">
              <w:rPr>
                <w:rFonts w:ascii="Arial" w:hAnsi="Arial" w:cs="Arial"/>
                <w:sz w:val="18"/>
                <w:lang w:val="en-US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  <w:lang w:val="en-US"/>
              </w:rPr>
              <w:t>Valganciclovirum</w:t>
            </w:r>
            <w:proofErr w:type="spellEnd"/>
            <w:r w:rsidRPr="000423ED">
              <w:rPr>
                <w:rFonts w:ascii="Arial" w:hAnsi="Arial" w:cs="Arial"/>
                <w:sz w:val="18"/>
                <w:lang w:val="en-US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  <w:lang w:val="en-US"/>
              </w:rPr>
              <w:t>tabl</w:t>
            </w:r>
            <w:proofErr w:type="spellEnd"/>
            <w:r w:rsidRPr="000423ED">
              <w:rPr>
                <w:rFonts w:ascii="Arial" w:hAnsi="Arial" w:cs="Arial"/>
                <w:sz w:val="18"/>
                <w:lang w:val="en-US"/>
              </w:rPr>
              <w:t xml:space="preserve">. </w:t>
            </w:r>
            <w:proofErr w:type="spellStart"/>
            <w:r w:rsidRPr="000423ED">
              <w:rPr>
                <w:rFonts w:ascii="Arial" w:hAnsi="Arial" w:cs="Arial"/>
                <w:sz w:val="18"/>
                <w:lang w:val="en-US"/>
              </w:rPr>
              <w:t>powl</w:t>
            </w:r>
            <w:proofErr w:type="spellEnd"/>
            <w:r w:rsidRPr="000423ED">
              <w:rPr>
                <w:rFonts w:ascii="Arial" w:hAnsi="Arial" w:cs="Arial"/>
                <w:sz w:val="18"/>
                <w:lang w:val="en-US"/>
              </w:rPr>
              <w:t xml:space="preserve">., 450 mg, 60 </w:t>
            </w:r>
            <w:proofErr w:type="spellStart"/>
            <w:r w:rsidRPr="000423ED">
              <w:rPr>
                <w:rFonts w:ascii="Arial" w:hAnsi="Arial" w:cs="Arial"/>
                <w:sz w:val="18"/>
                <w:lang w:val="en-US"/>
              </w:rPr>
              <w:t>szt</w:t>
            </w:r>
            <w:proofErr w:type="spellEnd"/>
            <w:r w:rsidRPr="000423ED">
              <w:rPr>
                <w:rFonts w:ascii="Arial" w:hAnsi="Arial" w:cs="Arial"/>
                <w:sz w:val="18"/>
                <w:lang w:val="en-US"/>
              </w:rPr>
              <w:t xml:space="preserve">. </w:t>
            </w:r>
            <w:r w:rsidRPr="000423ED">
              <w:rPr>
                <w:rFonts w:ascii="Arial" w:hAnsi="Arial" w:cs="Arial"/>
                <w:sz w:val="18"/>
              </w:rPr>
              <w:t xml:space="preserve">(1 </w:t>
            </w:r>
            <w:proofErr w:type="spellStart"/>
            <w:r w:rsidRPr="000423ED">
              <w:rPr>
                <w:rFonts w:ascii="Arial" w:hAnsi="Arial" w:cs="Arial"/>
                <w:sz w:val="18"/>
              </w:rPr>
              <w:t>but.po</w:t>
            </w:r>
            <w:proofErr w:type="spellEnd"/>
            <w:r w:rsidRPr="000423ED">
              <w:rPr>
                <w:rFonts w:ascii="Arial" w:hAnsi="Arial" w:cs="Arial"/>
                <w:sz w:val="18"/>
              </w:rPr>
              <w:t xml:space="preserve"> 60 szt.)</w:t>
            </w:r>
          </w:p>
        </w:tc>
        <w:tc>
          <w:tcPr>
            <w:tcW w:w="1001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0423ED">
              <w:rPr>
                <w:rFonts w:ascii="Arial" w:hAnsi="Arial" w:cs="Arial"/>
                <w:sz w:val="18"/>
              </w:rPr>
              <w:t>3928,50</w:t>
            </w:r>
          </w:p>
        </w:tc>
        <w:tc>
          <w:tcPr>
            <w:tcW w:w="1267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0423ED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0423ED">
              <w:rPr>
                <w:rFonts w:ascii="Arial" w:hAnsi="Arial" w:cs="Arial"/>
                <w:sz w:val="18"/>
              </w:rPr>
              <w:t>2427,13</w:t>
            </w:r>
          </w:p>
        </w:tc>
        <w:tc>
          <w:tcPr>
            <w:tcW w:w="1553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0423ED">
              <w:rPr>
                <w:rFonts w:ascii="Arial" w:hAnsi="Arial" w:cs="Arial"/>
                <w:sz w:val="18"/>
              </w:rPr>
              <w:t>510,30</w:t>
            </w:r>
          </w:p>
        </w:tc>
      </w:tr>
      <w:tr w:rsidR="00F81BD9" w:rsidRPr="000423ED" w:rsidTr="00E70F68">
        <w:trPr>
          <w:trHeight w:val="300"/>
          <w:jc w:val="center"/>
        </w:trPr>
        <w:tc>
          <w:tcPr>
            <w:tcW w:w="3397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0423ED">
              <w:rPr>
                <w:rFonts w:ascii="Arial" w:hAnsi="Arial" w:cs="Arial"/>
                <w:sz w:val="18"/>
              </w:rPr>
              <w:t>Valcyte</w:t>
            </w:r>
            <w:proofErr w:type="spellEnd"/>
            <w:r w:rsidRPr="000423ED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0423ED">
              <w:rPr>
                <w:rFonts w:ascii="Arial" w:hAnsi="Arial" w:cs="Arial"/>
                <w:sz w:val="18"/>
              </w:rPr>
              <w:t>Valganciclovirum</w:t>
            </w:r>
            <w:proofErr w:type="spellEnd"/>
            <w:r w:rsidRPr="000423ED">
              <w:rPr>
                <w:rFonts w:ascii="Arial" w:hAnsi="Arial" w:cs="Arial"/>
                <w:sz w:val="18"/>
              </w:rPr>
              <w:t xml:space="preserve">, proszek do sporządzania roztworu doustnego, 50 mg/ml, 1 </w:t>
            </w:r>
            <w:proofErr w:type="spellStart"/>
            <w:r w:rsidRPr="000423ED">
              <w:rPr>
                <w:rFonts w:ascii="Arial" w:hAnsi="Arial" w:cs="Arial"/>
                <w:sz w:val="18"/>
              </w:rPr>
              <w:t>but.po</w:t>
            </w:r>
            <w:proofErr w:type="spellEnd"/>
            <w:r w:rsidRPr="000423ED">
              <w:rPr>
                <w:rFonts w:ascii="Arial" w:hAnsi="Arial" w:cs="Arial"/>
                <w:sz w:val="18"/>
              </w:rPr>
              <w:t xml:space="preserve"> 12 g</w:t>
            </w:r>
          </w:p>
        </w:tc>
        <w:tc>
          <w:tcPr>
            <w:tcW w:w="1001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0423ED">
              <w:rPr>
                <w:rFonts w:ascii="Arial" w:hAnsi="Arial" w:cs="Arial"/>
                <w:sz w:val="18"/>
              </w:rPr>
              <w:t>955,80</w:t>
            </w:r>
          </w:p>
        </w:tc>
        <w:tc>
          <w:tcPr>
            <w:tcW w:w="1267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0423ED">
              <w:rPr>
                <w:rFonts w:ascii="Arial" w:hAnsi="Arial" w:cs="Arial"/>
                <w:sz w:val="18"/>
              </w:rPr>
              <w:t>-54,44</w:t>
            </w:r>
          </w:p>
        </w:tc>
        <w:tc>
          <w:tcPr>
            <w:tcW w:w="1276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0423ED">
              <w:rPr>
                <w:rFonts w:ascii="Arial" w:hAnsi="Arial" w:cs="Arial"/>
                <w:sz w:val="18"/>
              </w:rPr>
              <w:t>702,95</w:t>
            </w:r>
          </w:p>
        </w:tc>
        <w:tc>
          <w:tcPr>
            <w:tcW w:w="1553" w:type="dxa"/>
            <w:noWrap/>
            <w:vAlign w:val="center"/>
            <w:hideMark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0423ED">
              <w:rPr>
                <w:rFonts w:ascii="Arial" w:hAnsi="Arial" w:cs="Arial"/>
                <w:sz w:val="18"/>
              </w:rPr>
              <w:t>36,16</w:t>
            </w:r>
          </w:p>
        </w:tc>
      </w:tr>
    </w:tbl>
    <w:p w:rsidR="00F81BD9" w:rsidRPr="000423ED" w:rsidRDefault="00F81BD9" w:rsidP="00F81BD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0423ED">
        <w:rPr>
          <w:rFonts w:ascii="Arial" w:hAnsi="Arial" w:cs="Arial"/>
        </w:rPr>
        <w:t>*</w:t>
      </w:r>
      <w:r w:rsidRPr="000423ED">
        <w:rPr>
          <w:rFonts w:ascii="Arial" w:hAnsi="Arial" w:cs="Arial"/>
          <w:sz w:val="18"/>
        </w:rPr>
        <w:t>podstawa limitu</w:t>
      </w:r>
    </w:p>
    <w:p w:rsidR="00F81BD9" w:rsidRDefault="00F81BD9" w:rsidP="00F81BD9">
      <w:pPr>
        <w:spacing w:after="0" w:line="240" w:lineRule="auto"/>
        <w:contextualSpacing/>
        <w:jc w:val="both"/>
        <w:rPr>
          <w:rFonts w:ascii="Arial" w:hAnsi="Arial" w:cs="Arial"/>
          <w:sz w:val="16"/>
        </w:rPr>
      </w:pPr>
      <w:r w:rsidRPr="000423ED">
        <w:rPr>
          <w:rFonts w:ascii="Arial" w:hAnsi="Arial" w:cs="Arial"/>
        </w:rPr>
        <w:t>**</w:t>
      </w:r>
      <w:r w:rsidRPr="000423ED">
        <w:rPr>
          <w:rFonts w:ascii="Arial" w:hAnsi="Arial" w:cs="Arial"/>
          <w:sz w:val="18"/>
          <w:szCs w:val="18"/>
        </w:rPr>
        <w:t>lek objęty</w:t>
      </w:r>
      <w:r w:rsidRPr="000423ED">
        <w:rPr>
          <w:rFonts w:ascii="Arial" w:hAnsi="Arial" w:cs="Arial"/>
          <w:sz w:val="18"/>
        </w:rPr>
        <w:t xml:space="preserve"> refundacją od 01.09.2017 r</w:t>
      </w:r>
      <w:r w:rsidRPr="000423ED">
        <w:rPr>
          <w:rFonts w:ascii="Arial" w:hAnsi="Arial" w:cs="Arial"/>
          <w:sz w:val="16"/>
        </w:rPr>
        <w:t>.</w:t>
      </w:r>
    </w:p>
    <w:p w:rsidR="000423ED" w:rsidRPr="000423ED" w:rsidRDefault="000423ED" w:rsidP="00F81BD9">
      <w:pPr>
        <w:spacing w:after="0" w:line="240" w:lineRule="auto"/>
        <w:contextualSpacing/>
        <w:jc w:val="both"/>
        <w:rPr>
          <w:rFonts w:ascii="Arial" w:hAnsi="Arial" w:cs="Arial"/>
          <w:sz w:val="16"/>
        </w:rPr>
      </w:pPr>
    </w:p>
    <w:p w:rsidR="00F81BD9" w:rsidRPr="000423ED" w:rsidRDefault="00F81BD9" w:rsidP="000423ED">
      <w:pPr>
        <w:spacing w:before="120" w:after="0" w:line="360" w:lineRule="auto"/>
        <w:jc w:val="both"/>
        <w:rPr>
          <w:rFonts w:ascii="Arial" w:hAnsi="Arial" w:cs="Arial"/>
        </w:rPr>
      </w:pPr>
      <w:r w:rsidRPr="000423ED">
        <w:rPr>
          <w:rFonts w:ascii="Arial" w:hAnsi="Arial" w:cs="Arial"/>
        </w:rPr>
        <w:t xml:space="preserve">Jak wynika z powyższej tabeli obniżone zostały urzędowe ceny zbytu w przypadku 5 leków w grupie, zmieniła się podstawa limitu finansowania (lek </w:t>
      </w:r>
      <w:proofErr w:type="spellStart"/>
      <w:r w:rsidRPr="000423ED">
        <w:rPr>
          <w:rFonts w:ascii="Arial" w:hAnsi="Arial" w:cs="Arial"/>
        </w:rPr>
        <w:t>Ceglar</w:t>
      </w:r>
      <w:proofErr w:type="spellEnd"/>
      <w:r w:rsidRPr="000423ED">
        <w:rPr>
          <w:rFonts w:ascii="Arial" w:hAnsi="Arial" w:cs="Arial"/>
        </w:rPr>
        <w:t>), w związku z czym ponownie obniżył się limit finansowania i wzrosły dopłaty do kilku leków w grupie.</w:t>
      </w:r>
    </w:p>
    <w:p w:rsidR="00192359" w:rsidRPr="000423ED" w:rsidRDefault="00F81BD9" w:rsidP="000423ED">
      <w:pPr>
        <w:spacing w:before="120" w:after="0" w:line="360" w:lineRule="auto"/>
        <w:contextualSpacing/>
        <w:jc w:val="both"/>
        <w:rPr>
          <w:rFonts w:ascii="Arial" w:hAnsi="Arial" w:cs="Arial"/>
        </w:rPr>
      </w:pPr>
      <w:r w:rsidRPr="000423ED">
        <w:rPr>
          <w:rFonts w:ascii="Arial" w:hAnsi="Arial" w:cs="Arial"/>
        </w:rPr>
        <w:t>Na przykładzie tej grupy limitowej wyraźnie widać efekt konkurencji cenowej między lekami i wiążącą się z nią postępującą erozję cenową</w:t>
      </w:r>
      <w:r w:rsidR="00192359" w:rsidRPr="000423ED">
        <w:rPr>
          <w:rFonts w:ascii="Arial" w:hAnsi="Arial" w:cs="Arial"/>
        </w:rPr>
        <w:t>.</w:t>
      </w:r>
    </w:p>
    <w:p w:rsidR="00F81BD9" w:rsidRPr="000423ED" w:rsidRDefault="00192359" w:rsidP="000423ED">
      <w:pPr>
        <w:pStyle w:val="Nagwek2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0423ED">
        <w:rPr>
          <w:rFonts w:ascii="Arial" w:hAnsi="Arial" w:cs="Arial"/>
          <w:sz w:val="22"/>
          <w:szCs w:val="22"/>
        </w:rPr>
        <w:t>Ważne!</w:t>
      </w:r>
      <w:r w:rsidR="00F81BD9" w:rsidRPr="000423ED">
        <w:rPr>
          <w:rFonts w:ascii="Arial" w:hAnsi="Arial" w:cs="Arial"/>
          <w:sz w:val="22"/>
          <w:szCs w:val="22"/>
        </w:rPr>
        <w:t xml:space="preserve"> </w:t>
      </w:r>
    </w:p>
    <w:p w:rsidR="00F81BD9" w:rsidRPr="000423ED" w:rsidRDefault="00F81BD9" w:rsidP="000423ED">
      <w:pPr>
        <w:spacing w:before="120" w:after="0" w:line="360" w:lineRule="auto"/>
        <w:jc w:val="both"/>
        <w:rPr>
          <w:rFonts w:ascii="Arial" w:hAnsi="Arial" w:cs="Arial"/>
        </w:rPr>
      </w:pPr>
      <w:r w:rsidRPr="000423ED">
        <w:rPr>
          <w:rFonts w:ascii="Arial" w:hAnsi="Arial" w:cs="Arial"/>
        </w:rPr>
        <w:t>Objęcie refundacją leków generycznych nie oznacza, że tzw. leki referencyjne przestały być finansowane. Są one nadal refundowane, przy czym limit finansowania za DDD danej substancji czynnej jest taki sam - niezależnie od nazwy handlowej leku (z wyjątkiem sytuacji, gdy cena detaliczna danego leku jest niższa niż ustalony limit finansowania – wówczas limit jest zmniejszany do ceny detalicznej).</w:t>
      </w:r>
    </w:p>
    <w:tbl>
      <w:tblPr>
        <w:tblStyle w:val="Tabela-Siatka"/>
        <w:tblW w:w="8537" w:type="dxa"/>
        <w:tblLook w:val="04A0" w:firstRow="1" w:lastRow="0" w:firstColumn="1" w:lastColumn="0" w:noHBand="0" w:noVBand="1"/>
      </w:tblPr>
      <w:tblGrid>
        <w:gridCol w:w="1696"/>
        <w:gridCol w:w="3143"/>
        <w:gridCol w:w="3698"/>
      </w:tblGrid>
      <w:tr w:rsidR="00F81BD9" w:rsidRPr="000423ED" w:rsidTr="00E70F68">
        <w:trPr>
          <w:trHeight w:val="743"/>
        </w:trPr>
        <w:tc>
          <w:tcPr>
            <w:tcW w:w="1696" w:type="dxa"/>
            <w:vAlign w:val="center"/>
          </w:tcPr>
          <w:p w:rsidR="00F81BD9" w:rsidRPr="000423ED" w:rsidRDefault="00F81BD9" w:rsidP="00E70F68">
            <w:pPr>
              <w:tabs>
                <w:tab w:val="left" w:pos="540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3ED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3143" w:type="dxa"/>
            <w:vAlign w:val="center"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3ED">
              <w:rPr>
                <w:rFonts w:ascii="Arial" w:hAnsi="Arial" w:cs="Arial"/>
                <w:b/>
                <w:sz w:val="20"/>
                <w:szCs w:val="20"/>
              </w:rPr>
              <w:t>limit finansowania</w:t>
            </w:r>
          </w:p>
          <w:p w:rsidR="00F81BD9" w:rsidRPr="000423ED" w:rsidRDefault="00F81BD9" w:rsidP="00E70F68">
            <w:pPr>
              <w:tabs>
                <w:tab w:val="left" w:pos="540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3ED">
              <w:rPr>
                <w:rFonts w:ascii="Arial" w:hAnsi="Arial" w:cs="Arial"/>
                <w:b/>
                <w:sz w:val="20"/>
                <w:szCs w:val="20"/>
              </w:rPr>
              <w:t xml:space="preserve">za 1 DDD </w:t>
            </w:r>
            <w:proofErr w:type="spellStart"/>
            <w:r w:rsidRPr="000423ED">
              <w:rPr>
                <w:rFonts w:ascii="Arial" w:hAnsi="Arial" w:cs="Arial"/>
                <w:b/>
                <w:sz w:val="20"/>
                <w:szCs w:val="20"/>
              </w:rPr>
              <w:t>walgancyklowiru</w:t>
            </w:r>
            <w:proofErr w:type="spellEnd"/>
          </w:p>
        </w:tc>
        <w:tc>
          <w:tcPr>
            <w:tcW w:w="3698" w:type="dxa"/>
            <w:vAlign w:val="center"/>
          </w:tcPr>
          <w:p w:rsidR="00F81BD9" w:rsidRPr="000423ED" w:rsidRDefault="00F81BD9" w:rsidP="00E70F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3ED">
              <w:rPr>
                <w:rFonts w:ascii="Arial" w:hAnsi="Arial" w:cs="Arial"/>
                <w:b/>
                <w:sz w:val="20"/>
                <w:szCs w:val="20"/>
              </w:rPr>
              <w:t>limit finansowania</w:t>
            </w:r>
          </w:p>
          <w:p w:rsidR="00F81BD9" w:rsidRPr="000423ED" w:rsidRDefault="00F81BD9" w:rsidP="00E70F68">
            <w:pPr>
              <w:tabs>
                <w:tab w:val="left" w:pos="540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3ED">
              <w:rPr>
                <w:rFonts w:ascii="Arial" w:hAnsi="Arial" w:cs="Arial"/>
                <w:b/>
                <w:sz w:val="20"/>
                <w:szCs w:val="20"/>
              </w:rPr>
              <w:t xml:space="preserve">za 1 DDD </w:t>
            </w:r>
            <w:proofErr w:type="spellStart"/>
            <w:r w:rsidRPr="000423ED">
              <w:rPr>
                <w:rFonts w:ascii="Arial" w:hAnsi="Arial" w:cs="Arial"/>
                <w:b/>
                <w:sz w:val="20"/>
                <w:szCs w:val="20"/>
              </w:rPr>
              <w:t>mykofenolanu</w:t>
            </w:r>
            <w:proofErr w:type="spellEnd"/>
            <w:r w:rsidRPr="000423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423ED">
              <w:rPr>
                <w:rFonts w:ascii="Arial" w:hAnsi="Arial" w:cs="Arial"/>
                <w:b/>
                <w:sz w:val="20"/>
                <w:szCs w:val="20"/>
              </w:rPr>
              <w:t>mofetilu</w:t>
            </w:r>
            <w:proofErr w:type="spellEnd"/>
            <w:r w:rsidRPr="000423ED">
              <w:rPr>
                <w:rFonts w:ascii="Arial" w:hAnsi="Arial" w:cs="Arial"/>
                <w:b/>
                <w:sz w:val="20"/>
                <w:szCs w:val="20"/>
              </w:rPr>
              <w:t xml:space="preserve"> i kwasu </w:t>
            </w:r>
            <w:proofErr w:type="spellStart"/>
            <w:r w:rsidRPr="000423ED">
              <w:rPr>
                <w:rFonts w:ascii="Arial" w:hAnsi="Arial" w:cs="Arial"/>
                <w:b/>
                <w:sz w:val="20"/>
                <w:szCs w:val="20"/>
              </w:rPr>
              <w:t>mykofenolowego</w:t>
            </w:r>
            <w:proofErr w:type="spellEnd"/>
          </w:p>
        </w:tc>
      </w:tr>
      <w:tr w:rsidR="00F81BD9" w:rsidRPr="000423ED" w:rsidTr="00E70F68">
        <w:trPr>
          <w:trHeight w:val="242"/>
        </w:trPr>
        <w:tc>
          <w:tcPr>
            <w:tcW w:w="1696" w:type="dxa"/>
            <w:vAlign w:val="center"/>
          </w:tcPr>
          <w:p w:rsidR="00F81BD9" w:rsidRPr="000423ED" w:rsidRDefault="00F81BD9" w:rsidP="00E70F68">
            <w:pPr>
              <w:tabs>
                <w:tab w:val="left" w:pos="540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3ED">
              <w:rPr>
                <w:rFonts w:ascii="Arial" w:hAnsi="Arial" w:cs="Arial"/>
                <w:sz w:val="20"/>
                <w:szCs w:val="20"/>
              </w:rPr>
              <w:t>03-04.2017 r.</w:t>
            </w:r>
          </w:p>
        </w:tc>
        <w:tc>
          <w:tcPr>
            <w:tcW w:w="3143" w:type="dxa"/>
            <w:vAlign w:val="center"/>
          </w:tcPr>
          <w:p w:rsidR="00F81BD9" w:rsidRPr="000423ED" w:rsidRDefault="00F81BD9" w:rsidP="00E70F68">
            <w:pPr>
              <w:tabs>
                <w:tab w:val="left" w:pos="540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3ED">
              <w:rPr>
                <w:rFonts w:ascii="Arial" w:hAnsi="Arial" w:cs="Arial"/>
                <w:sz w:val="20"/>
                <w:szCs w:val="20"/>
              </w:rPr>
              <w:t>140,17 zł</w:t>
            </w:r>
          </w:p>
        </w:tc>
        <w:tc>
          <w:tcPr>
            <w:tcW w:w="3698" w:type="dxa"/>
            <w:vAlign w:val="center"/>
          </w:tcPr>
          <w:p w:rsidR="00F81BD9" w:rsidRPr="000423ED" w:rsidRDefault="00F81BD9" w:rsidP="00E70F68">
            <w:pPr>
              <w:tabs>
                <w:tab w:val="left" w:pos="540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3ED">
              <w:rPr>
                <w:rFonts w:ascii="Arial" w:hAnsi="Arial" w:cs="Arial"/>
                <w:sz w:val="20"/>
                <w:szCs w:val="20"/>
              </w:rPr>
              <w:t>19,60 zł</w:t>
            </w:r>
          </w:p>
        </w:tc>
      </w:tr>
      <w:tr w:rsidR="00F81BD9" w:rsidRPr="000423ED" w:rsidTr="00E70F68">
        <w:trPr>
          <w:trHeight w:val="225"/>
        </w:trPr>
        <w:tc>
          <w:tcPr>
            <w:tcW w:w="1696" w:type="dxa"/>
            <w:vAlign w:val="center"/>
          </w:tcPr>
          <w:p w:rsidR="00F81BD9" w:rsidRPr="000423ED" w:rsidRDefault="00F81BD9" w:rsidP="00E70F68">
            <w:pPr>
              <w:tabs>
                <w:tab w:val="left" w:pos="540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3ED">
              <w:rPr>
                <w:rFonts w:ascii="Arial" w:hAnsi="Arial" w:cs="Arial"/>
                <w:sz w:val="20"/>
                <w:szCs w:val="20"/>
              </w:rPr>
              <w:t>05-06.2017 r.</w:t>
            </w:r>
          </w:p>
        </w:tc>
        <w:tc>
          <w:tcPr>
            <w:tcW w:w="3143" w:type="dxa"/>
            <w:vAlign w:val="center"/>
          </w:tcPr>
          <w:p w:rsidR="00F81BD9" w:rsidRPr="000423ED" w:rsidRDefault="00F81BD9" w:rsidP="00E70F68">
            <w:pPr>
              <w:tabs>
                <w:tab w:val="left" w:pos="540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3ED">
              <w:rPr>
                <w:rFonts w:ascii="Arial" w:hAnsi="Arial" w:cs="Arial"/>
                <w:sz w:val="20"/>
                <w:szCs w:val="20"/>
              </w:rPr>
              <w:t>95,48 zł</w:t>
            </w:r>
          </w:p>
        </w:tc>
        <w:tc>
          <w:tcPr>
            <w:tcW w:w="3698" w:type="dxa"/>
            <w:vAlign w:val="center"/>
          </w:tcPr>
          <w:p w:rsidR="00F81BD9" w:rsidRPr="000423ED" w:rsidRDefault="00F81BD9" w:rsidP="00E70F68">
            <w:pPr>
              <w:tabs>
                <w:tab w:val="left" w:pos="540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3ED">
              <w:rPr>
                <w:rFonts w:ascii="Arial" w:hAnsi="Arial" w:cs="Arial"/>
                <w:sz w:val="20"/>
                <w:szCs w:val="20"/>
              </w:rPr>
              <w:t>12,43 zł</w:t>
            </w:r>
          </w:p>
        </w:tc>
      </w:tr>
      <w:tr w:rsidR="00F81BD9" w:rsidRPr="000423ED" w:rsidTr="00E70F68">
        <w:trPr>
          <w:trHeight w:val="225"/>
        </w:trPr>
        <w:tc>
          <w:tcPr>
            <w:tcW w:w="1696" w:type="dxa"/>
            <w:vAlign w:val="center"/>
          </w:tcPr>
          <w:p w:rsidR="00F81BD9" w:rsidRPr="000423ED" w:rsidRDefault="00F81BD9" w:rsidP="00E70F68">
            <w:pPr>
              <w:tabs>
                <w:tab w:val="left" w:pos="540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3ED">
              <w:rPr>
                <w:rFonts w:ascii="Arial" w:hAnsi="Arial" w:cs="Arial"/>
                <w:sz w:val="20"/>
                <w:szCs w:val="20"/>
              </w:rPr>
              <w:t>07-08.2017 r.</w:t>
            </w:r>
          </w:p>
        </w:tc>
        <w:tc>
          <w:tcPr>
            <w:tcW w:w="3143" w:type="dxa"/>
            <w:vAlign w:val="center"/>
          </w:tcPr>
          <w:p w:rsidR="00F81BD9" w:rsidRPr="000423ED" w:rsidRDefault="00F81BD9" w:rsidP="00E70F68">
            <w:pPr>
              <w:tabs>
                <w:tab w:val="left" w:pos="540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3ED">
              <w:rPr>
                <w:rFonts w:ascii="Arial" w:hAnsi="Arial" w:cs="Arial"/>
                <w:sz w:val="20"/>
                <w:szCs w:val="20"/>
              </w:rPr>
              <w:t>75,58 zł</w:t>
            </w:r>
          </w:p>
        </w:tc>
        <w:tc>
          <w:tcPr>
            <w:tcW w:w="3698" w:type="dxa"/>
            <w:vAlign w:val="center"/>
          </w:tcPr>
          <w:p w:rsidR="00F81BD9" w:rsidRPr="000423ED" w:rsidRDefault="00F81BD9" w:rsidP="00E70F68">
            <w:pPr>
              <w:tabs>
                <w:tab w:val="left" w:pos="540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3ED">
              <w:rPr>
                <w:rFonts w:ascii="Arial" w:hAnsi="Arial" w:cs="Arial"/>
                <w:sz w:val="20"/>
                <w:szCs w:val="20"/>
              </w:rPr>
              <w:t>12,43 zł</w:t>
            </w:r>
          </w:p>
        </w:tc>
      </w:tr>
      <w:tr w:rsidR="00F81BD9" w:rsidRPr="000423ED" w:rsidTr="00E70F68">
        <w:trPr>
          <w:trHeight w:val="225"/>
        </w:trPr>
        <w:tc>
          <w:tcPr>
            <w:tcW w:w="1696" w:type="dxa"/>
            <w:vAlign w:val="center"/>
          </w:tcPr>
          <w:p w:rsidR="00F81BD9" w:rsidRPr="000423ED" w:rsidRDefault="00F81BD9" w:rsidP="00E70F68">
            <w:pPr>
              <w:tabs>
                <w:tab w:val="left" w:pos="540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3ED">
              <w:rPr>
                <w:rFonts w:ascii="Arial" w:hAnsi="Arial" w:cs="Arial"/>
                <w:sz w:val="20"/>
                <w:szCs w:val="20"/>
              </w:rPr>
              <w:t>09-10.2017 r.</w:t>
            </w:r>
          </w:p>
        </w:tc>
        <w:tc>
          <w:tcPr>
            <w:tcW w:w="3143" w:type="dxa"/>
            <w:vAlign w:val="center"/>
          </w:tcPr>
          <w:p w:rsidR="00F81BD9" w:rsidRPr="000423ED" w:rsidRDefault="00F81BD9" w:rsidP="00E70F68">
            <w:pPr>
              <w:tabs>
                <w:tab w:val="left" w:pos="540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3ED">
              <w:rPr>
                <w:rFonts w:ascii="Arial" w:hAnsi="Arial" w:cs="Arial"/>
                <w:sz w:val="20"/>
                <w:szCs w:val="20"/>
              </w:rPr>
              <w:t>58,36 zł</w:t>
            </w:r>
          </w:p>
        </w:tc>
        <w:tc>
          <w:tcPr>
            <w:tcW w:w="3698" w:type="dxa"/>
            <w:vAlign w:val="center"/>
          </w:tcPr>
          <w:p w:rsidR="00F81BD9" w:rsidRPr="000423ED" w:rsidRDefault="00F81BD9" w:rsidP="00E70F68">
            <w:pPr>
              <w:tabs>
                <w:tab w:val="left" w:pos="540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3ED">
              <w:rPr>
                <w:rFonts w:ascii="Arial" w:hAnsi="Arial" w:cs="Arial"/>
                <w:sz w:val="20"/>
                <w:szCs w:val="20"/>
              </w:rPr>
              <w:t>10,21 zł</w:t>
            </w:r>
          </w:p>
        </w:tc>
      </w:tr>
    </w:tbl>
    <w:p w:rsidR="00F81BD9" w:rsidRPr="000423ED" w:rsidRDefault="00F81BD9" w:rsidP="000423ED">
      <w:pPr>
        <w:spacing w:before="120" w:after="0" w:line="360" w:lineRule="auto"/>
        <w:jc w:val="both"/>
        <w:rPr>
          <w:rFonts w:ascii="Arial" w:hAnsi="Arial" w:cs="Arial"/>
        </w:rPr>
      </w:pPr>
      <w:r w:rsidRPr="000423ED">
        <w:rPr>
          <w:rFonts w:ascii="Arial" w:hAnsi="Arial" w:cs="Arial"/>
        </w:rPr>
        <w:t xml:space="preserve">Dla pacjentów zawsze był dostępny za najniższą dopłatą (3,20 zł) lek zawierający </w:t>
      </w:r>
      <w:proofErr w:type="spellStart"/>
      <w:r w:rsidRPr="000423ED">
        <w:rPr>
          <w:rFonts w:ascii="Arial" w:hAnsi="Arial" w:cs="Arial"/>
        </w:rPr>
        <w:t>walgancyklowir</w:t>
      </w:r>
      <w:proofErr w:type="spellEnd"/>
      <w:r w:rsidRPr="000423ED">
        <w:rPr>
          <w:rFonts w:ascii="Arial" w:hAnsi="Arial" w:cs="Arial"/>
        </w:rPr>
        <w:t xml:space="preserve"> w postaci tabletek – przy czym od 2016 r. niższe dopłaty pacjenta dotyczyły przeważnie leków generycznych (odpowiedników). </w:t>
      </w:r>
    </w:p>
    <w:p w:rsidR="00F81BD9" w:rsidRPr="000423ED" w:rsidRDefault="00192359" w:rsidP="000423ED">
      <w:pPr>
        <w:spacing w:before="120" w:after="0" w:line="360" w:lineRule="auto"/>
        <w:jc w:val="both"/>
        <w:rPr>
          <w:rFonts w:ascii="Arial" w:hAnsi="Arial" w:cs="Arial"/>
        </w:rPr>
      </w:pPr>
      <w:r w:rsidRPr="000423ED">
        <w:rPr>
          <w:rFonts w:ascii="Arial" w:hAnsi="Arial" w:cs="Arial"/>
        </w:rPr>
        <w:t>E</w:t>
      </w:r>
      <w:r w:rsidR="00F81BD9" w:rsidRPr="000423ED">
        <w:rPr>
          <w:rFonts w:ascii="Arial" w:hAnsi="Arial" w:cs="Arial"/>
        </w:rPr>
        <w:t xml:space="preserve">wentualne kolejne wnioski o obniżenie urzędowych cen zbytu leków z </w:t>
      </w:r>
      <w:r w:rsidRPr="000423ED">
        <w:rPr>
          <w:rFonts w:ascii="Arial" w:hAnsi="Arial" w:cs="Arial"/>
        </w:rPr>
        <w:t>wymienionych</w:t>
      </w:r>
      <w:r w:rsidR="00F81BD9" w:rsidRPr="000423ED">
        <w:rPr>
          <w:rFonts w:ascii="Arial" w:hAnsi="Arial" w:cs="Arial"/>
        </w:rPr>
        <w:t xml:space="preserve"> grup zostaną rozpatrzone, a kolejny wykaz refundowanych leków, środków spożywczych specjalnego przeznaczenia żywieniowego i wyrobów medycznych, odzwierciedlający efekt negocjacji w tym zakresie, będzie obowiązywał od 1 listopada 2017 r.</w:t>
      </w:r>
    </w:p>
    <w:p w:rsidR="00192359" w:rsidRPr="000423ED" w:rsidRDefault="00192359" w:rsidP="000423ED">
      <w:pPr>
        <w:pStyle w:val="Nagwek2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0423ED">
        <w:rPr>
          <w:rFonts w:ascii="Arial" w:hAnsi="Arial" w:cs="Arial"/>
          <w:sz w:val="22"/>
          <w:szCs w:val="22"/>
        </w:rPr>
        <w:lastRenderedPageBreak/>
        <w:t>Valcyte</w:t>
      </w:r>
      <w:proofErr w:type="spellEnd"/>
    </w:p>
    <w:p w:rsidR="00F81BD9" w:rsidRPr="000423ED" w:rsidRDefault="00F81BD9" w:rsidP="000423ED">
      <w:pPr>
        <w:spacing w:before="120" w:after="0" w:line="360" w:lineRule="auto"/>
        <w:jc w:val="both"/>
        <w:rPr>
          <w:rFonts w:ascii="Arial" w:hAnsi="Arial" w:cs="Arial"/>
        </w:rPr>
      </w:pPr>
      <w:r w:rsidRPr="000423ED">
        <w:rPr>
          <w:rFonts w:ascii="Arial" w:hAnsi="Arial" w:cs="Arial"/>
        </w:rPr>
        <w:t>Firma Roche (</w:t>
      </w:r>
      <w:hyperlink r:id="rId8" w:history="1">
        <w:r w:rsidRPr="000423ED">
          <w:rPr>
            <w:rStyle w:val="Hipercze"/>
            <w:rFonts w:ascii="Arial" w:hAnsi="Arial" w:cs="Arial"/>
          </w:rPr>
          <w:t>zgodnie z pismem z 22 czerwca 2017 r. opublikowanym na stronie internetowej</w:t>
        </w:r>
      </w:hyperlink>
      <w:r w:rsidRPr="000423ED">
        <w:rPr>
          <w:rFonts w:ascii="Arial" w:hAnsi="Arial" w:cs="Arial"/>
        </w:rPr>
        <w:t xml:space="preserve">) po ustaleniach z resortem zdrowia zgodziła się </w:t>
      </w:r>
      <w:r w:rsidR="00192359" w:rsidRPr="000423ED">
        <w:rPr>
          <w:rFonts w:ascii="Arial" w:hAnsi="Arial" w:cs="Arial"/>
        </w:rPr>
        <w:t xml:space="preserve">przez 6 miesięcy </w:t>
      </w:r>
      <w:r w:rsidRPr="000423ED">
        <w:rPr>
          <w:rFonts w:ascii="Arial" w:hAnsi="Arial" w:cs="Arial"/>
        </w:rPr>
        <w:t>bezpłatn</w:t>
      </w:r>
      <w:r w:rsidR="00192359" w:rsidRPr="000423ED">
        <w:rPr>
          <w:rFonts w:ascii="Arial" w:hAnsi="Arial" w:cs="Arial"/>
        </w:rPr>
        <w:t>i</w:t>
      </w:r>
      <w:r w:rsidRPr="000423ED">
        <w:rPr>
          <w:rFonts w:ascii="Arial" w:hAnsi="Arial" w:cs="Arial"/>
        </w:rPr>
        <w:t>e dostarcza</w:t>
      </w:r>
      <w:r w:rsidR="00192359" w:rsidRPr="000423ED">
        <w:rPr>
          <w:rFonts w:ascii="Arial" w:hAnsi="Arial" w:cs="Arial"/>
        </w:rPr>
        <w:t>ć</w:t>
      </w:r>
      <w:r w:rsidRPr="000423ED">
        <w:rPr>
          <w:rFonts w:ascii="Arial" w:hAnsi="Arial" w:cs="Arial"/>
        </w:rPr>
        <w:t xml:space="preserve"> </w:t>
      </w:r>
      <w:r w:rsidR="00192359" w:rsidRPr="000423ED">
        <w:rPr>
          <w:rFonts w:ascii="Arial" w:hAnsi="Arial" w:cs="Arial"/>
        </w:rPr>
        <w:t xml:space="preserve">do szpitali </w:t>
      </w:r>
      <w:r w:rsidRPr="000423ED">
        <w:rPr>
          <w:rFonts w:ascii="Arial" w:hAnsi="Arial" w:cs="Arial"/>
        </w:rPr>
        <w:t xml:space="preserve">lek </w:t>
      </w:r>
      <w:proofErr w:type="spellStart"/>
      <w:r w:rsidRPr="000423ED">
        <w:rPr>
          <w:rFonts w:ascii="Arial" w:hAnsi="Arial" w:cs="Arial"/>
        </w:rPr>
        <w:t>Valcyte</w:t>
      </w:r>
      <w:proofErr w:type="spellEnd"/>
      <w:r w:rsidRPr="000423ED">
        <w:rPr>
          <w:rFonts w:ascii="Arial" w:hAnsi="Arial" w:cs="Arial"/>
        </w:rPr>
        <w:t xml:space="preserve"> w postaci proszku do sporządzania roztworu doustnego. Wszystkie szpitale zostały poinformowane przez firmę o możliwości darmowego otrzymania leku.</w:t>
      </w:r>
    </w:p>
    <w:p w:rsidR="00192359" w:rsidRPr="000423ED" w:rsidRDefault="00192359" w:rsidP="000423ED">
      <w:pPr>
        <w:pStyle w:val="Nagwek1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0423ED">
        <w:rPr>
          <w:rFonts w:ascii="Arial" w:hAnsi="Arial" w:cs="Arial"/>
          <w:sz w:val="22"/>
          <w:szCs w:val="22"/>
        </w:rPr>
        <w:t>Leki generyczne są bezpieczne!</w:t>
      </w:r>
    </w:p>
    <w:p w:rsidR="00F81BD9" w:rsidRPr="000423ED" w:rsidRDefault="00192359" w:rsidP="000423ED">
      <w:pPr>
        <w:spacing w:before="120" w:after="0" w:line="360" w:lineRule="auto"/>
        <w:jc w:val="both"/>
        <w:rPr>
          <w:rFonts w:ascii="Arial" w:hAnsi="Arial" w:cs="Arial"/>
        </w:rPr>
      </w:pPr>
      <w:r w:rsidRPr="000423ED">
        <w:rPr>
          <w:rFonts w:ascii="Arial" w:hAnsi="Arial" w:cs="Arial"/>
        </w:rPr>
        <w:t>P</w:t>
      </w:r>
      <w:r w:rsidR="00F81BD9" w:rsidRPr="000423ED">
        <w:rPr>
          <w:rFonts w:ascii="Arial" w:hAnsi="Arial" w:cs="Arial"/>
        </w:rPr>
        <w:t xml:space="preserve">odstawą dopuszczenia do obrotu leków generycznych były badania </w:t>
      </w:r>
      <w:proofErr w:type="spellStart"/>
      <w:r w:rsidR="00F81BD9" w:rsidRPr="000423ED">
        <w:rPr>
          <w:rFonts w:ascii="Arial" w:hAnsi="Arial" w:cs="Arial"/>
        </w:rPr>
        <w:t>biorównoważności</w:t>
      </w:r>
      <w:proofErr w:type="spellEnd"/>
      <w:r w:rsidR="00F81BD9" w:rsidRPr="000423ED">
        <w:rPr>
          <w:rFonts w:ascii="Arial" w:hAnsi="Arial" w:cs="Arial"/>
        </w:rPr>
        <w:t xml:space="preserve">. Ich wyniki dowiodły ponad wszelką wątpliwość, że leki generyczne dostarczają do organizmu tę samą substancję czynną w takiej samej ilości i czasie, jak leki referencyjne. Stanowisko to jest zgodne z wiedzą naukową oraz regulacjami prawnymi obowiązującymi zarówno w Polsce, jak i innych krajach Unii Europejskiej, wynikającymi z  Dyrektywy 2001/83/WE Parlamentu Europejskiego i Rady z dnia 6 listopada 2001 r. w  sprawie wspólnotowego kodeksu odnoszącego się do produktów leczniczych stosowanych u ludzi (Dz. U. L 311 z 28.11.2001). </w:t>
      </w:r>
    </w:p>
    <w:p w:rsidR="00F81BD9" w:rsidRPr="000423ED" w:rsidRDefault="00F81BD9" w:rsidP="000423ED">
      <w:pPr>
        <w:spacing w:before="120" w:after="0" w:line="360" w:lineRule="auto"/>
        <w:jc w:val="both"/>
        <w:rPr>
          <w:rFonts w:ascii="Arial" w:hAnsi="Arial" w:cs="Arial"/>
        </w:rPr>
      </w:pPr>
      <w:r w:rsidRPr="000423ED">
        <w:rPr>
          <w:rFonts w:ascii="Arial" w:hAnsi="Arial" w:cs="Arial"/>
        </w:rPr>
        <w:t>Szerzenie nieuzasadnionych zastrzeżeń wobec skuteczności czy bezpieczeństwa jakichkolwiek leków może skutkować rosnącym brakiem zaufania pacjentów i lekarzy, a tym samym obniżyć zapotrzebowanie na stosowanie leków, które w przypadku leków generycznych może zmniejszyć koszty terapii w systemie opieki zdrowotnej.</w:t>
      </w:r>
    </w:p>
    <w:p w:rsidR="00F81BD9" w:rsidRPr="000423ED" w:rsidRDefault="00F81BD9" w:rsidP="000423ED">
      <w:pPr>
        <w:spacing w:before="120" w:after="0" w:line="360" w:lineRule="auto"/>
        <w:jc w:val="both"/>
        <w:rPr>
          <w:rFonts w:ascii="Arial" w:hAnsi="Arial" w:cs="Arial"/>
        </w:rPr>
      </w:pPr>
      <w:r w:rsidRPr="000423ED">
        <w:rPr>
          <w:rFonts w:ascii="Arial" w:hAnsi="Arial" w:cs="Arial"/>
        </w:rPr>
        <w:t>Systematyczne zwiększanie dostępu do nowoczesnych i bezpiecznych technologii lekowych, pozwalających na leczenie zgodnie z najlepszymi standardami medycznymi, jest priorytetem Ministra Zdrowia, natomiast sztywne stanowisko niektórych producentów leków w zakresie utrzymywania cen na bardzo wysokim poziomie nie może ograniczać czy wręcz uniemożliwiać działań Ministra Zdrowia w zakresie refundacji nowych, tańszych, równie skutecznych i bezpiecznych produktów, co pozwala zachować stabilność budżetu płatnika publicznego oraz rozszerzać katalog leków refundowanych o nowe technologie, które dotychczas nie były finansowane ze środków publicznych.</w:t>
      </w:r>
    </w:p>
    <w:p w:rsidR="00F81BD9" w:rsidRPr="000423ED" w:rsidRDefault="00F81BD9" w:rsidP="000423ED">
      <w:pPr>
        <w:pStyle w:val="pismamz"/>
        <w:spacing w:before="120"/>
        <w:contextualSpacing w:val="0"/>
        <w:rPr>
          <w:rFonts w:cs="Arial"/>
        </w:rPr>
      </w:pPr>
    </w:p>
    <w:sectPr w:rsidR="00F81BD9" w:rsidRPr="000423ED" w:rsidSect="00D2623E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723" w:rsidRDefault="001A7723" w:rsidP="00517930">
      <w:pPr>
        <w:spacing w:after="0" w:line="240" w:lineRule="auto"/>
      </w:pPr>
      <w:r>
        <w:separator/>
      </w:r>
    </w:p>
  </w:endnote>
  <w:endnote w:type="continuationSeparator" w:id="0">
    <w:p w:rsidR="001A7723" w:rsidRDefault="001A7723" w:rsidP="0051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C18" w:rsidRDefault="001C1C1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20FD2">
      <w:rPr>
        <w:noProof/>
      </w:rPr>
      <w:t>4</w:t>
    </w:r>
    <w:r>
      <w:fldChar w:fldCharType="end"/>
    </w:r>
  </w:p>
  <w:p w:rsidR="0043063F" w:rsidRDefault="004306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C18" w:rsidRDefault="001C1C1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20FD2">
      <w:rPr>
        <w:noProof/>
      </w:rPr>
      <w:t>5</w:t>
    </w:r>
    <w:r>
      <w:fldChar w:fldCharType="end"/>
    </w:r>
  </w:p>
  <w:p w:rsidR="001C1C18" w:rsidRDefault="001C1C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9441B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-177800</wp:posOffset>
          </wp:positionH>
          <wp:positionV relativeFrom="paragraph">
            <wp:posOffset>-553720</wp:posOffset>
          </wp:positionV>
          <wp:extent cx="5760085" cy="675640"/>
          <wp:effectExtent l="0" t="0" r="0" b="0"/>
          <wp:wrapNone/>
          <wp:docPr id="1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723" w:rsidRDefault="001A7723" w:rsidP="00517930">
      <w:pPr>
        <w:spacing w:after="0" w:line="240" w:lineRule="auto"/>
      </w:pPr>
      <w:r>
        <w:separator/>
      </w:r>
    </w:p>
  </w:footnote>
  <w:footnote w:type="continuationSeparator" w:id="0">
    <w:p w:rsidR="001A7723" w:rsidRDefault="001A7723" w:rsidP="0051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9441BA" w:rsidP="00EA17E7">
    <w:pPr>
      <w:pStyle w:val="Nagwek"/>
      <w:tabs>
        <w:tab w:val="clear" w:pos="4536"/>
        <w:tab w:val="clear" w:pos="9072"/>
        <w:tab w:val="left" w:pos="5168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-77470</wp:posOffset>
          </wp:positionH>
          <wp:positionV relativeFrom="paragraph">
            <wp:posOffset>27940</wp:posOffset>
          </wp:positionV>
          <wp:extent cx="1835785" cy="1101725"/>
          <wp:effectExtent l="0" t="0" r="0" b="3175"/>
          <wp:wrapNone/>
          <wp:docPr id="2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110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B574D"/>
    <w:multiLevelType w:val="hybridMultilevel"/>
    <w:tmpl w:val="C658D7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2B09D1"/>
    <w:multiLevelType w:val="hybridMultilevel"/>
    <w:tmpl w:val="92F2BFD6"/>
    <w:lvl w:ilvl="0" w:tplc="31DE5BA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D5313"/>
    <w:multiLevelType w:val="hybridMultilevel"/>
    <w:tmpl w:val="AC50F2A6"/>
    <w:lvl w:ilvl="0" w:tplc="9FEE06F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E3531"/>
    <w:multiLevelType w:val="hybridMultilevel"/>
    <w:tmpl w:val="8772B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formatting="1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BA"/>
    <w:rsid w:val="0001566D"/>
    <w:rsid w:val="00017278"/>
    <w:rsid w:val="000238A5"/>
    <w:rsid w:val="00026BEC"/>
    <w:rsid w:val="000423ED"/>
    <w:rsid w:val="000917AF"/>
    <w:rsid w:val="000947AF"/>
    <w:rsid w:val="000C7D12"/>
    <w:rsid w:val="000D6BE7"/>
    <w:rsid w:val="000E1822"/>
    <w:rsid w:val="00105F6D"/>
    <w:rsid w:val="00107C62"/>
    <w:rsid w:val="00113083"/>
    <w:rsid w:val="00130962"/>
    <w:rsid w:val="001408A8"/>
    <w:rsid w:val="00144B04"/>
    <w:rsid w:val="00166C1D"/>
    <w:rsid w:val="00167B32"/>
    <w:rsid w:val="00192359"/>
    <w:rsid w:val="001A5745"/>
    <w:rsid w:val="001A7723"/>
    <w:rsid w:val="001B7B6A"/>
    <w:rsid w:val="001C1C18"/>
    <w:rsid w:val="001D5107"/>
    <w:rsid w:val="001F77E0"/>
    <w:rsid w:val="00202AA5"/>
    <w:rsid w:val="00233D8B"/>
    <w:rsid w:val="0024417E"/>
    <w:rsid w:val="002846B2"/>
    <w:rsid w:val="002A2C9E"/>
    <w:rsid w:val="002A478A"/>
    <w:rsid w:val="002A4EBA"/>
    <w:rsid w:val="002B7189"/>
    <w:rsid w:val="002C05F4"/>
    <w:rsid w:val="002D2AE2"/>
    <w:rsid w:val="00305073"/>
    <w:rsid w:val="0035369C"/>
    <w:rsid w:val="0036673C"/>
    <w:rsid w:val="0038572C"/>
    <w:rsid w:val="003859D9"/>
    <w:rsid w:val="0039056C"/>
    <w:rsid w:val="003975E4"/>
    <w:rsid w:val="003B0BD4"/>
    <w:rsid w:val="003E2666"/>
    <w:rsid w:val="003F3D74"/>
    <w:rsid w:val="003F4345"/>
    <w:rsid w:val="00422705"/>
    <w:rsid w:val="0043063F"/>
    <w:rsid w:val="004338D3"/>
    <w:rsid w:val="00462BD1"/>
    <w:rsid w:val="004C2784"/>
    <w:rsid w:val="004D4190"/>
    <w:rsid w:val="00514B28"/>
    <w:rsid w:val="00517930"/>
    <w:rsid w:val="00526526"/>
    <w:rsid w:val="0053267E"/>
    <w:rsid w:val="00541735"/>
    <w:rsid w:val="00541F66"/>
    <w:rsid w:val="00574EAB"/>
    <w:rsid w:val="00622FE8"/>
    <w:rsid w:val="0063509A"/>
    <w:rsid w:val="006651E0"/>
    <w:rsid w:val="006F5AFC"/>
    <w:rsid w:val="00725C24"/>
    <w:rsid w:val="0072783E"/>
    <w:rsid w:val="00732E86"/>
    <w:rsid w:val="00732E9A"/>
    <w:rsid w:val="00745467"/>
    <w:rsid w:val="00746CC0"/>
    <w:rsid w:val="0075040F"/>
    <w:rsid w:val="007C5EEB"/>
    <w:rsid w:val="007D59CC"/>
    <w:rsid w:val="007E07FA"/>
    <w:rsid w:val="007E1855"/>
    <w:rsid w:val="007F737F"/>
    <w:rsid w:val="00827BE3"/>
    <w:rsid w:val="00842323"/>
    <w:rsid w:val="008437A4"/>
    <w:rsid w:val="00845DBB"/>
    <w:rsid w:val="00845E20"/>
    <w:rsid w:val="00851A27"/>
    <w:rsid w:val="008568B1"/>
    <w:rsid w:val="008B3909"/>
    <w:rsid w:val="008B5C1C"/>
    <w:rsid w:val="008C0C70"/>
    <w:rsid w:val="008D530B"/>
    <w:rsid w:val="009075DC"/>
    <w:rsid w:val="009441BA"/>
    <w:rsid w:val="00947C03"/>
    <w:rsid w:val="00975909"/>
    <w:rsid w:val="009825CA"/>
    <w:rsid w:val="00992CE5"/>
    <w:rsid w:val="009976E2"/>
    <w:rsid w:val="009A1B0A"/>
    <w:rsid w:val="009C297B"/>
    <w:rsid w:val="009D4C28"/>
    <w:rsid w:val="009D5662"/>
    <w:rsid w:val="009F00C7"/>
    <w:rsid w:val="009F06E2"/>
    <w:rsid w:val="009F318F"/>
    <w:rsid w:val="00A02802"/>
    <w:rsid w:val="00A32ED4"/>
    <w:rsid w:val="00A465F0"/>
    <w:rsid w:val="00A47E41"/>
    <w:rsid w:val="00A647AE"/>
    <w:rsid w:val="00A90D08"/>
    <w:rsid w:val="00AA2DFA"/>
    <w:rsid w:val="00AF3FBE"/>
    <w:rsid w:val="00B05BB1"/>
    <w:rsid w:val="00B07E0A"/>
    <w:rsid w:val="00BE6F47"/>
    <w:rsid w:val="00BF1A4D"/>
    <w:rsid w:val="00C1124A"/>
    <w:rsid w:val="00C1778C"/>
    <w:rsid w:val="00C5178D"/>
    <w:rsid w:val="00C75B72"/>
    <w:rsid w:val="00CA6131"/>
    <w:rsid w:val="00CB390A"/>
    <w:rsid w:val="00CC52E3"/>
    <w:rsid w:val="00CD3551"/>
    <w:rsid w:val="00CF275B"/>
    <w:rsid w:val="00CF5148"/>
    <w:rsid w:val="00CF6A59"/>
    <w:rsid w:val="00D06968"/>
    <w:rsid w:val="00D155C2"/>
    <w:rsid w:val="00D2623E"/>
    <w:rsid w:val="00D30472"/>
    <w:rsid w:val="00D35496"/>
    <w:rsid w:val="00D45DD6"/>
    <w:rsid w:val="00D4736C"/>
    <w:rsid w:val="00D50A01"/>
    <w:rsid w:val="00D6189F"/>
    <w:rsid w:val="00D73391"/>
    <w:rsid w:val="00DB3422"/>
    <w:rsid w:val="00DC3640"/>
    <w:rsid w:val="00DD2496"/>
    <w:rsid w:val="00DE0145"/>
    <w:rsid w:val="00DF768D"/>
    <w:rsid w:val="00E1397C"/>
    <w:rsid w:val="00E168D7"/>
    <w:rsid w:val="00E20FD2"/>
    <w:rsid w:val="00E229F8"/>
    <w:rsid w:val="00E37D87"/>
    <w:rsid w:val="00E41FF0"/>
    <w:rsid w:val="00E43F8A"/>
    <w:rsid w:val="00E441AC"/>
    <w:rsid w:val="00E63C81"/>
    <w:rsid w:val="00E65DB4"/>
    <w:rsid w:val="00E738BE"/>
    <w:rsid w:val="00EA17E7"/>
    <w:rsid w:val="00EC0F83"/>
    <w:rsid w:val="00ED56D1"/>
    <w:rsid w:val="00EE4B24"/>
    <w:rsid w:val="00EF0388"/>
    <w:rsid w:val="00F461CA"/>
    <w:rsid w:val="00F70F98"/>
    <w:rsid w:val="00F81BD9"/>
    <w:rsid w:val="00F96079"/>
    <w:rsid w:val="00FA1F0B"/>
    <w:rsid w:val="00FA4F5A"/>
    <w:rsid w:val="00FB3761"/>
    <w:rsid w:val="00FB4C15"/>
    <w:rsid w:val="00FD5716"/>
    <w:rsid w:val="00FE198D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83620A-ACFF-4D42-8F2D-FD7C1D47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1B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23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923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character" w:styleId="Hipercze">
    <w:name w:val="Hyperlink"/>
    <w:basedOn w:val="Domylnaczcionkaakapitu"/>
    <w:uiPriority w:val="99"/>
    <w:semiHidden/>
    <w:unhideWhenUsed/>
    <w:rsid w:val="00A0280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02802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FA1F0B"/>
    <w:rPr>
      <w:b/>
      <w:bCs/>
    </w:rPr>
  </w:style>
  <w:style w:type="character" w:customStyle="1" w:styleId="Teksttreci3">
    <w:name w:val="Tekst treści (3)_"/>
    <w:link w:val="Teksttreci30"/>
    <w:uiPriority w:val="99"/>
    <w:locked/>
    <w:rsid w:val="00FA1F0B"/>
    <w:rPr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FA1F0B"/>
    <w:pPr>
      <w:widowControl w:val="0"/>
      <w:shd w:val="clear" w:color="auto" w:fill="FFFFFF"/>
      <w:spacing w:after="0" w:line="410" w:lineRule="exact"/>
      <w:jc w:val="both"/>
    </w:pPr>
    <w:rPr>
      <w:b/>
      <w:bCs/>
      <w:sz w:val="21"/>
      <w:szCs w:val="21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81B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table" w:styleId="Tabela-Siatka">
    <w:name w:val="Table Grid"/>
    <w:basedOn w:val="Standardowy"/>
    <w:uiPriority w:val="59"/>
    <w:rsid w:val="00F8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923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1923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923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4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.gov.pl/aktualnosci/zmiany-na-liscie-lekow-refundowanych-leki-immunosupresyjn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01E3~1.SMO\AppData\Local\Temp\BPiP_zew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84791-9D57-405A-A052-A5B50B1F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BPiP_zew-1</Template>
  <TotalTime>130</TotalTime>
  <Pages>1</Pages>
  <Words>2347</Words>
  <Characters>14087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Zmiany</dc:creator>
  <cp:keywords/>
  <cp:lastModifiedBy>Smorczewska Joanna</cp:lastModifiedBy>
  <cp:revision>70</cp:revision>
  <cp:lastPrinted>2017-09-08T08:20:00Z</cp:lastPrinted>
  <dcterms:created xsi:type="dcterms:W3CDTF">2014-08-20T06:56:00Z</dcterms:created>
  <dcterms:modified xsi:type="dcterms:W3CDTF">2017-09-08T10:57:00Z</dcterms:modified>
</cp:coreProperties>
</file>