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EF65A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559"/>
        <w:gridCol w:w="4536"/>
        <w:gridCol w:w="3544"/>
        <w:gridCol w:w="3769"/>
      </w:tblGrid>
      <w:tr w:rsidR="00A06425" w:rsidRPr="00A06425" w14:paraId="668FBC7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E1C810E" w14:textId="77777777" w:rsidR="001B43AA" w:rsidRPr="00425A3B" w:rsidRDefault="00A06425" w:rsidP="00257EDE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41F02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Podniesienie poziomu bezpieczeństwa sieci teleinformatycznej używanej w ramach Państwowej Inspekcji Sanitarnej poprzez rozbudowę rządowej sieci teletransmisyjnej </w:t>
            </w:r>
            <w:proofErr w:type="spellStart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>GovNet</w:t>
            </w:r>
            <w:proofErr w:type="spellEnd"/>
            <w:r w:rsidR="00257EDE" w:rsidRPr="00257ED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E266F" w:rsidRPr="007E266F">
              <w:rPr>
                <w:rFonts w:asciiTheme="minorHAnsi" w:hAnsiTheme="minorHAnsi" w:cstheme="minorHAnsi"/>
                <w:sz w:val="22"/>
                <w:szCs w:val="22"/>
              </w:rPr>
              <w:t>(opis założeń projektu informatycznego)</w:t>
            </w:r>
            <w:r w:rsidR="00425A3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547ABED7" w14:textId="77777777" w:rsidTr="00665C0E">
        <w:tc>
          <w:tcPr>
            <w:tcW w:w="846" w:type="dxa"/>
            <w:shd w:val="clear" w:color="auto" w:fill="auto"/>
            <w:vAlign w:val="center"/>
          </w:tcPr>
          <w:p w14:paraId="333D2A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03B6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442FE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92AAE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56B8BBD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3769" w:type="dxa"/>
            <w:vAlign w:val="center"/>
          </w:tcPr>
          <w:p w14:paraId="69DCBE3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54405" w:rsidRPr="00A06425" w14:paraId="3E4CFE16" w14:textId="77777777" w:rsidTr="00665C0E">
        <w:tc>
          <w:tcPr>
            <w:tcW w:w="846" w:type="dxa"/>
            <w:shd w:val="clear" w:color="auto" w:fill="auto"/>
          </w:tcPr>
          <w:p w14:paraId="03F81D0B" w14:textId="77777777" w:rsidR="00854405" w:rsidRPr="00854405" w:rsidRDefault="00854405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07EE7CA" w14:textId="77777777" w:rsidR="00854405" w:rsidRPr="00E16E5E" w:rsidRDefault="00854405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8F2471" w14:textId="77777777" w:rsidR="00854405" w:rsidRDefault="00854405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2.1 Cele i korzyści wynikające z projektu</w:t>
            </w:r>
          </w:p>
        </w:tc>
        <w:tc>
          <w:tcPr>
            <w:tcW w:w="4536" w:type="dxa"/>
            <w:shd w:val="clear" w:color="auto" w:fill="auto"/>
          </w:tcPr>
          <w:p w14:paraId="3176111E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Brak obecnie wskaźników: </w:t>
            </w:r>
          </w:p>
          <w:p w14:paraId="197B6E5D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1. Liczba pracowników objętych szkoleniami w zakresie umiejętności cyfrowych – kobiety,</w:t>
            </w:r>
          </w:p>
          <w:p w14:paraId="2F459DAF" w14:textId="77777777" w:rsidR="00854405" w:rsidRPr="00257EDE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 2. Liczba pracowników objętych szkoleniami w zakresie umiejętności cyfrowych – mężczyźni.</w:t>
            </w:r>
          </w:p>
        </w:tc>
        <w:tc>
          <w:tcPr>
            <w:tcW w:w="3544" w:type="dxa"/>
            <w:shd w:val="clear" w:color="auto" w:fill="auto"/>
          </w:tcPr>
          <w:p w14:paraId="1CBF0962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Jeżeli w projekcie wybrano wskaźnik: „Liczba pracowników objętych szkoleniami w zakresie umiejętności cyfrowych”, konieczne jest również wybranie wskaźników odnoszących się do płci osób szkolonych, tj. </w:t>
            </w:r>
          </w:p>
          <w:p w14:paraId="67D7C107" w14:textId="77777777" w:rsidR="00530228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50DDF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1. Liczba pracowników objętych szkoleniami w zakresie umiejętności cyfrowych – kobiety, </w:t>
            </w:r>
          </w:p>
          <w:p w14:paraId="51C2062B" w14:textId="77777777" w:rsidR="00530228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2. Liczba pracowników objętych szkoleniami w zakresie umiejętności cyfrowych – mężczyźni. Proszę o dodanie ww. wskaźników i określenie ich wartości docelowych. </w:t>
            </w:r>
          </w:p>
          <w:p w14:paraId="1B737784" w14:textId="77777777" w:rsidR="00530228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BCB8E7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Sugeruje się zmodyfikować podobnie wszystkie wskaźniki osobowe.</w:t>
            </w:r>
          </w:p>
          <w:p w14:paraId="5E0E475D" w14:textId="77777777" w:rsidR="00854405" w:rsidRPr="00A0642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64D4A5A2" w14:textId="77777777" w:rsidR="00AD581F" w:rsidRPr="00AD581F" w:rsidRDefault="00AD581F" w:rsidP="004F3F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81F">
              <w:rPr>
                <w:rFonts w:asciiTheme="minorHAnsi" w:hAnsiTheme="minorHAnsi" w:cstheme="minorHAnsi"/>
                <w:b/>
                <w:sz w:val="22"/>
                <w:szCs w:val="22"/>
              </w:rPr>
              <w:t>Uwzględniona.</w:t>
            </w:r>
          </w:p>
          <w:p w14:paraId="4CE31270" w14:textId="77777777" w:rsidR="00854405" w:rsidRDefault="004F3F45" w:rsidP="004F3F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OZPI został uzupełniony o wskaźniki:</w:t>
            </w:r>
          </w:p>
          <w:p w14:paraId="3E4743AE" w14:textId="77777777" w:rsidR="004F3F45" w:rsidRDefault="004F3F45" w:rsidP="004F3F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1. Liczba pracowników objętych szkoleniami w zakresie u</w:t>
            </w:r>
            <w:r w:rsidR="00AD581F">
              <w:rPr>
                <w:rFonts w:asciiTheme="minorHAnsi" w:hAnsiTheme="minorHAnsi" w:cstheme="minorHAnsi"/>
                <w:sz w:val="22"/>
                <w:szCs w:val="22"/>
              </w:rPr>
              <w:t>miejętności cyfrowych – kobiety.</w:t>
            </w:r>
          </w:p>
          <w:p w14:paraId="4EFC40C1" w14:textId="04E98DE8" w:rsidR="004F3F45" w:rsidRPr="00A06425" w:rsidRDefault="004F3F45" w:rsidP="004F3F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2. Liczba pracowników objętych szkoleniami w zakresie umiejętności cyfrowych – mężczyźni.</w:t>
            </w:r>
          </w:p>
        </w:tc>
      </w:tr>
      <w:tr w:rsidR="00854405" w:rsidRPr="00A06425" w14:paraId="4A4FA838" w14:textId="77777777" w:rsidTr="00665C0E">
        <w:tc>
          <w:tcPr>
            <w:tcW w:w="846" w:type="dxa"/>
            <w:shd w:val="clear" w:color="auto" w:fill="auto"/>
          </w:tcPr>
          <w:p w14:paraId="2ABC60E5" w14:textId="77777777" w:rsidR="00854405" w:rsidRPr="00854405" w:rsidRDefault="00854405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7DDEEEF" w14:textId="77777777" w:rsidR="00854405" w:rsidRPr="00E16E5E" w:rsidRDefault="00854405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8241413" w14:textId="77777777" w:rsidR="00854405" w:rsidRDefault="00854405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3 Kamienie milowe</w:t>
            </w:r>
          </w:p>
        </w:tc>
        <w:tc>
          <w:tcPr>
            <w:tcW w:w="4536" w:type="dxa"/>
            <w:shd w:val="clear" w:color="auto" w:fill="auto"/>
          </w:tcPr>
          <w:p w14:paraId="5B230128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Ostatni kamień milowy „Uruchomione produkcyjnie wszystkie węzły szkieletowe i dostępowe, będące przedmiotem projektu” ma termin realizacji 31.12.2023 r. Jest to jednocześnie ostatni dzień perspektywy finansowej 2014-2020. Żadne wydatki kwalifikowane z programów tej perspektywy nie mogą być ponoszone po tej dacie. Rzeczowa realizacja projektu powinna się zatem zakończyć wcześniej. Należy pamiętać, że nie można 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zapłacić wykonawcy za</w:t>
            </w:r>
            <w:r w:rsidRPr="00854405">
              <w:t xml:space="preserve"> 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niezrealizowaną usługę/dostawę/robotę budowlaną. Skoro uruchomienie produkcyjne nastąpi ostatniego dnia kwalifikowalności ponoszenia wydatku istnieje ryzyko niekwalifikowania kosztów zamówienia składającego się na ten kamień milowy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8F036B8" w14:textId="77777777" w:rsidR="00854405" w:rsidRPr="00257EDE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62700CDB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440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celu zabezpieczenia terminowej realizacji projektu proszę o analizę dat kamieni milowych i ewentualne przyspieszenie zakończenia realizacji projektu</w:t>
            </w:r>
            <w:r w:rsidR="0053022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FAA097E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3B221B" w14:textId="77777777" w:rsidR="0085440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983F0D" w14:textId="77777777" w:rsidR="00854405" w:rsidRPr="00A06425" w:rsidRDefault="0085440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67B79602" w14:textId="77777777" w:rsidR="00AD581F" w:rsidRPr="00AD581F" w:rsidRDefault="00AD581F" w:rsidP="00AD581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D581F">
              <w:rPr>
                <w:rFonts w:asciiTheme="minorHAnsi" w:hAnsiTheme="minorHAnsi" w:cstheme="minorHAnsi"/>
                <w:b/>
                <w:sz w:val="22"/>
                <w:szCs w:val="22"/>
              </w:rPr>
              <w:t>Uwzględniona.</w:t>
            </w:r>
          </w:p>
          <w:p w14:paraId="0902C517" w14:textId="65D4B78E" w:rsidR="00854405" w:rsidRPr="00A06425" w:rsidRDefault="00AD581F" w:rsidP="00AD581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Skorygowano datę kamienia milowego „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 xml:space="preserve">Uruchomione produkcyjnie wszystkie węzły szkieletowe i dostępowe, będące przedmiotem projektu”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termin realizacji 30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854405">
              <w:rPr>
                <w:rFonts w:asciiTheme="minorHAnsi" w:hAnsiTheme="minorHAnsi" w:cstheme="minorHAnsi"/>
                <w:sz w:val="22"/>
                <w:szCs w:val="22"/>
              </w:rPr>
              <w:t>.2023 r.</w:t>
            </w:r>
            <w:r w:rsidR="004373A9">
              <w:rPr>
                <w:rFonts w:asciiTheme="minorHAnsi" w:hAnsiTheme="minorHAnsi" w:cstheme="minorHAnsi"/>
                <w:sz w:val="22"/>
                <w:szCs w:val="22"/>
              </w:rPr>
              <w:t xml:space="preserve"> Kamień ten jes</w:t>
            </w:r>
            <w:r w:rsidR="00CE6996">
              <w:rPr>
                <w:rFonts w:asciiTheme="minorHAnsi" w:hAnsiTheme="minorHAnsi" w:cstheme="minorHAnsi"/>
                <w:sz w:val="22"/>
                <w:szCs w:val="22"/>
              </w:rPr>
              <w:t xml:space="preserve">t kamieniem milowym spinającym i </w:t>
            </w:r>
            <w:r w:rsidR="004373A9">
              <w:rPr>
                <w:rFonts w:asciiTheme="minorHAnsi" w:hAnsiTheme="minorHAnsi" w:cstheme="minorHAnsi"/>
                <w:sz w:val="22"/>
                <w:szCs w:val="22"/>
              </w:rPr>
              <w:t xml:space="preserve">zamykającym projekt, w którym zakładane jest potwierdzenie dostarczenie wszystkich </w:t>
            </w:r>
            <w:r w:rsidR="004373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zaplanowanych w projekcie produktów oraz końcowe rozliczenie projektu</w:t>
            </w:r>
            <w:r w:rsidR="00CE699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593CD26F" w14:textId="77777777" w:rsidTr="00665C0E">
        <w:tc>
          <w:tcPr>
            <w:tcW w:w="846" w:type="dxa"/>
            <w:shd w:val="clear" w:color="auto" w:fill="auto"/>
          </w:tcPr>
          <w:p w14:paraId="6CF55444" w14:textId="77777777" w:rsidR="00A06425" w:rsidRPr="00854405" w:rsidRDefault="00A06425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AAEB26F" w14:textId="77777777"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59" w:type="dxa"/>
            <w:shd w:val="clear" w:color="auto" w:fill="auto"/>
          </w:tcPr>
          <w:p w14:paraId="3B001E5F" w14:textId="77777777" w:rsidR="00A06425" w:rsidRPr="00A06425" w:rsidRDefault="002247B1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257EDE">
              <w:rPr>
                <w:rFonts w:asciiTheme="minorHAnsi" w:hAnsiTheme="minorHAnsi" w:cstheme="minorHAnsi"/>
                <w:sz w:val="22"/>
                <w:szCs w:val="22"/>
              </w:rPr>
              <w:t>4.2</w:t>
            </w:r>
          </w:p>
        </w:tc>
        <w:tc>
          <w:tcPr>
            <w:tcW w:w="4536" w:type="dxa"/>
            <w:shd w:val="clear" w:color="auto" w:fill="auto"/>
          </w:tcPr>
          <w:p w14:paraId="0E99F862" w14:textId="77777777" w:rsidR="00C53B5F" w:rsidRDefault="00257EDE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W pkt 4.2 - Wykaz poszczególnych pozycji kosztowych wskazano m.in. kwotę 6.000.000 zł z przeznaczeniem na wynagrodzenia osób zaangażowanych w realizację projektu. </w:t>
            </w:r>
          </w:p>
          <w:p w14:paraId="43DA8139" w14:textId="2449CA1A" w:rsidR="001B43AA" w:rsidRDefault="00C53B5F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257EDE" w:rsidRPr="00257EDE">
              <w:rPr>
                <w:rFonts w:asciiTheme="minorHAnsi" w:hAnsiTheme="minorHAnsi" w:cstheme="minorHAnsi"/>
                <w:sz w:val="22"/>
                <w:szCs w:val="22"/>
              </w:rPr>
              <w:t>ależy wskazać, czy i w jakich kwotach w okresie utrzymania projektu tj. od 2024 roku planowane są wydatki związane z ww. wynagrodzeniami. Jeśli tak, to należy wskazać liczbę etatów przewidzianą do sfinansowania w ramach ww. środków z wyszczególnieniem wynagrodzeń osobowych, dodatkowego wynagrodzenia rocznego oraz pochodnych od wynagrodzeń w tych latach. Ewentualne wynagrodzenia powinny zostać sfinansowane w ramach niezwiększonego funduszu wynagrodzeń.</w:t>
            </w:r>
          </w:p>
          <w:p w14:paraId="309C3556" w14:textId="77777777" w:rsidR="00530228" w:rsidRPr="00A06425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3B6DE9C" w14:textId="77777777" w:rsidR="00A06425" w:rsidRPr="00A06425" w:rsidRDefault="00A06425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CBE7C09" w14:textId="77777777" w:rsidR="00A06425" w:rsidRDefault="004D2A31" w:rsidP="004F3F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683A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14:paraId="75DF537D" w14:textId="505FE555" w:rsidR="00FE7418" w:rsidRPr="00FE7418" w:rsidRDefault="00DA1823" w:rsidP="00FE74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ramach przewidzianych środków na wynagrodzenia osób zaangażowanych w realizację projektu</w:t>
            </w:r>
            <w:r w:rsidR="00FE7418">
              <w:rPr>
                <w:rFonts w:asciiTheme="minorHAnsi" w:hAnsiTheme="minorHAnsi" w:cstheme="minorHAnsi"/>
                <w:sz w:val="22"/>
                <w:szCs w:val="22"/>
              </w:rPr>
              <w:t xml:space="preserve"> założono k</w:t>
            </w:r>
            <w:r w:rsidR="00FE7418" w:rsidRPr="00FE7418">
              <w:rPr>
                <w:rFonts w:asciiTheme="minorHAnsi" w:hAnsiTheme="minorHAnsi" w:cstheme="minorHAnsi"/>
                <w:sz w:val="22"/>
                <w:szCs w:val="22"/>
              </w:rPr>
              <w:t>oszty zespołu</w:t>
            </w:r>
            <w:r w:rsidR="00FE7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E7418" w:rsidRPr="00FE7418">
              <w:rPr>
                <w:rFonts w:asciiTheme="minorHAnsi" w:hAnsiTheme="minorHAnsi" w:cstheme="minorHAnsi"/>
                <w:sz w:val="22"/>
                <w:szCs w:val="22"/>
              </w:rPr>
              <w:t>wspomagającego</w:t>
            </w:r>
          </w:p>
          <w:p w14:paraId="0629060F" w14:textId="0518ECBB" w:rsidR="00FE7418" w:rsidRPr="00FE7418" w:rsidRDefault="00FE7418" w:rsidP="00FE74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realizację projektu,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koszty zespołu</w:t>
            </w:r>
          </w:p>
          <w:p w14:paraId="3F8D2886" w14:textId="7FB228BC" w:rsidR="00FE7418" w:rsidRPr="00FE7418" w:rsidRDefault="00FE7418" w:rsidP="00FE74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wykonującego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merytoryczne</w:t>
            </w:r>
          </w:p>
          <w:p w14:paraId="4B497AB3" w14:textId="37AD482F" w:rsidR="00FE7418" w:rsidRPr="00FE7418" w:rsidRDefault="00FE7418" w:rsidP="00FE74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zadania projektu,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analizy, nadzór</w:t>
            </w:r>
          </w:p>
          <w:p w14:paraId="720354E7" w14:textId="2A656A93" w:rsidR="00FE7418" w:rsidRPr="00FE7418" w:rsidRDefault="00FE7418" w:rsidP="00FE74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merytoryczny,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(zewnętrzne)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wspomagające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realizację projektu</w:t>
            </w:r>
          </w:p>
          <w:p w14:paraId="2D9D4D0A" w14:textId="4666FBAB" w:rsidR="00FC42A7" w:rsidRDefault="00FE7418" w:rsidP="00590E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(doradcze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E7418">
              <w:rPr>
                <w:rFonts w:asciiTheme="minorHAnsi" w:hAnsiTheme="minorHAnsi" w:cstheme="minorHAnsi"/>
                <w:sz w:val="22"/>
                <w:szCs w:val="22"/>
              </w:rPr>
              <w:t>eksperckie).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Koszty osobowe będą dotyczyć zarówno pracowników</w:t>
            </w:r>
            <w:r w:rsidR="009809E7">
              <w:rPr>
                <w:rFonts w:asciiTheme="minorHAnsi" w:hAnsiTheme="minorHAnsi" w:cstheme="minorHAnsi"/>
                <w:sz w:val="22"/>
                <w:szCs w:val="22"/>
              </w:rPr>
              <w:t xml:space="preserve"> MSWiA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jak</w:t>
            </w:r>
            <w:r w:rsidR="009809E7">
              <w:rPr>
                <w:rFonts w:asciiTheme="minorHAnsi" w:hAnsiTheme="minorHAnsi" w:cstheme="minorHAnsi"/>
                <w:sz w:val="22"/>
                <w:szCs w:val="22"/>
              </w:rPr>
              <w:t xml:space="preserve"> i GIS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 Realizacja projektu wymaga wysokospecjalistycznej wiedzy w zakresie sieci, telekomunikacji, bezpieczeństwa. Na czas realizacji projektu planowane jest zatrudnienie specjalistów taką wiedzę posiadających oraz skorzystanie z usług firm zewnętrznych w zakresie doradztwa i wsparcia. Ponadt</w:t>
            </w:r>
            <w:r w:rsidR="00590EE9">
              <w:rPr>
                <w:rFonts w:asciiTheme="minorHAnsi" w:hAnsiTheme="minorHAnsi" w:cstheme="minorHAnsi"/>
                <w:sz w:val="22"/>
                <w:szCs w:val="22"/>
              </w:rPr>
              <w:t>o kwota zawiera koszty dodatków i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nagród dla pracowników MSWiA i GIS, którzy będą zaangażowani w realizację projektu w ramach dodatkowych zadań</w:t>
            </w:r>
            <w:r w:rsidR="00590EE9">
              <w:rPr>
                <w:rFonts w:asciiTheme="minorHAnsi" w:hAnsiTheme="minorHAnsi" w:cstheme="minorHAnsi"/>
                <w:sz w:val="22"/>
                <w:szCs w:val="22"/>
              </w:rPr>
              <w:t xml:space="preserve">. W okresie utrzymania projektu, tj. od roku 2024 ewentualne wydatki związane z </w:t>
            </w:r>
            <w:r w:rsidR="00590EE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wynagrodzeniami zostaną sfinansowane w ramach niezwiększonego funduszu wynagrodzeń.</w:t>
            </w:r>
          </w:p>
          <w:p w14:paraId="4986F39E" w14:textId="6AA3EBE3" w:rsidR="00590EE9" w:rsidRPr="00FC42A7" w:rsidRDefault="00590EE9" w:rsidP="00590E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14:paraId="3395D957" w14:textId="77777777" w:rsidTr="00665C0E">
        <w:tc>
          <w:tcPr>
            <w:tcW w:w="846" w:type="dxa"/>
            <w:shd w:val="clear" w:color="auto" w:fill="auto"/>
          </w:tcPr>
          <w:p w14:paraId="0D61C498" w14:textId="06A14FDA" w:rsidR="00257EDE" w:rsidRPr="00854405" w:rsidRDefault="00257EDE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ABFADA4" w14:textId="77777777"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59" w:type="dxa"/>
            <w:shd w:val="clear" w:color="auto" w:fill="auto"/>
          </w:tcPr>
          <w:p w14:paraId="26757626" w14:textId="77777777" w:rsidR="00257EDE" w:rsidRDefault="00257EDE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4536" w:type="dxa"/>
            <w:shd w:val="clear" w:color="auto" w:fill="auto"/>
          </w:tcPr>
          <w:p w14:paraId="0342562B" w14:textId="77777777" w:rsidR="00257EDE" w:rsidRDefault="00257EDE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wskazano całkowity koszt utrzymania trwałości projektu w wysokości 50.890.000 zł. Jako źródło finansowania w latach 2024-2028 wskazano krajowe środki publiczne - budżet państwa. </w:t>
            </w:r>
            <w:r w:rsidR="0066624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257EDE">
              <w:rPr>
                <w:rFonts w:asciiTheme="minorHAnsi" w:hAnsiTheme="minorHAnsi" w:cstheme="minorHAnsi"/>
                <w:sz w:val="22"/>
                <w:szCs w:val="22"/>
              </w:rPr>
              <w:t xml:space="preserve">ależy wskazać z jakiej części budżetowej będą finansowane przedmiotowe wydatki. </w:t>
            </w:r>
          </w:p>
          <w:p w14:paraId="22F0523D" w14:textId="77777777" w:rsidR="00530228" w:rsidRPr="00A06425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788FC4DA" w14:textId="77777777" w:rsidR="00257EDE" w:rsidRPr="00A06425" w:rsidRDefault="00257EDE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E7FD61B" w14:textId="77777777" w:rsidR="0019683A" w:rsidRPr="0019683A" w:rsidRDefault="0019683A" w:rsidP="004F3F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683A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14:paraId="4945ADD6" w14:textId="77777777" w:rsidR="00257EDE" w:rsidRDefault="0019683A" w:rsidP="004F3F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MSWiA – cz. 42</w:t>
            </w:r>
          </w:p>
          <w:p w14:paraId="112AD764" w14:textId="20B3EBF4" w:rsidR="0019683A" w:rsidRPr="00A06425" w:rsidRDefault="0019683A" w:rsidP="004F3F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GIS – cz. </w:t>
            </w:r>
            <w:r w:rsidR="00FA6A38"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</w:tr>
      <w:tr w:rsidR="009A03B1" w:rsidRPr="00A06425" w14:paraId="2A979F7E" w14:textId="77777777" w:rsidTr="00665C0E">
        <w:tc>
          <w:tcPr>
            <w:tcW w:w="846" w:type="dxa"/>
            <w:shd w:val="clear" w:color="auto" w:fill="auto"/>
          </w:tcPr>
          <w:p w14:paraId="16BFB96C" w14:textId="77777777" w:rsidR="009A03B1" w:rsidRPr="00854405" w:rsidRDefault="009A03B1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4391D67" w14:textId="77777777" w:rsidR="009A03B1" w:rsidRDefault="009A03B1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59" w:type="dxa"/>
            <w:shd w:val="clear" w:color="auto" w:fill="auto"/>
          </w:tcPr>
          <w:p w14:paraId="2E29E8F6" w14:textId="77777777" w:rsidR="009A03B1" w:rsidRDefault="009A03B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4536" w:type="dxa"/>
            <w:shd w:val="clear" w:color="auto" w:fill="auto"/>
          </w:tcPr>
          <w:p w14:paraId="18DAF877" w14:textId="77777777" w:rsidR="009A03B1" w:rsidRDefault="000B0113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B0113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</w:t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 xml:space="preserve">wskazana kwota całkowitego kosztu utrzymania trwałości projektu jest </w:t>
            </w:r>
            <w:r w:rsidR="004230F2">
              <w:rPr>
                <w:rFonts w:asciiTheme="minorHAnsi" w:hAnsiTheme="minorHAnsi" w:cstheme="minorHAnsi"/>
                <w:sz w:val="22"/>
                <w:szCs w:val="22"/>
              </w:rPr>
              <w:t xml:space="preserve">– w ocenie MF – </w:t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>bardzo wysoka</w:t>
            </w:r>
            <w:r w:rsidR="004230F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9A03B1" w:rsidRPr="009A03B1">
              <w:rPr>
                <w:rFonts w:asciiTheme="minorHAnsi" w:hAnsiTheme="minorHAnsi" w:cstheme="minorHAnsi"/>
                <w:sz w:val="22"/>
                <w:szCs w:val="22"/>
              </w:rPr>
              <w:t>w porównaniu do całkowitego kosztu projektu (85% wartości projektu)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co wymaga stosownego wyjaśnienia.</w:t>
            </w:r>
          </w:p>
          <w:p w14:paraId="237AB191" w14:textId="77777777" w:rsidR="00530228" w:rsidRPr="00257EDE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34FAD454" w14:textId="77777777" w:rsidR="009A03B1" w:rsidRPr="00A06425" w:rsidRDefault="009A03B1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15B06D64" w14:textId="77777777" w:rsidR="0019683A" w:rsidRPr="0019683A" w:rsidRDefault="0019683A" w:rsidP="0019683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683A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14:paraId="6194908E" w14:textId="7527560F" w:rsidR="009A03B1" w:rsidRDefault="001372A0" w:rsidP="006A16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Przy szacowaniu kosztów utrzymania trwałości projektu wzięto pod uwagę koszty utrzymania </w:t>
            </w:r>
            <w:r w:rsidR="00A61091">
              <w:rPr>
                <w:rFonts w:asciiTheme="minorHAnsi" w:hAnsiTheme="minorHAnsi" w:cstheme="minorHAnsi"/>
                <w:sz w:val="22"/>
                <w:szCs w:val="22"/>
              </w:rPr>
              <w:t xml:space="preserve">nowych i zmodernizowanych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łączy</w:t>
            </w:r>
            <w:r w:rsidR="00A61091">
              <w:rPr>
                <w:rFonts w:asciiTheme="minorHAnsi" w:hAnsiTheme="minorHAnsi" w:cstheme="minorHAnsi"/>
                <w:sz w:val="22"/>
                <w:szCs w:val="22"/>
              </w:rPr>
              <w:t xml:space="preserve"> dostępowych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zakupionych w ramach projektu systemów i urządzeń oraz usługi świadczenia Internetu. Celem projektu jest rozbudowa sieci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345 jednostek PIS zlokalizowanych </w:t>
            </w:r>
            <w:r w:rsidR="00FE7418">
              <w:rPr>
                <w:rFonts w:asciiTheme="minorHAnsi" w:hAnsiTheme="minorHAnsi" w:cstheme="minorHAnsi"/>
                <w:sz w:val="22"/>
                <w:szCs w:val="22"/>
              </w:rPr>
              <w:t xml:space="preserve">w powiatach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terenie całego kraju. Aby zrealizować to przedsięwzięcie niezbędne jest zapewnienie odpowiednich łączy o wysokiej przepustowości. Bazując na doświadczeniach związanych z utrzymaniem łączy </w:t>
            </w:r>
            <w:r w:rsidR="006A16A2">
              <w:rPr>
                <w:rFonts w:asciiTheme="minorHAnsi" w:hAnsiTheme="minorHAnsi" w:cstheme="minorHAnsi"/>
                <w:sz w:val="22"/>
                <w:szCs w:val="22"/>
              </w:rPr>
              <w:t xml:space="preserve">obecnie funkcjonującej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sieci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 w:rsidR="006A16A2">
              <w:rPr>
                <w:rFonts w:asciiTheme="minorHAnsi" w:hAnsiTheme="minorHAnsi" w:cstheme="minorHAnsi"/>
                <w:sz w:val="22"/>
                <w:szCs w:val="22"/>
              </w:rPr>
              <w:t xml:space="preserve"> oraz OST112 należy przyjąć, że w założonych kosztach utrzymania trwałości projektu, koszty łączy stanowić będą największą wartość. </w:t>
            </w:r>
          </w:p>
          <w:p w14:paraId="760828B4" w14:textId="77777777" w:rsidR="006A16A2" w:rsidRDefault="006A16A2" w:rsidP="00CE0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Przyjęty harmonogram projektu zakłada budowę/dzierżawę łączy w kilku etapach, dlatego ich wartość w całym projekcie jest rozłożona w czasie i nie jest miarodajna. W projekcie największy koszt stanowi zakup urządzeń sieciowych i siłowni telekomunikacyjnych</w:t>
            </w:r>
            <w:r w:rsidR="00A61091">
              <w:rPr>
                <w:rFonts w:asciiTheme="minorHAnsi" w:hAnsiTheme="minorHAnsi" w:cstheme="minorHAnsi"/>
                <w:sz w:val="22"/>
                <w:szCs w:val="22"/>
              </w:rPr>
              <w:t xml:space="preserve"> wraz z bateriami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61091">
              <w:rPr>
                <w:rFonts w:asciiTheme="minorHAnsi" w:hAnsiTheme="minorHAnsi" w:cstheme="minorHAnsi"/>
                <w:sz w:val="22"/>
                <w:szCs w:val="22"/>
              </w:rPr>
              <w:t>modułu bezpieczeństwa oraz dostosowanie sieci LAN w jednostkach PIS.</w:t>
            </w:r>
            <w:r w:rsidR="00665C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C6144C2" w14:textId="709F7666" w:rsidR="00590EE9" w:rsidRPr="00A06425" w:rsidRDefault="00590EE9" w:rsidP="00CE0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7EDE" w:rsidRPr="00A06425" w14:paraId="2020EB00" w14:textId="77777777" w:rsidTr="00665C0E">
        <w:tc>
          <w:tcPr>
            <w:tcW w:w="846" w:type="dxa"/>
            <w:shd w:val="clear" w:color="auto" w:fill="auto"/>
          </w:tcPr>
          <w:p w14:paraId="15CE7686" w14:textId="77777777" w:rsidR="00257EDE" w:rsidRPr="00854405" w:rsidRDefault="00257EDE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CA5ACAD" w14:textId="77777777" w:rsidR="00257EDE" w:rsidRPr="00E16E5E" w:rsidRDefault="00257EDE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59" w:type="dxa"/>
            <w:shd w:val="clear" w:color="auto" w:fill="auto"/>
          </w:tcPr>
          <w:p w14:paraId="6ADE32F3" w14:textId="77777777" w:rsidR="00257EDE" w:rsidRDefault="003A6C81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</w:t>
            </w:r>
            <w:r w:rsidR="008F63D4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695586C4" w14:textId="609FB625" w:rsidR="004230F2" w:rsidRDefault="008F63D4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pisu założeń projektu informatycznego pn. System Ewidencji Państwowej Inspekcji Sanitarnej (SEPIS) opiniowanym w maju br. wskazano, że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"Projekt SEPIS realizowany jest w latach 2020-2021. Po tym czasie będzie on podlegać pod inny projekt,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br/>
              <w:t>z czego wynika wskazany brak kosztów."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1FFC06" w14:textId="77777777" w:rsidR="00257EDE" w:rsidRDefault="008F63D4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Wyjaśnienia wymaga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czy koszty utrzymania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SEPIS zawarte są w ramach </w:t>
            </w:r>
            <w:r w:rsidR="000B0113">
              <w:rPr>
                <w:rFonts w:asciiTheme="minorHAnsi" w:hAnsiTheme="minorHAnsi" w:cstheme="minorHAnsi"/>
                <w:sz w:val="22"/>
                <w:szCs w:val="22"/>
              </w:rPr>
              <w:t>aktualnie opiniowanego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projektu.</w:t>
            </w:r>
          </w:p>
          <w:p w14:paraId="13143E76" w14:textId="77777777" w:rsidR="00530228" w:rsidRPr="00A06425" w:rsidRDefault="00530228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14:paraId="0AACE4E6" w14:textId="77777777" w:rsidR="00257EDE" w:rsidRPr="00A06425" w:rsidRDefault="00257EDE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07245635" w14:textId="77777777" w:rsidR="00257EDE" w:rsidRDefault="004D2A31" w:rsidP="004F3F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683A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14:paraId="25D60F97" w14:textId="229CB874" w:rsidR="00275A14" w:rsidRPr="00275A14" w:rsidRDefault="00275A14" w:rsidP="00275A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Koszty utrzymania projektu SEPIS nie są zawarte w ramach projektu rozbudowy sieci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OZPI projektu SEPIS został zaktualizowany i w ostatniej wersji, opiniowanej w październiku br., w pkt 4.3 OZPI zostały ujęte koszty ogólne utrzymania projektu SEPIS w latach 2022-2026 w łącznej wysokości 5.901.000,00 zł.</w:t>
            </w:r>
          </w:p>
        </w:tc>
      </w:tr>
      <w:tr w:rsidR="00257EDE" w:rsidRPr="00A06425" w14:paraId="20B2DABE" w14:textId="77777777" w:rsidTr="00665C0E">
        <w:tc>
          <w:tcPr>
            <w:tcW w:w="846" w:type="dxa"/>
            <w:shd w:val="clear" w:color="auto" w:fill="auto"/>
          </w:tcPr>
          <w:p w14:paraId="29E41BFE" w14:textId="77777777" w:rsidR="00257EDE" w:rsidRPr="00854405" w:rsidRDefault="00257EDE" w:rsidP="00854405">
            <w:pPr>
              <w:pStyle w:val="Akapitzlist"/>
              <w:numPr>
                <w:ilvl w:val="0"/>
                <w:numId w:val="1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F12B392" w14:textId="77777777" w:rsidR="00257EDE" w:rsidRDefault="008F63D4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559" w:type="dxa"/>
            <w:shd w:val="clear" w:color="auto" w:fill="auto"/>
          </w:tcPr>
          <w:p w14:paraId="7B7FA8C6" w14:textId="77777777" w:rsidR="00257EDE" w:rsidRDefault="008F63D4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4536" w:type="dxa"/>
            <w:shd w:val="clear" w:color="auto" w:fill="auto"/>
          </w:tcPr>
          <w:p w14:paraId="6B7AB1BB" w14:textId="58BE5E23" w:rsidR="008F63D4" w:rsidRPr="008F63D4" w:rsidRDefault="008F63D4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W ocenie Ministerstwa Finansów koszty realizacji i utrzymania projektu nie powinny stanowić podstawy do ubiegania się o dodatkowe środki z budżetu państwa na ten cel. </w:t>
            </w:r>
          </w:p>
          <w:p w14:paraId="5D01523C" w14:textId="77777777" w:rsidR="008F63D4" w:rsidRPr="00A06425" w:rsidRDefault="008F63D4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W związku z powyższym proponuje się dokonanie korekty w pkt 4.4 - Planowane koszty ogólne realizacji (w przypadku projektu współfinansowanego – wkład krajowy z budżetu państwa) oraz koszty utrzymania zaznaczając </w:t>
            </w:r>
            <w:proofErr w:type="spellStart"/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1 –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>„zostaną pokryte w ramach budżetów odpowiednich dysponentów części budżetowych bez konieczności występowania o dodatkowe środki z budżetu państwa”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 xml:space="preserve"> w miejsce 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stwierdzenia </w:t>
            </w:r>
            <w:r w:rsidRPr="004230F2">
              <w:rPr>
                <w:rFonts w:asciiTheme="minorHAnsi" w:hAnsiTheme="minorHAnsi" w:cstheme="minorHAnsi"/>
                <w:i/>
                <w:sz w:val="22"/>
                <w:szCs w:val="22"/>
              </w:rPr>
              <w:t>„będą powodować konieczność przyznania dodatkowych kwot”</w:t>
            </w:r>
            <w:r w:rsidRPr="008F63D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14:paraId="16BCB904" w14:textId="77777777" w:rsidR="00257EDE" w:rsidRPr="00A06425" w:rsidRDefault="00257EDE" w:rsidP="00E9016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1A2E3F61" w14:textId="77777777" w:rsidR="00257EDE" w:rsidRDefault="004D2A31" w:rsidP="004F3F4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683A">
              <w:rPr>
                <w:rFonts w:asciiTheme="minorHAnsi" w:hAnsiTheme="minorHAnsi" w:cstheme="minorHAnsi"/>
                <w:b/>
                <w:sz w:val="22"/>
                <w:szCs w:val="22"/>
              </w:rPr>
              <w:t>Wyjaśnienie.</w:t>
            </w:r>
          </w:p>
          <w:p w14:paraId="75812227" w14:textId="77777777" w:rsidR="00CE0413" w:rsidRDefault="00CE0413" w:rsidP="00FC42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0413">
              <w:rPr>
                <w:rFonts w:asciiTheme="minorHAnsi" w:hAnsiTheme="minorHAnsi" w:cstheme="minorHAnsi"/>
                <w:sz w:val="22"/>
                <w:szCs w:val="22"/>
              </w:rPr>
              <w:t xml:space="preserve">W przyznawanych limitach dysponentów części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budżetowych nie ma wystarczających środków na pokrycie kosztów utrzymania trwałości projektu. Rezultatem projektu będzie rozbudowa sieci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 345 jednostek PIS zlokalizowanych </w:t>
            </w:r>
            <w:r w:rsidR="00FE7418">
              <w:rPr>
                <w:rFonts w:asciiTheme="minorHAnsi" w:hAnsiTheme="minorHAnsi" w:cstheme="minorHAnsi"/>
                <w:sz w:val="22"/>
                <w:szCs w:val="22"/>
              </w:rPr>
              <w:t xml:space="preserve">w powiatach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terenie całego kraju. </w:t>
            </w:r>
            <w:r w:rsidR="00FC42A7">
              <w:rPr>
                <w:rFonts w:asciiTheme="minorHAnsi" w:hAnsiTheme="minorHAnsi" w:cstheme="minorHAnsi"/>
                <w:sz w:val="22"/>
                <w:szCs w:val="22"/>
              </w:rPr>
              <w:t xml:space="preserve">Powstanie 345 nowych węzłów sieci </w:t>
            </w:r>
            <w:proofErr w:type="spellStart"/>
            <w:r w:rsidR="00FC42A7"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 w:rsidR="00FC42A7">
              <w:rPr>
                <w:rFonts w:asciiTheme="minorHAnsi" w:hAnsiTheme="minorHAnsi" w:cstheme="minorHAnsi"/>
                <w:sz w:val="22"/>
                <w:szCs w:val="22"/>
              </w:rPr>
              <w:t xml:space="preserve">, wyposażonych w wydajne urządzenia sieciowe, do których doprowadzone zostaną łącza o </w:t>
            </w:r>
            <w:r w:rsidR="00FC42A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wysokiej przepustowości. </w:t>
            </w:r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 xml:space="preserve">Po realizacji projektu do rozbudowanej sieci </w:t>
            </w:r>
            <w:proofErr w:type="spellStart"/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 xml:space="preserve"> będą mogły podłączyć się inne instytucje rządowe, pozarządowe oraz samorządowe. Całe rozwiązanie ograniczy zagrożenia w użytkowaniu sieci, pozwoli wdrożyć nowoczesne mechanizmy bezpieczeństwa teleinformatycznego, wdroży wysokie SLA oraz zapewni dostęp do szeregu usług publicznych świadczonych za pośrednictwem sieci </w:t>
            </w:r>
            <w:proofErr w:type="spellStart"/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>GovNet</w:t>
            </w:r>
            <w:proofErr w:type="spellEnd"/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 xml:space="preserve"> (m. in. systemy Rejestrów Państwowych, do których należą: PESEL, RDO, RSC, RDK, SOP i CRS).</w:t>
            </w:r>
            <w:r w:rsidR="007F0F91">
              <w:rPr>
                <w:rFonts w:asciiTheme="minorHAnsi" w:hAnsiTheme="minorHAnsi" w:cstheme="minorHAnsi"/>
                <w:sz w:val="22"/>
                <w:szCs w:val="22"/>
              </w:rPr>
              <w:t xml:space="preserve"> Mając na uwadze </w:t>
            </w:r>
            <w:r w:rsidR="00FC42A7">
              <w:rPr>
                <w:rFonts w:asciiTheme="minorHAnsi" w:hAnsiTheme="minorHAnsi" w:cstheme="minorHAnsi"/>
                <w:sz w:val="22"/>
                <w:szCs w:val="22"/>
              </w:rPr>
              <w:t>globalny</w:t>
            </w:r>
            <w:r w:rsidR="007F0F91">
              <w:rPr>
                <w:rFonts w:asciiTheme="minorHAnsi" w:hAnsiTheme="minorHAnsi" w:cstheme="minorHAnsi"/>
                <w:sz w:val="22"/>
                <w:szCs w:val="22"/>
              </w:rPr>
              <w:t xml:space="preserve"> charakter przedsięwzięcia należy założyć, że koszty utrzymania projektu </w:t>
            </w:r>
            <w:r w:rsidR="007F0F91" w:rsidRPr="007F0F91">
              <w:rPr>
                <w:rFonts w:asciiTheme="minorHAnsi" w:hAnsiTheme="minorHAnsi" w:cstheme="minorHAnsi"/>
                <w:sz w:val="22"/>
                <w:szCs w:val="22"/>
              </w:rPr>
              <w:t>będą powodować konieczność przyznania dodatkowych kwot</w:t>
            </w:r>
            <w:r w:rsidR="007F0F91">
              <w:rPr>
                <w:rFonts w:asciiTheme="minorHAnsi" w:hAnsiTheme="minorHAnsi" w:cstheme="minorHAnsi"/>
                <w:sz w:val="22"/>
                <w:szCs w:val="22"/>
              </w:rPr>
              <w:t xml:space="preserve"> z budżetu państwa.</w:t>
            </w:r>
          </w:p>
          <w:p w14:paraId="61129389" w14:textId="011D80E1" w:rsidR="00590EE9" w:rsidRPr="00CE0413" w:rsidRDefault="00590EE9" w:rsidP="00FC42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7E7B0D" w14:textId="77777777" w:rsidR="00C64B1B" w:rsidRDefault="00C64B1B" w:rsidP="00C64B1B">
      <w:pPr>
        <w:jc w:val="center"/>
      </w:pPr>
    </w:p>
    <w:sectPr w:rsidR="00C64B1B" w:rsidSect="00530228">
      <w:foot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EC802" w14:textId="77777777" w:rsidR="00FE7418" w:rsidRDefault="00FE7418" w:rsidP="00530228">
      <w:r>
        <w:separator/>
      </w:r>
    </w:p>
  </w:endnote>
  <w:endnote w:type="continuationSeparator" w:id="0">
    <w:p w14:paraId="1F272B67" w14:textId="77777777" w:rsidR="00FE7418" w:rsidRDefault="00FE7418" w:rsidP="00530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</w:rPr>
      <w:id w:val="-334304409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Content>
          <w:p w14:paraId="19DE9E3E" w14:textId="77777777" w:rsidR="00FE7418" w:rsidRPr="00590EE9" w:rsidRDefault="00FE7418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  <w:r w:rsidRPr="00590EE9">
              <w:rPr>
                <w:rFonts w:asciiTheme="minorHAnsi" w:hAnsiTheme="minorHAnsi" w:cstheme="minorHAnsi"/>
              </w:rPr>
              <w:t xml:space="preserve">Strona </w: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90EE9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90EE9">
              <w:rPr>
                <w:rFonts w:asciiTheme="minorHAnsi" w:hAnsiTheme="minorHAnsi" w:cstheme="minorHAnsi"/>
                <w:b/>
                <w:bCs/>
                <w:noProof/>
              </w:rPr>
              <w:t>5</w: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590EE9">
              <w:rPr>
                <w:rFonts w:asciiTheme="minorHAnsi" w:hAnsiTheme="minorHAnsi" w:cstheme="minorHAnsi"/>
              </w:rPr>
              <w:t xml:space="preserve"> z </w: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590EE9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590EE9">
              <w:rPr>
                <w:rFonts w:asciiTheme="minorHAnsi" w:hAnsiTheme="minorHAnsi" w:cstheme="minorHAnsi"/>
                <w:b/>
                <w:bCs/>
                <w:noProof/>
              </w:rPr>
              <w:t>5</w:t>
            </w:r>
            <w:r w:rsidRPr="00590EE9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0C696640" w14:textId="77777777" w:rsidR="00FE7418" w:rsidRDefault="00FE74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35AEF" w14:textId="77777777" w:rsidR="00FE7418" w:rsidRDefault="00FE7418" w:rsidP="00530228">
      <w:r>
        <w:separator/>
      </w:r>
    </w:p>
  </w:footnote>
  <w:footnote w:type="continuationSeparator" w:id="0">
    <w:p w14:paraId="62AB4353" w14:textId="77777777" w:rsidR="00FE7418" w:rsidRDefault="00FE7418" w:rsidP="00530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04A50"/>
    <w:multiLevelType w:val="hybridMultilevel"/>
    <w:tmpl w:val="3CFC1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2334"/>
    <w:rsid w:val="00034258"/>
    <w:rsid w:val="000404D6"/>
    <w:rsid w:val="00066C9D"/>
    <w:rsid w:val="0008402F"/>
    <w:rsid w:val="000B0113"/>
    <w:rsid w:val="001372A0"/>
    <w:rsid w:val="00140BE8"/>
    <w:rsid w:val="001434BE"/>
    <w:rsid w:val="0019648E"/>
    <w:rsid w:val="0019683A"/>
    <w:rsid w:val="001B43AA"/>
    <w:rsid w:val="00214FBE"/>
    <w:rsid w:val="002247B1"/>
    <w:rsid w:val="00257EDE"/>
    <w:rsid w:val="002715B2"/>
    <w:rsid w:val="00275A14"/>
    <w:rsid w:val="003124D1"/>
    <w:rsid w:val="00384A3D"/>
    <w:rsid w:val="003A6C81"/>
    <w:rsid w:val="003B35E1"/>
    <w:rsid w:val="003B4105"/>
    <w:rsid w:val="004230F2"/>
    <w:rsid w:val="00425A3B"/>
    <w:rsid w:val="004352FD"/>
    <w:rsid w:val="004373A9"/>
    <w:rsid w:val="00467D64"/>
    <w:rsid w:val="004B08E1"/>
    <w:rsid w:val="004C26E3"/>
    <w:rsid w:val="004D086F"/>
    <w:rsid w:val="004D2A31"/>
    <w:rsid w:val="004F3F45"/>
    <w:rsid w:val="00530228"/>
    <w:rsid w:val="00590EE9"/>
    <w:rsid w:val="005F6527"/>
    <w:rsid w:val="006320E9"/>
    <w:rsid w:val="00653A67"/>
    <w:rsid w:val="00665C0E"/>
    <w:rsid w:val="00666246"/>
    <w:rsid w:val="006705EC"/>
    <w:rsid w:val="006A16A2"/>
    <w:rsid w:val="006C6F98"/>
    <w:rsid w:val="006E16E9"/>
    <w:rsid w:val="006E3B91"/>
    <w:rsid w:val="00707343"/>
    <w:rsid w:val="00756688"/>
    <w:rsid w:val="007914A9"/>
    <w:rsid w:val="007A3233"/>
    <w:rsid w:val="007C3EEB"/>
    <w:rsid w:val="007C7A4F"/>
    <w:rsid w:val="007E00FB"/>
    <w:rsid w:val="007E266F"/>
    <w:rsid w:val="007F0F91"/>
    <w:rsid w:val="00807385"/>
    <w:rsid w:val="00854405"/>
    <w:rsid w:val="008852B8"/>
    <w:rsid w:val="008A0FDF"/>
    <w:rsid w:val="008F63D4"/>
    <w:rsid w:val="00944932"/>
    <w:rsid w:val="00964EF7"/>
    <w:rsid w:val="009809E7"/>
    <w:rsid w:val="009A03B1"/>
    <w:rsid w:val="009E5FDB"/>
    <w:rsid w:val="00A06425"/>
    <w:rsid w:val="00A17E72"/>
    <w:rsid w:val="00A54598"/>
    <w:rsid w:val="00A61091"/>
    <w:rsid w:val="00A7029E"/>
    <w:rsid w:val="00A90C3B"/>
    <w:rsid w:val="00AC7796"/>
    <w:rsid w:val="00AD581F"/>
    <w:rsid w:val="00AE7186"/>
    <w:rsid w:val="00B41F02"/>
    <w:rsid w:val="00B871B6"/>
    <w:rsid w:val="00C53B5F"/>
    <w:rsid w:val="00C64B1B"/>
    <w:rsid w:val="00CD5EB0"/>
    <w:rsid w:val="00CE0413"/>
    <w:rsid w:val="00CE6996"/>
    <w:rsid w:val="00DA1823"/>
    <w:rsid w:val="00E14C33"/>
    <w:rsid w:val="00E16E5E"/>
    <w:rsid w:val="00E53163"/>
    <w:rsid w:val="00E740A1"/>
    <w:rsid w:val="00E90167"/>
    <w:rsid w:val="00F4578F"/>
    <w:rsid w:val="00FA6A38"/>
    <w:rsid w:val="00FC42A7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0742FE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4405"/>
    <w:pPr>
      <w:ind w:left="720"/>
      <w:contextualSpacing/>
    </w:pPr>
  </w:style>
  <w:style w:type="paragraph" w:styleId="Nagwek">
    <w:name w:val="header"/>
    <w:basedOn w:val="Normalny"/>
    <w:link w:val="NagwekZnak"/>
    <w:rsid w:val="005302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3022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302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0228"/>
    <w:rPr>
      <w:sz w:val="24"/>
      <w:szCs w:val="24"/>
    </w:rPr>
  </w:style>
  <w:style w:type="character" w:styleId="Odwoaniedokomentarza">
    <w:name w:val="annotation reference"/>
    <w:basedOn w:val="Domylnaczcionkaakapitu"/>
    <w:rsid w:val="00AD581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58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D581F"/>
  </w:style>
  <w:style w:type="paragraph" w:styleId="Tematkomentarza">
    <w:name w:val="annotation subject"/>
    <w:basedOn w:val="Tekstkomentarza"/>
    <w:next w:val="Tekstkomentarza"/>
    <w:link w:val="TematkomentarzaZnak"/>
    <w:rsid w:val="00AD58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58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E2AB81-0FAC-4738-9698-1CCEAC421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5</Pages>
  <Words>1073</Words>
  <Characters>7316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Skwierzyńska Ilona</cp:lastModifiedBy>
  <cp:revision>24</cp:revision>
  <dcterms:created xsi:type="dcterms:W3CDTF">2021-11-29T09:17:00Z</dcterms:created>
  <dcterms:modified xsi:type="dcterms:W3CDTF">2021-12-02T09:06:00Z</dcterms:modified>
</cp:coreProperties>
</file>