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37FA4" w14:textId="637F437C" w:rsidR="00F565DF" w:rsidRDefault="00F565DF"/>
    <w:p w14:paraId="02BA7E77" w14:textId="4B108288" w:rsidR="00907C94" w:rsidRDefault="005B1EA6" w:rsidP="00907C94">
      <w:pPr>
        <w:pStyle w:val="Tytu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OCHRONA MIĘDZYNARODOWA</w:t>
      </w:r>
    </w:p>
    <w:p w14:paraId="536C7458" w14:textId="34CD08CF" w:rsidR="002E0B78" w:rsidRPr="002E0B78" w:rsidRDefault="002E0B78" w:rsidP="002E0B78">
      <w:pPr>
        <w:jc w:val="center"/>
        <w:rPr>
          <w:rFonts w:asciiTheme="majorHAnsi" w:eastAsiaTheme="majorEastAsia" w:hAnsiTheme="majorHAnsi" w:cstheme="majorBidi"/>
          <w:color w:val="002060"/>
          <w:spacing w:val="-10"/>
          <w:kern w:val="28"/>
        </w:rPr>
      </w:pP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 xml:space="preserve">(wg stanu na </w:t>
      </w:r>
      <w:r w:rsidR="00320B0D">
        <w:rPr>
          <w:rFonts w:asciiTheme="majorHAnsi" w:eastAsiaTheme="majorEastAsia" w:hAnsiTheme="majorHAnsi" w:cstheme="majorBidi"/>
          <w:color w:val="002060"/>
          <w:spacing w:val="-10"/>
          <w:kern w:val="28"/>
        </w:rPr>
        <w:t>1</w:t>
      </w: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>.</w:t>
      </w:r>
      <w:r w:rsidR="00320B0D">
        <w:rPr>
          <w:rFonts w:asciiTheme="majorHAnsi" w:eastAsiaTheme="majorEastAsia" w:hAnsiTheme="majorHAnsi" w:cstheme="majorBidi"/>
          <w:color w:val="002060"/>
          <w:spacing w:val="-10"/>
          <w:kern w:val="28"/>
        </w:rPr>
        <w:t>0</w:t>
      </w:r>
      <w:r w:rsidR="006E0D8F">
        <w:rPr>
          <w:rFonts w:asciiTheme="majorHAnsi" w:eastAsiaTheme="majorEastAsia" w:hAnsiTheme="majorHAnsi" w:cstheme="majorBidi"/>
          <w:color w:val="002060"/>
          <w:spacing w:val="-10"/>
          <w:kern w:val="28"/>
        </w:rPr>
        <w:t>4</w:t>
      </w: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>.202</w:t>
      </w:r>
      <w:r w:rsidR="00320B0D">
        <w:rPr>
          <w:rFonts w:asciiTheme="majorHAnsi" w:eastAsiaTheme="majorEastAsia" w:hAnsiTheme="majorHAnsi" w:cstheme="majorBidi"/>
          <w:color w:val="002060"/>
          <w:spacing w:val="-10"/>
          <w:kern w:val="28"/>
        </w:rPr>
        <w:t>6</w:t>
      </w: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>)</w:t>
      </w:r>
    </w:p>
    <w:p w14:paraId="155674B6" w14:textId="3C2509C1" w:rsidR="009F2B97" w:rsidRDefault="009F2B97" w:rsidP="009F2B97">
      <w:pPr>
        <w:ind w:firstLine="708"/>
        <w:jc w:val="both"/>
      </w:pPr>
      <w:r w:rsidRPr="009F2B97">
        <w:t xml:space="preserve">Analiza danych za pierwszy kwartał 2026 r. wskazuje na istotną zmianę dynamiki napływu wniosków o ochronę międzynarodową. Odnotowano </w:t>
      </w:r>
      <w:r w:rsidRPr="009F2B97">
        <w:rPr>
          <w:b/>
        </w:rPr>
        <w:t>1,6 tys. osób</w:t>
      </w:r>
      <w:r w:rsidRPr="009F2B97">
        <w:t xml:space="preserve"> ubiegających się o ochronę, co stanowi spadek o blisko 68% w porównaniu do analogicznego okresu 2025 r. (5 161 osób).</w:t>
      </w:r>
      <w:r>
        <w:t xml:space="preserve"> </w:t>
      </w:r>
      <w:r w:rsidRPr="009F2B97">
        <w:t xml:space="preserve">Głównym czynnikiem determinującym tę tendencję jest wyraźny spadek liczby wniosków składanych przez obywateli Ukrainy (607 osób w I kwartale 2026 r.), którzy coraz częściej korzystają </w:t>
      </w:r>
      <w:r>
        <w:br/>
      </w:r>
      <w:r w:rsidRPr="009F2B97">
        <w:t>z alternatywnych ścieżek legalizacji pobytu (np. zezwoleń na pobyt czasowy w celu podjęcia pracy). Jednocześnie utrzymuje się stabilna liczba wnioskodawców z Białorusi (506 osób) oraz Rosji (13</w:t>
      </w:r>
      <w:r>
        <w:t>7</w:t>
      </w:r>
      <w:r w:rsidRPr="009F2B97">
        <w:t xml:space="preserve"> osób), co wskazuje na stały charakter presji migracyjnej z tych kierunków.</w:t>
      </w:r>
    </w:p>
    <w:p w14:paraId="35F064A9" w14:textId="6D6DD647" w:rsidR="005B522C" w:rsidRDefault="007C50FA" w:rsidP="005F6ADF">
      <w:pPr>
        <w:jc w:val="center"/>
      </w:pPr>
      <w:r>
        <w:rPr>
          <w:noProof/>
        </w:rPr>
        <w:drawing>
          <wp:inline distT="0" distB="0" distL="0" distR="0" wp14:anchorId="59619E0C" wp14:editId="2234740C">
            <wp:extent cx="5768975" cy="2463800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C25FAD" w14:textId="5177E8D1" w:rsidR="009F2B97" w:rsidRDefault="009F2B97" w:rsidP="009F2B97">
      <w:pPr>
        <w:ind w:firstLine="708"/>
        <w:jc w:val="both"/>
      </w:pPr>
      <w:r w:rsidRPr="009F2B97">
        <w:t>Liczba wniosków w pierwszych trzech miesiącach 2026 roku utrzymuje się na bardzo stabilnym, niskim poziomie (średnio 546 osób miesięcznie). Wartości te są zbliżone do poziomów z początku 2024 roku</w:t>
      </w:r>
      <w:r>
        <w:t>.</w:t>
      </w:r>
    </w:p>
    <w:p w14:paraId="337200D9" w14:textId="77777777" w:rsidR="003E552C" w:rsidRDefault="003E552C" w:rsidP="00CF43CC">
      <w:pPr>
        <w:ind w:firstLine="708"/>
        <w:jc w:val="both"/>
      </w:pPr>
    </w:p>
    <w:p w14:paraId="43996F5B" w14:textId="5B3B6E8F" w:rsidR="003E552C" w:rsidRDefault="007C3BEB" w:rsidP="006D37FF">
      <w:pPr>
        <w:jc w:val="both"/>
      </w:pPr>
      <w:r>
        <w:rPr>
          <w:noProof/>
        </w:rPr>
        <w:drawing>
          <wp:inline distT="0" distB="0" distL="0" distR="0" wp14:anchorId="4F1AA9B7" wp14:editId="161D37D9">
            <wp:extent cx="5838825" cy="2743200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B163F1" w14:textId="77777777" w:rsidR="009F2B97" w:rsidRDefault="009F2B97" w:rsidP="00837876">
      <w:pPr>
        <w:ind w:firstLine="708"/>
        <w:jc w:val="both"/>
      </w:pPr>
    </w:p>
    <w:p w14:paraId="36C62598" w14:textId="0E11F0E8" w:rsidR="00AB4F53" w:rsidRDefault="00161062" w:rsidP="00837876">
      <w:pPr>
        <w:ind w:firstLine="708"/>
        <w:jc w:val="both"/>
        <w:rPr>
          <w:b/>
        </w:rPr>
      </w:pPr>
      <w:r w:rsidRPr="00DB10E5">
        <w:t>Wnioski o udzielenie ochrony w RP w 202</w:t>
      </w:r>
      <w:r w:rsidR="00870A72" w:rsidRPr="00DB10E5">
        <w:t>6</w:t>
      </w:r>
      <w:r w:rsidRPr="00DB10E5">
        <w:t xml:space="preserve"> r. zostały złożone przez o</w:t>
      </w:r>
      <w:r w:rsidR="00AC2479" w:rsidRPr="00DB10E5">
        <w:t>bywatel</w:t>
      </w:r>
      <w:r w:rsidRPr="00DB10E5">
        <w:t xml:space="preserve">i </w:t>
      </w:r>
      <w:r w:rsidR="0054173B" w:rsidRPr="00DB10E5">
        <w:t>64</w:t>
      </w:r>
      <w:r w:rsidR="00870A72" w:rsidRPr="00DB10E5">
        <w:t xml:space="preserve"> </w:t>
      </w:r>
      <w:r w:rsidRPr="00DB10E5">
        <w:t>państw</w:t>
      </w:r>
      <w:r w:rsidR="00AC2479" w:rsidRPr="00DB10E5">
        <w:t>, jednak g</w:t>
      </w:r>
      <w:r w:rsidR="005A20AF" w:rsidRPr="00DB10E5">
        <w:t xml:space="preserve">łównymi </w:t>
      </w:r>
      <w:r w:rsidR="00AC2479" w:rsidRPr="00DB10E5">
        <w:t>krajami</w:t>
      </w:r>
      <w:r w:rsidR="005A20AF" w:rsidRPr="00DB10E5">
        <w:t xml:space="preserve"> pochodzenia osób ubiegających się o ochronę międzynarodową </w:t>
      </w:r>
      <w:r w:rsidR="007D5E2A" w:rsidRPr="00DB10E5">
        <w:t>były</w:t>
      </w:r>
      <w:r w:rsidR="00457541" w:rsidRPr="00DB10E5">
        <w:t>:</w:t>
      </w:r>
      <w:r w:rsidR="00504554" w:rsidRPr="00DB10E5">
        <w:rPr>
          <w:b/>
        </w:rPr>
        <w:t xml:space="preserve"> </w:t>
      </w:r>
    </w:p>
    <w:p w14:paraId="29FCAF6F" w14:textId="77777777" w:rsidR="00610FA6" w:rsidRPr="00610FA6" w:rsidRDefault="00610FA6" w:rsidP="00610FA6">
      <w:pPr>
        <w:pStyle w:val="Akapitzlist"/>
        <w:numPr>
          <w:ilvl w:val="0"/>
          <w:numId w:val="2"/>
        </w:numPr>
        <w:jc w:val="both"/>
        <w:rPr>
          <w:b/>
        </w:rPr>
      </w:pPr>
      <w:r w:rsidRPr="00610FA6">
        <w:rPr>
          <w:b/>
        </w:rPr>
        <w:t xml:space="preserve">Ukraina </w:t>
      </w:r>
      <w:r w:rsidRPr="00610FA6">
        <w:t>– 607 osób (37% ogółu),</w:t>
      </w:r>
    </w:p>
    <w:p w14:paraId="5DE2F5E9" w14:textId="77777777" w:rsidR="00610FA6" w:rsidRPr="00610FA6" w:rsidRDefault="00610FA6" w:rsidP="00610FA6">
      <w:pPr>
        <w:pStyle w:val="Akapitzlist"/>
        <w:numPr>
          <w:ilvl w:val="0"/>
          <w:numId w:val="2"/>
        </w:numPr>
        <w:jc w:val="both"/>
        <w:rPr>
          <w:b/>
        </w:rPr>
      </w:pPr>
      <w:r w:rsidRPr="00610FA6">
        <w:rPr>
          <w:b/>
        </w:rPr>
        <w:t xml:space="preserve">Białoruś </w:t>
      </w:r>
      <w:r w:rsidRPr="00610FA6">
        <w:t>– 506 osób (31% ogółu),</w:t>
      </w:r>
    </w:p>
    <w:p w14:paraId="6700DB83" w14:textId="77777777" w:rsidR="00610FA6" w:rsidRPr="00610FA6" w:rsidRDefault="00610FA6" w:rsidP="00610FA6">
      <w:pPr>
        <w:pStyle w:val="Akapitzlist"/>
        <w:numPr>
          <w:ilvl w:val="0"/>
          <w:numId w:val="2"/>
        </w:numPr>
        <w:jc w:val="both"/>
        <w:rPr>
          <w:b/>
        </w:rPr>
      </w:pPr>
      <w:r w:rsidRPr="00610FA6">
        <w:rPr>
          <w:b/>
        </w:rPr>
        <w:t xml:space="preserve">Rosja </w:t>
      </w:r>
      <w:r w:rsidRPr="00610FA6">
        <w:t>– 137 osób (8% ogółu),</w:t>
      </w:r>
    </w:p>
    <w:p w14:paraId="26F211B3" w14:textId="77777777" w:rsidR="00610FA6" w:rsidRPr="00610FA6" w:rsidRDefault="00610FA6" w:rsidP="00610FA6">
      <w:pPr>
        <w:pStyle w:val="Akapitzlist"/>
        <w:numPr>
          <w:ilvl w:val="0"/>
          <w:numId w:val="2"/>
        </w:numPr>
        <w:jc w:val="both"/>
      </w:pPr>
      <w:r w:rsidRPr="00610FA6">
        <w:rPr>
          <w:b/>
        </w:rPr>
        <w:t xml:space="preserve">Tadżykistan </w:t>
      </w:r>
      <w:r w:rsidRPr="00610FA6">
        <w:t>– 53 osoby (3% ogółu),</w:t>
      </w:r>
    </w:p>
    <w:p w14:paraId="61539BD7" w14:textId="2F9DC317" w:rsidR="00610FA6" w:rsidRPr="00610FA6" w:rsidRDefault="00610FA6" w:rsidP="00610FA6">
      <w:pPr>
        <w:pStyle w:val="Akapitzlist"/>
        <w:numPr>
          <w:ilvl w:val="0"/>
          <w:numId w:val="2"/>
        </w:numPr>
        <w:jc w:val="both"/>
        <w:rPr>
          <w:b/>
        </w:rPr>
      </w:pPr>
      <w:r w:rsidRPr="00610FA6">
        <w:rPr>
          <w:b/>
        </w:rPr>
        <w:t xml:space="preserve">Mołdawia </w:t>
      </w:r>
      <w:r w:rsidRPr="00610FA6">
        <w:t>– 24 osoby (1,5% ogółu)</w:t>
      </w:r>
    </w:p>
    <w:p w14:paraId="48230578" w14:textId="600C54C6" w:rsidR="004E07FC" w:rsidRDefault="00D5394F" w:rsidP="00837876">
      <w:pPr>
        <w:ind w:firstLine="708"/>
        <w:jc w:val="both"/>
      </w:pPr>
      <w:r>
        <w:t>W</w:t>
      </w:r>
      <w:r w:rsidR="00AC2479">
        <w:t>arto zauważyć, że</w:t>
      </w:r>
      <w:r w:rsidR="00B34AD4">
        <w:t xml:space="preserve"> </w:t>
      </w:r>
      <w:r w:rsidR="007F189B">
        <w:t>w</w:t>
      </w:r>
      <w:r w:rsidR="007F189B" w:rsidRPr="007F189B">
        <w:t xml:space="preserve">nioski </w:t>
      </w:r>
      <w:r w:rsidR="007F189B">
        <w:t xml:space="preserve">trzech pierwszych państw </w:t>
      </w:r>
      <w:r w:rsidR="007F189B" w:rsidRPr="007F189B">
        <w:t xml:space="preserve">stanowią łącznie </w:t>
      </w:r>
      <w:r w:rsidR="00331BBC">
        <w:t>7</w:t>
      </w:r>
      <w:r w:rsidR="003D4FD0">
        <w:t>6</w:t>
      </w:r>
      <w:r w:rsidR="007F189B" w:rsidRPr="007F189B">
        <w:t>% wszystkich spraw</w:t>
      </w:r>
      <w:r w:rsidR="00610FA6">
        <w:t>.</w:t>
      </w:r>
      <w:r w:rsidR="007F189B">
        <w:t xml:space="preserve">, </w:t>
      </w:r>
      <w:r w:rsidR="00610FA6" w:rsidRPr="00610FA6">
        <w:t xml:space="preserve">Podczas gdy w większości grup z TOP 5 odnotowano wyraźne spadki (Ukraina – regres o 81%, Białoruś – spadek o 41%, Rosja i Tadżykistan – spadki po 48%), </w:t>
      </w:r>
      <w:r w:rsidR="00610FA6" w:rsidRPr="00610FA6">
        <w:rPr>
          <w:b/>
        </w:rPr>
        <w:t>odmienną tendencję wykazują obywatele Mołdawii</w:t>
      </w:r>
      <w:r w:rsidR="00610FA6" w:rsidRPr="00610FA6">
        <w:t xml:space="preserve">. W ich przypadku odnotowano </w:t>
      </w:r>
      <w:r w:rsidR="00610FA6" w:rsidRPr="00610FA6">
        <w:rPr>
          <w:b/>
        </w:rPr>
        <w:t>wzrost liczby wniosków o 50%</w:t>
      </w:r>
      <w:r w:rsidR="00610FA6" w:rsidRPr="00610FA6">
        <w:t xml:space="preserve"> – z 16 osób w pierwszym kwartale 2025 r.</w:t>
      </w:r>
      <w:r w:rsidR="00610FA6" w:rsidRPr="00610FA6">
        <w:rPr>
          <w:b/>
        </w:rPr>
        <w:t xml:space="preserve"> do 24 osób</w:t>
      </w:r>
      <w:r w:rsidR="00610FA6" w:rsidRPr="00610FA6">
        <w:t xml:space="preserve"> w analogicznym okresie roku 2026. Choć w liczbach bezwzględnych jest to grupa nieliczna, stanowi ona jedyny rosnący kierunek w ścisłej czołówce zestawienia</w:t>
      </w:r>
      <w:r w:rsidR="00610FA6">
        <w:t xml:space="preserve">. </w:t>
      </w:r>
      <w:r w:rsidR="008115EA" w:rsidRPr="008115EA">
        <w:t xml:space="preserve">Spadek liczby </w:t>
      </w:r>
      <w:r w:rsidR="008115EA">
        <w:t xml:space="preserve">ogólnej liczby </w:t>
      </w:r>
      <w:r w:rsidR="008115EA" w:rsidRPr="008115EA">
        <w:t xml:space="preserve">wniosków </w:t>
      </w:r>
      <w:r w:rsidR="008115EA">
        <w:t xml:space="preserve">jest </w:t>
      </w:r>
      <w:r w:rsidR="008115EA" w:rsidRPr="008115EA">
        <w:t>powiązany z</w:t>
      </w:r>
      <w:r w:rsidR="008115EA">
        <w:t>e zmianą podejścia do wniosków ukraińskich (od marca 2025</w:t>
      </w:r>
      <w:r w:rsidR="00A02E93">
        <w:t xml:space="preserve"> r.</w:t>
      </w:r>
      <w:r w:rsidR="008115EA">
        <w:t>) oraz</w:t>
      </w:r>
      <w:r w:rsidR="008115EA" w:rsidRPr="008115EA">
        <w:t xml:space="preserve"> </w:t>
      </w:r>
      <w:r w:rsidR="008115EA">
        <w:t xml:space="preserve">kolejnym </w:t>
      </w:r>
      <w:r w:rsidR="008115EA" w:rsidRPr="008115EA">
        <w:t>przedłuż</w:t>
      </w:r>
      <w:r w:rsidR="008115EA">
        <w:t>e</w:t>
      </w:r>
      <w:r w:rsidR="008115EA" w:rsidRPr="008115EA">
        <w:t>n</w:t>
      </w:r>
      <w:r w:rsidR="008115EA">
        <w:t>iem</w:t>
      </w:r>
      <w:r w:rsidR="008115EA" w:rsidRPr="008115EA">
        <w:t xml:space="preserve"> czasowe</w:t>
      </w:r>
      <w:r w:rsidR="001A19FE">
        <w:t>go</w:t>
      </w:r>
      <w:r w:rsidR="008115EA" w:rsidRPr="008115EA">
        <w:t xml:space="preserve"> ograniczeni</w:t>
      </w:r>
      <w:r w:rsidR="001A19FE">
        <w:t>a</w:t>
      </w:r>
      <w:r w:rsidR="008115EA" w:rsidRPr="008115EA">
        <w:t xml:space="preserve"> prawa do składania wniosków na odcink</w:t>
      </w:r>
      <w:r w:rsidR="008115EA">
        <w:t>u</w:t>
      </w:r>
      <w:r w:rsidR="008115EA" w:rsidRPr="008115EA">
        <w:t xml:space="preserve"> granicy </w:t>
      </w:r>
      <w:r w:rsidR="008115EA">
        <w:t xml:space="preserve">z Białorusią. </w:t>
      </w:r>
    </w:p>
    <w:p w14:paraId="7F32267E" w14:textId="7D764FD4" w:rsidR="00F333D0" w:rsidRDefault="00971EE0" w:rsidP="00837876">
      <w:pPr>
        <w:ind w:firstLine="708"/>
        <w:jc w:val="both"/>
      </w:pPr>
      <w:r w:rsidRPr="00EB76AC">
        <w:rPr>
          <w:b/>
        </w:rPr>
        <w:t>Placówka Straży Granicznej w Warszawie</w:t>
      </w:r>
      <w:r w:rsidRPr="00971EE0">
        <w:t xml:space="preserve"> pozostaje głównym punktem rejestracji wniosków </w:t>
      </w:r>
      <w:r w:rsidRPr="00EB76AC">
        <w:rPr>
          <w:b/>
        </w:rPr>
        <w:t>(</w:t>
      </w:r>
      <w:r w:rsidR="00EB03DD">
        <w:rPr>
          <w:b/>
        </w:rPr>
        <w:t>39</w:t>
      </w:r>
      <w:r w:rsidRPr="00EB76AC">
        <w:rPr>
          <w:b/>
        </w:rPr>
        <w:t>%),</w:t>
      </w:r>
      <w:r w:rsidRPr="00971EE0">
        <w:t xml:space="preserve"> co wynika z faktu, że to tu trafia większość osób przebywających już na terytorium Polski</w:t>
      </w:r>
      <w:r>
        <w:t xml:space="preserve">. </w:t>
      </w:r>
      <w:r w:rsidR="00610FA6" w:rsidRPr="00610FA6">
        <w:t xml:space="preserve">Znaczący udział w rejestracji mają również jednostki na wschodniej granicy państwa, w tym Podlaski </w:t>
      </w:r>
      <w:r w:rsidR="00610FA6">
        <w:t>OSG</w:t>
      </w:r>
      <w:r w:rsidR="00610FA6" w:rsidRPr="00610FA6">
        <w:t xml:space="preserve"> (6%). Pozostałe ośrodki o zwiększonej dynamice to PSG w Krakowie-Balicach oraz PSG we Wrocławiu-</w:t>
      </w:r>
      <w:proofErr w:type="spellStart"/>
      <w:r w:rsidR="00610FA6" w:rsidRPr="00610FA6">
        <w:t>Strachowicach</w:t>
      </w:r>
      <w:proofErr w:type="spellEnd"/>
      <w:r w:rsidR="00610FA6" w:rsidRPr="00610FA6">
        <w:t xml:space="preserve"> (po 4% rejestracji), co potwierdza kluczową rolę lotniczych przejść granicznych</w:t>
      </w:r>
    </w:p>
    <w:p w14:paraId="17DE87EB" w14:textId="58B97454" w:rsidR="00D112EA" w:rsidRDefault="00CF43CC" w:rsidP="00837876">
      <w:pPr>
        <w:ind w:firstLine="708"/>
        <w:jc w:val="both"/>
      </w:pPr>
      <w:r w:rsidRPr="00587DFC">
        <w:t xml:space="preserve">Z analizy wstępnych danych europejskich </w:t>
      </w:r>
      <w:r w:rsidR="00EB76AC" w:rsidRPr="00587DFC">
        <w:t xml:space="preserve">(EUAA) </w:t>
      </w:r>
      <w:r w:rsidRPr="00587DFC">
        <w:t xml:space="preserve">wynika, że </w:t>
      </w:r>
      <w:r w:rsidR="004F508A" w:rsidRPr="00587DFC">
        <w:rPr>
          <w:b/>
        </w:rPr>
        <w:t xml:space="preserve">do końca </w:t>
      </w:r>
      <w:r w:rsidR="00FD2296" w:rsidRPr="00587DFC">
        <w:rPr>
          <w:b/>
        </w:rPr>
        <w:t>marca</w:t>
      </w:r>
      <w:r w:rsidR="001E7F70" w:rsidRPr="00587DFC">
        <w:rPr>
          <w:b/>
        </w:rPr>
        <w:t xml:space="preserve"> 2026 r. w całej Europie złożono ok. </w:t>
      </w:r>
      <w:r w:rsidR="000D0ABE" w:rsidRPr="00587DFC">
        <w:rPr>
          <w:b/>
        </w:rPr>
        <w:t>1</w:t>
      </w:r>
      <w:r w:rsidR="00F41843" w:rsidRPr="00587DFC">
        <w:rPr>
          <w:b/>
        </w:rPr>
        <w:t>81</w:t>
      </w:r>
      <w:r w:rsidR="001E7F70" w:rsidRPr="00587DFC">
        <w:rPr>
          <w:b/>
        </w:rPr>
        <w:t xml:space="preserve"> tys. wniosków.</w:t>
      </w:r>
      <w:r w:rsidR="001E7F70" w:rsidRPr="00587DFC">
        <w:t xml:space="preserve"> </w:t>
      </w:r>
      <w:r w:rsidR="00EB03DD" w:rsidRPr="00587DFC">
        <w:t>Ogólna presja migracyjna w Europie wykazuje tendencję spadkową (</w:t>
      </w:r>
      <w:r w:rsidR="00D112EA">
        <w:t xml:space="preserve">odnotowano </w:t>
      </w:r>
      <w:r w:rsidR="00EB03DD" w:rsidRPr="00587DFC">
        <w:rPr>
          <w:b/>
        </w:rPr>
        <w:t>spadek o 1</w:t>
      </w:r>
      <w:r w:rsidR="00293873" w:rsidRPr="00587DFC">
        <w:rPr>
          <w:b/>
        </w:rPr>
        <w:t>9</w:t>
      </w:r>
      <w:r w:rsidR="00EB03DD" w:rsidRPr="00587DFC">
        <w:rPr>
          <w:b/>
        </w:rPr>
        <w:t>%</w:t>
      </w:r>
      <w:r w:rsidR="00EB03DD" w:rsidRPr="00587DFC">
        <w:t xml:space="preserve"> w porównaniu do analogicznego okresu w 2025 r.). Polska, </w:t>
      </w:r>
      <w:r w:rsidR="00D112EA">
        <w:br/>
      </w:r>
      <w:r w:rsidR="00EB03DD" w:rsidRPr="00587DFC">
        <w:t xml:space="preserve">z liczbą </w:t>
      </w:r>
      <w:r w:rsidR="00EB03DD" w:rsidRPr="00587DFC">
        <w:rPr>
          <w:b/>
        </w:rPr>
        <w:t>1,</w:t>
      </w:r>
      <w:r w:rsidR="00D112EA">
        <w:rPr>
          <w:b/>
        </w:rPr>
        <w:t>8</w:t>
      </w:r>
      <w:r w:rsidR="00EB03DD" w:rsidRPr="00587DFC">
        <w:rPr>
          <w:b/>
        </w:rPr>
        <w:t xml:space="preserve"> tys</w:t>
      </w:r>
      <w:r w:rsidR="00EB03DD" w:rsidRPr="00587DFC">
        <w:t xml:space="preserve">. wnioskodawców, </w:t>
      </w:r>
      <w:r w:rsidR="00D112EA">
        <w:t>zajmuje</w:t>
      </w:r>
      <w:r w:rsidR="00EB03DD" w:rsidRPr="00587DFC">
        <w:t xml:space="preserve"> </w:t>
      </w:r>
      <w:r w:rsidR="00EB03DD" w:rsidRPr="00587DFC">
        <w:rPr>
          <w:b/>
        </w:rPr>
        <w:t>1</w:t>
      </w:r>
      <w:r w:rsidR="001D1809">
        <w:rPr>
          <w:b/>
        </w:rPr>
        <w:t>2</w:t>
      </w:r>
      <w:r w:rsidR="00EB03DD" w:rsidRPr="00587DFC">
        <w:rPr>
          <w:b/>
        </w:rPr>
        <w:t>. miejsc</w:t>
      </w:r>
      <w:r w:rsidR="00D112EA">
        <w:rPr>
          <w:b/>
        </w:rPr>
        <w:t>e</w:t>
      </w:r>
      <w:r w:rsidR="00EB03DD" w:rsidRPr="00587DFC">
        <w:t xml:space="preserve"> </w:t>
      </w:r>
      <w:r w:rsidR="00D112EA">
        <w:t>wśród</w:t>
      </w:r>
      <w:r w:rsidR="00EB03DD" w:rsidRPr="00587DFC">
        <w:t xml:space="preserve"> krajów przyjmujących. Co istotne, </w:t>
      </w:r>
      <w:r w:rsidR="00D112EA" w:rsidRPr="00D112EA">
        <w:t xml:space="preserve">Polska odnotowała </w:t>
      </w:r>
      <w:r w:rsidR="00D112EA" w:rsidRPr="00D112EA">
        <w:rPr>
          <w:b/>
        </w:rPr>
        <w:t>najwyższy spadek liczby wniosków</w:t>
      </w:r>
      <w:r w:rsidR="00D112EA" w:rsidRPr="00D112EA">
        <w:t xml:space="preserve"> w całej stawce – aż </w:t>
      </w:r>
      <w:r w:rsidR="00D112EA" w:rsidRPr="00D112EA">
        <w:rPr>
          <w:b/>
        </w:rPr>
        <w:t>o 67%</w:t>
      </w:r>
      <w:r w:rsidR="00D112EA" w:rsidRPr="00D112EA">
        <w:t xml:space="preserve"> (średnia unijna to -19%)</w:t>
      </w:r>
      <w:r w:rsidR="00D112EA">
        <w:t xml:space="preserve"> </w:t>
      </w:r>
      <w:r w:rsidR="00D112EA">
        <w:br/>
      </w:r>
      <w:r w:rsidR="00D112EA">
        <w:t>w porównaniu do analogicznego okresu w 2025 r.</w:t>
      </w:r>
      <w:r w:rsidR="00D112EA">
        <w:t xml:space="preserve"> </w:t>
      </w:r>
      <w:r w:rsidR="00D112EA" w:rsidRPr="00D112EA">
        <w:t>Za blisko 74% wszystkich</w:t>
      </w:r>
      <w:r w:rsidR="00D112EA">
        <w:t xml:space="preserve"> wniosków</w:t>
      </w:r>
      <w:r w:rsidR="00D112EA" w:rsidRPr="00D112EA">
        <w:t xml:space="preserve"> </w:t>
      </w:r>
      <w:r w:rsidR="00D112EA">
        <w:t xml:space="preserve">złożonych </w:t>
      </w:r>
      <w:r w:rsidR="00D112EA">
        <w:br/>
      </w:r>
      <w:r w:rsidR="00D112EA" w:rsidRPr="00D112EA">
        <w:t>w Europie odpowiadają zaledwie cztery państwa:</w:t>
      </w:r>
    </w:p>
    <w:p w14:paraId="016EC941" w14:textId="37C3AB18" w:rsidR="00D112EA" w:rsidRDefault="00D112EA" w:rsidP="00D112EA">
      <w:pPr>
        <w:pStyle w:val="Akapitzlist"/>
        <w:numPr>
          <w:ilvl w:val="0"/>
          <w:numId w:val="3"/>
        </w:numPr>
        <w:jc w:val="both"/>
      </w:pPr>
      <w:r w:rsidRPr="00D112EA">
        <w:rPr>
          <w:b/>
        </w:rPr>
        <w:t>Włochy:</w:t>
      </w:r>
      <w:r>
        <w:t xml:space="preserve"> 35 </w:t>
      </w:r>
      <w:r>
        <w:t>tys.</w:t>
      </w:r>
      <w:r>
        <w:t xml:space="preserve"> wniosków (19,4% ogółu),</w:t>
      </w:r>
    </w:p>
    <w:p w14:paraId="122B65C2" w14:textId="030AD4C8" w:rsidR="00D112EA" w:rsidRDefault="00D112EA" w:rsidP="00D112EA">
      <w:pPr>
        <w:pStyle w:val="Akapitzlist"/>
        <w:numPr>
          <w:ilvl w:val="0"/>
          <w:numId w:val="3"/>
        </w:numPr>
        <w:jc w:val="both"/>
      </w:pPr>
      <w:r w:rsidRPr="00D112EA">
        <w:rPr>
          <w:b/>
        </w:rPr>
        <w:t>Francja:</w:t>
      </w:r>
      <w:r>
        <w:t xml:space="preserve"> 34</w:t>
      </w:r>
      <w:r>
        <w:t>,</w:t>
      </w:r>
      <w:r>
        <w:t>6</w:t>
      </w:r>
      <w:r>
        <w:t xml:space="preserve"> tys.</w:t>
      </w:r>
      <w:r>
        <w:t xml:space="preserve"> wniosk</w:t>
      </w:r>
      <w:r>
        <w:t>ów</w:t>
      </w:r>
      <w:r>
        <w:t xml:space="preserve"> (19,1% ogółu),</w:t>
      </w:r>
    </w:p>
    <w:p w14:paraId="25EB7E39" w14:textId="2EEBFF43" w:rsidR="00D112EA" w:rsidRDefault="00D112EA" w:rsidP="00D112EA">
      <w:pPr>
        <w:pStyle w:val="Akapitzlist"/>
        <w:numPr>
          <w:ilvl w:val="0"/>
          <w:numId w:val="3"/>
        </w:numPr>
        <w:jc w:val="both"/>
      </w:pPr>
      <w:r w:rsidRPr="00D112EA">
        <w:rPr>
          <w:b/>
        </w:rPr>
        <w:t>Hiszpania:</w:t>
      </w:r>
      <w:r>
        <w:t xml:space="preserve"> 33</w:t>
      </w:r>
      <w:r>
        <w:t>,7 tys.</w:t>
      </w:r>
      <w:r>
        <w:t xml:space="preserve"> wniosk</w:t>
      </w:r>
      <w:r>
        <w:t>ów</w:t>
      </w:r>
      <w:r>
        <w:t xml:space="preserve"> (18,6% ogółu),</w:t>
      </w:r>
    </w:p>
    <w:p w14:paraId="5DB09002" w14:textId="5A9C758C" w:rsidR="00D112EA" w:rsidRDefault="00D112EA" w:rsidP="00D112EA">
      <w:pPr>
        <w:pStyle w:val="Akapitzlist"/>
        <w:numPr>
          <w:ilvl w:val="0"/>
          <w:numId w:val="3"/>
        </w:numPr>
        <w:jc w:val="both"/>
      </w:pPr>
      <w:r w:rsidRPr="00D112EA">
        <w:rPr>
          <w:b/>
        </w:rPr>
        <w:t>Niemcy:</w:t>
      </w:r>
      <w:r>
        <w:t xml:space="preserve"> 30 </w:t>
      </w:r>
      <w:r>
        <w:t>tys.</w:t>
      </w:r>
      <w:r>
        <w:t xml:space="preserve"> wniosków (16,6% ogółu).</w:t>
      </w:r>
    </w:p>
    <w:p w14:paraId="0DE89CFB" w14:textId="34B098B2" w:rsidR="00A037C2" w:rsidRDefault="00A037C2" w:rsidP="00A037C2">
      <w:pPr>
        <w:ind w:firstLine="360"/>
        <w:jc w:val="both"/>
      </w:pPr>
      <w:r w:rsidRPr="00027AF7">
        <w:t>Dane Europejskiej Agencji ds. Azylu potwierdzają specyficzną rolę Polski w przyjmowaniu obywateli państw bloku wschodniego, przy jednoczesnym odnotowaniu dużych spadków w tych grupach:</w:t>
      </w:r>
    </w:p>
    <w:p w14:paraId="1C2A3172" w14:textId="56EB6876" w:rsidR="00A037C2" w:rsidRPr="00D112EA" w:rsidRDefault="00A037C2" w:rsidP="00A037C2">
      <w:pPr>
        <w:pStyle w:val="Akapitzlist"/>
        <w:numPr>
          <w:ilvl w:val="0"/>
          <w:numId w:val="1"/>
        </w:numPr>
        <w:jc w:val="both"/>
      </w:pPr>
      <w:r w:rsidRPr="00093D6F">
        <w:rPr>
          <w:u w:val="single"/>
        </w:rPr>
        <w:t>Ukraińcy:</w:t>
      </w:r>
      <w:r w:rsidRPr="00093D6F">
        <w:t xml:space="preserve"> W ogólnym zestawieniu zajmują </w:t>
      </w:r>
      <w:r w:rsidRPr="00093D6F">
        <w:rPr>
          <w:b/>
        </w:rPr>
        <w:t>1</w:t>
      </w:r>
      <w:r w:rsidR="00D865DA" w:rsidRPr="00093D6F">
        <w:rPr>
          <w:b/>
        </w:rPr>
        <w:t>2</w:t>
      </w:r>
      <w:r w:rsidRPr="00093D6F">
        <w:rPr>
          <w:b/>
        </w:rPr>
        <w:t>. miejsce</w:t>
      </w:r>
      <w:r w:rsidRPr="00093D6F">
        <w:t xml:space="preserve"> (</w:t>
      </w:r>
      <w:r w:rsidR="009C2474" w:rsidRPr="00093D6F">
        <w:t>4</w:t>
      </w:r>
      <w:r w:rsidRPr="00093D6F">
        <w:t>,</w:t>
      </w:r>
      <w:r w:rsidR="009C2474" w:rsidRPr="00093D6F">
        <w:t>2</w:t>
      </w:r>
      <w:r w:rsidRPr="00093D6F">
        <w:t xml:space="preserve"> tys. wniosków w skali EU+). Odnotowano gwałtowny spadek o </w:t>
      </w:r>
      <w:r w:rsidRPr="00093D6F">
        <w:rPr>
          <w:b/>
        </w:rPr>
        <w:t>5</w:t>
      </w:r>
      <w:r w:rsidR="00093D6F" w:rsidRPr="00093D6F">
        <w:rPr>
          <w:b/>
        </w:rPr>
        <w:t>9</w:t>
      </w:r>
      <w:r w:rsidRPr="00093D6F">
        <w:rPr>
          <w:b/>
        </w:rPr>
        <w:t>%.</w:t>
      </w:r>
      <w:r w:rsidRPr="00093D6F">
        <w:t xml:space="preserve"> Polska jest dla nich drugim najważniejszym krajem docelowym (</w:t>
      </w:r>
      <w:r w:rsidRPr="00093D6F">
        <w:rPr>
          <w:b/>
        </w:rPr>
        <w:t xml:space="preserve">16% </w:t>
      </w:r>
      <w:r w:rsidRPr="00093D6F">
        <w:t>wniosków), po Francji (</w:t>
      </w:r>
      <w:r w:rsidRPr="00093D6F">
        <w:rPr>
          <w:b/>
        </w:rPr>
        <w:t>53%</w:t>
      </w:r>
      <w:r w:rsidR="003742AB">
        <w:rPr>
          <w:bCs/>
        </w:rPr>
        <w:t>)</w:t>
      </w:r>
      <w:r w:rsidR="00D112EA" w:rsidRPr="00D112EA">
        <w:t xml:space="preserve">, a przed Niemcami </w:t>
      </w:r>
      <w:r w:rsidR="00D112EA" w:rsidRPr="00D112EA">
        <w:rPr>
          <w:b/>
        </w:rPr>
        <w:t>(6%).</w:t>
      </w:r>
    </w:p>
    <w:p w14:paraId="39816210" w14:textId="08700A4A" w:rsidR="006346BE" w:rsidRDefault="006346BE" w:rsidP="006346BE">
      <w:pPr>
        <w:pStyle w:val="Akapitzlist"/>
        <w:numPr>
          <w:ilvl w:val="0"/>
          <w:numId w:val="1"/>
        </w:numPr>
        <w:jc w:val="both"/>
      </w:pPr>
      <w:r w:rsidRPr="00AD4B61">
        <w:rPr>
          <w:u w:val="single"/>
        </w:rPr>
        <w:t>Białorusini:</w:t>
      </w:r>
      <w:r w:rsidRPr="00AD4B61">
        <w:t xml:space="preserve"> </w:t>
      </w:r>
      <w:r w:rsidR="008956C3" w:rsidRPr="008956C3">
        <w:t>Polska pozostaje absolutnym liderem w tej kategorii</w:t>
      </w:r>
      <w:r w:rsidRPr="00AD4B61">
        <w:t>, przyjmując 90% wniosków od obywateli tego kraju w skali całej Europy</w:t>
      </w:r>
      <w:r w:rsidR="00162E74">
        <w:t>.</w:t>
      </w:r>
    </w:p>
    <w:p w14:paraId="029B85FE" w14:textId="3FEC82FD" w:rsidR="001E7F70" w:rsidRPr="008956C3" w:rsidRDefault="001E7F70" w:rsidP="00E26312">
      <w:pPr>
        <w:pStyle w:val="Akapitzlist"/>
        <w:numPr>
          <w:ilvl w:val="0"/>
          <w:numId w:val="1"/>
        </w:numPr>
        <w:jc w:val="both"/>
      </w:pPr>
      <w:r w:rsidRPr="00A4382E">
        <w:rPr>
          <w:u w:val="single"/>
        </w:rPr>
        <w:lastRenderedPageBreak/>
        <w:t>Rosjanie:</w:t>
      </w:r>
      <w:r w:rsidRPr="00A4382E">
        <w:t xml:space="preserve"> </w:t>
      </w:r>
      <w:r w:rsidR="00A037C2" w:rsidRPr="00A4382E">
        <w:t>Polska znajduje się w TOP 5 państw przyjmujących wnioski</w:t>
      </w:r>
      <w:r w:rsidR="008956C3">
        <w:t xml:space="preserve">, </w:t>
      </w:r>
      <w:r w:rsidR="00A037C2" w:rsidRPr="00A4382E">
        <w:t xml:space="preserve">zajmując 3. miejsce </w:t>
      </w:r>
      <w:r w:rsidR="008956C3">
        <w:t xml:space="preserve">(6%) </w:t>
      </w:r>
      <w:r w:rsidR="00A037C2" w:rsidRPr="00A4382E">
        <w:t xml:space="preserve">po Niemczech </w:t>
      </w:r>
      <w:r w:rsidR="008956C3">
        <w:t>(</w:t>
      </w:r>
      <w:r w:rsidR="00A037C2" w:rsidRPr="00A4382E">
        <w:t>33%</w:t>
      </w:r>
      <w:r w:rsidR="008956C3">
        <w:t>)</w:t>
      </w:r>
      <w:r w:rsidR="00A037C2" w:rsidRPr="00A4382E">
        <w:t xml:space="preserve"> i Francji </w:t>
      </w:r>
      <w:r w:rsidR="008956C3">
        <w:t>(</w:t>
      </w:r>
      <w:r w:rsidR="00A037C2" w:rsidRPr="00A4382E">
        <w:t>2</w:t>
      </w:r>
      <w:r w:rsidR="00A4382E" w:rsidRPr="00A4382E">
        <w:t>5</w:t>
      </w:r>
      <w:r w:rsidR="00A037C2" w:rsidRPr="00A4382E">
        <w:t>%)</w:t>
      </w:r>
      <w:r w:rsidR="008956C3" w:rsidRPr="008956C3">
        <w:t xml:space="preserve">, a przed Hiszpanią (6%) i Austrią (5%). </w:t>
      </w:r>
      <w:r w:rsidR="00A037C2" w:rsidRPr="00A4382E">
        <w:t xml:space="preserve"> Liczba wniosków od Rosjan w skali Europy </w:t>
      </w:r>
      <w:r w:rsidR="008956C3">
        <w:t xml:space="preserve">(2,4 tys.) </w:t>
      </w:r>
      <w:r w:rsidR="00A037C2" w:rsidRPr="00A4382E">
        <w:t xml:space="preserve">spadła o </w:t>
      </w:r>
      <w:r w:rsidR="00A037C2" w:rsidRPr="00A4382E">
        <w:rPr>
          <w:b/>
        </w:rPr>
        <w:t>2</w:t>
      </w:r>
      <w:r w:rsidR="00A4382E" w:rsidRPr="00A4382E">
        <w:rPr>
          <w:b/>
        </w:rPr>
        <w:t>8</w:t>
      </w:r>
      <w:r w:rsidR="00A037C2" w:rsidRPr="00A4382E">
        <w:rPr>
          <w:b/>
        </w:rPr>
        <w:t>%.</w:t>
      </w:r>
    </w:p>
    <w:p w14:paraId="1E946918" w14:textId="406C105B" w:rsidR="006346BE" w:rsidRDefault="006346BE" w:rsidP="00A62FFF">
      <w:pPr>
        <w:pStyle w:val="Akapitzlist"/>
        <w:numPr>
          <w:ilvl w:val="0"/>
          <w:numId w:val="1"/>
        </w:numPr>
        <w:jc w:val="both"/>
      </w:pPr>
      <w:r w:rsidRPr="00537F62">
        <w:rPr>
          <w:u w:val="single"/>
        </w:rPr>
        <w:t>Afgańczycy</w:t>
      </w:r>
      <w:r w:rsidRPr="00537F62">
        <w:t xml:space="preserve">: </w:t>
      </w:r>
      <w:r w:rsidR="00A037C2" w:rsidRPr="00537F62">
        <w:t xml:space="preserve">Pozostają najliczniejszą grupą narodowościową w Europie (ok. </w:t>
      </w:r>
      <w:r w:rsidR="00A11DFA" w:rsidRPr="00537F62">
        <w:t>22</w:t>
      </w:r>
      <w:r w:rsidR="00A037C2" w:rsidRPr="00537F62">
        <w:t xml:space="preserve"> tys. wniosków). </w:t>
      </w:r>
      <w:r w:rsidR="008956C3">
        <w:br/>
        <w:t>W</w:t>
      </w:r>
      <w:r w:rsidR="00ED2C6E" w:rsidRPr="00537F62">
        <w:t xml:space="preserve"> I kwarta</w:t>
      </w:r>
      <w:r w:rsidR="008956C3">
        <w:t xml:space="preserve">le </w:t>
      </w:r>
      <w:r w:rsidR="00ED2C6E" w:rsidRPr="00537F62">
        <w:t xml:space="preserve"> 2026 r.</w:t>
      </w:r>
      <w:r w:rsidR="00115F50" w:rsidRPr="00537F62">
        <w:t xml:space="preserve"> o</w:t>
      </w:r>
      <w:r w:rsidR="00A037C2" w:rsidRPr="00537F62">
        <w:t xml:space="preserve">dnotowano </w:t>
      </w:r>
      <w:r w:rsidR="008956C3">
        <w:t>niewielki</w:t>
      </w:r>
      <w:r w:rsidR="00A037C2" w:rsidRPr="00537F62">
        <w:t xml:space="preserve"> </w:t>
      </w:r>
      <w:r w:rsidR="00A11DFA" w:rsidRPr="00537F62">
        <w:t>spadek</w:t>
      </w:r>
      <w:r w:rsidR="00A037C2" w:rsidRPr="00537F62">
        <w:t xml:space="preserve"> o </w:t>
      </w:r>
      <w:r w:rsidR="00A11DFA" w:rsidRPr="00537F62">
        <w:rPr>
          <w:b/>
        </w:rPr>
        <w:t>3</w:t>
      </w:r>
      <w:r w:rsidR="00A037C2" w:rsidRPr="00537F62">
        <w:rPr>
          <w:b/>
        </w:rPr>
        <w:t>%.</w:t>
      </w:r>
      <w:r w:rsidR="00A037C2" w:rsidRPr="00537F62">
        <w:t xml:space="preserve"> </w:t>
      </w:r>
      <w:r w:rsidR="008956C3">
        <w:t>Ponad</w:t>
      </w:r>
      <w:r w:rsidR="00115F50" w:rsidRPr="00537F62">
        <w:t xml:space="preserve"> </w:t>
      </w:r>
      <w:r w:rsidR="00A037C2" w:rsidRPr="00537F62">
        <w:t xml:space="preserve">połowa z nich </w:t>
      </w:r>
      <w:r w:rsidR="00956B7A">
        <w:rPr>
          <w:b/>
          <w:bCs/>
        </w:rPr>
        <w:t>(</w:t>
      </w:r>
      <w:r w:rsidR="00A037C2" w:rsidRPr="00537F62">
        <w:rPr>
          <w:b/>
        </w:rPr>
        <w:t>5</w:t>
      </w:r>
      <w:r w:rsidR="00115F50" w:rsidRPr="00537F62">
        <w:rPr>
          <w:b/>
        </w:rPr>
        <w:t>2</w:t>
      </w:r>
      <w:r w:rsidR="00A037C2" w:rsidRPr="00537F62">
        <w:rPr>
          <w:b/>
        </w:rPr>
        <w:t>%)</w:t>
      </w:r>
      <w:r w:rsidR="00A037C2" w:rsidRPr="00537F62">
        <w:t xml:space="preserve"> składa wnioski w Niemczech.</w:t>
      </w:r>
    </w:p>
    <w:p w14:paraId="33CAB78C" w14:textId="2CEC912C" w:rsidR="00962154" w:rsidRDefault="00962154" w:rsidP="006346BE">
      <w:pPr>
        <w:pStyle w:val="Akapitzlist"/>
        <w:numPr>
          <w:ilvl w:val="0"/>
          <w:numId w:val="1"/>
        </w:numPr>
        <w:jc w:val="both"/>
      </w:pPr>
      <w:r w:rsidRPr="00E84DEA">
        <w:rPr>
          <w:u w:val="single"/>
        </w:rPr>
        <w:t>Wenezuelczycy</w:t>
      </w:r>
      <w:r w:rsidRPr="00E84DEA">
        <w:t xml:space="preserve">: </w:t>
      </w:r>
      <w:r w:rsidR="00A037C2" w:rsidRPr="00E84DEA">
        <w:t>Druga co do liczebności grupa (</w:t>
      </w:r>
      <w:r w:rsidR="0065254D" w:rsidRPr="00E84DEA">
        <w:t>22</w:t>
      </w:r>
      <w:r w:rsidR="00A037C2" w:rsidRPr="00E84DEA">
        <w:t xml:space="preserve"> tys. osób), mimo spadku </w:t>
      </w:r>
      <w:r w:rsidR="00A037C2" w:rsidRPr="008956C3">
        <w:rPr>
          <w:b/>
        </w:rPr>
        <w:t>o 1</w:t>
      </w:r>
      <w:r w:rsidR="0054682E" w:rsidRPr="008956C3">
        <w:rPr>
          <w:b/>
        </w:rPr>
        <w:t>9</w:t>
      </w:r>
      <w:r w:rsidR="00A037C2" w:rsidRPr="008956C3">
        <w:rPr>
          <w:b/>
        </w:rPr>
        <w:t>%.</w:t>
      </w:r>
      <w:r w:rsidR="00A037C2" w:rsidRPr="00E84DEA">
        <w:t xml:space="preserve"> </w:t>
      </w:r>
      <w:r w:rsidR="008956C3" w:rsidRPr="008956C3">
        <w:t>Grupa ta wykazuje najwyższy stopień koncentracji – aż 94% wniosków składanych jest w Hiszpanii.</w:t>
      </w:r>
    </w:p>
    <w:p w14:paraId="196CA560" w14:textId="3A4F1836" w:rsidR="00962154" w:rsidRPr="008956C3" w:rsidRDefault="00962154" w:rsidP="006346BE">
      <w:pPr>
        <w:pStyle w:val="Akapitzlist"/>
        <w:numPr>
          <w:ilvl w:val="0"/>
          <w:numId w:val="1"/>
        </w:numPr>
        <w:jc w:val="both"/>
      </w:pPr>
      <w:r w:rsidRPr="004A7B44">
        <w:rPr>
          <w:u w:val="single"/>
        </w:rPr>
        <w:t>Sudańczycy</w:t>
      </w:r>
      <w:r w:rsidRPr="004A7B44">
        <w:t xml:space="preserve">: </w:t>
      </w:r>
      <w:r w:rsidR="008956C3" w:rsidRPr="008956C3">
        <w:t xml:space="preserve">Odnotowali najwyższy wzrost w całym zestawieniu – aż </w:t>
      </w:r>
      <w:r w:rsidR="008956C3" w:rsidRPr="008956C3">
        <w:rPr>
          <w:b/>
        </w:rPr>
        <w:t>o 99%</w:t>
      </w:r>
      <w:r w:rsidR="008956C3" w:rsidRPr="008956C3">
        <w:t xml:space="preserve"> </w:t>
      </w:r>
      <w:r w:rsidR="00D15B5B" w:rsidRPr="004A7B44">
        <w:t>(</w:t>
      </w:r>
      <w:r w:rsidR="0020107F" w:rsidRPr="004A7B44">
        <w:t>5</w:t>
      </w:r>
      <w:r w:rsidR="00D15B5B" w:rsidRPr="004A7B44">
        <w:t>,</w:t>
      </w:r>
      <w:r w:rsidR="0020107F" w:rsidRPr="004A7B44">
        <w:t>1</w:t>
      </w:r>
      <w:r w:rsidR="00D15B5B" w:rsidRPr="004A7B44">
        <w:t xml:space="preserve"> tys. wniosków). Ich głównymi krajami docelowymi są </w:t>
      </w:r>
      <w:r w:rsidR="00D15B5B" w:rsidRPr="004A7B44">
        <w:rPr>
          <w:b/>
          <w:bCs/>
        </w:rPr>
        <w:t>Francja</w:t>
      </w:r>
      <w:r w:rsidR="00D15B5B" w:rsidRPr="004A7B44">
        <w:t xml:space="preserve"> </w:t>
      </w:r>
      <w:r w:rsidR="00D85034" w:rsidRPr="004A7B44">
        <w:rPr>
          <w:b/>
          <w:bCs/>
        </w:rPr>
        <w:t>(</w:t>
      </w:r>
      <w:r w:rsidR="00D15B5B" w:rsidRPr="004A7B44">
        <w:rPr>
          <w:b/>
        </w:rPr>
        <w:t>3</w:t>
      </w:r>
      <w:r w:rsidR="00D85034" w:rsidRPr="004A7B44">
        <w:rPr>
          <w:b/>
        </w:rPr>
        <w:t>8</w:t>
      </w:r>
      <w:r w:rsidR="00D15B5B" w:rsidRPr="004A7B44">
        <w:rPr>
          <w:b/>
        </w:rPr>
        <w:t>%)</w:t>
      </w:r>
      <w:r w:rsidR="00D85034" w:rsidRPr="004A7B44">
        <w:rPr>
          <w:b/>
        </w:rPr>
        <w:t xml:space="preserve"> </w:t>
      </w:r>
      <w:r w:rsidR="00D85034" w:rsidRPr="004A7B44">
        <w:rPr>
          <w:bCs/>
        </w:rPr>
        <w:t>oraz</w:t>
      </w:r>
      <w:r w:rsidR="00D85034" w:rsidRPr="004A7B44">
        <w:rPr>
          <w:b/>
        </w:rPr>
        <w:t xml:space="preserve"> Grecja (37%)</w:t>
      </w:r>
    </w:p>
    <w:p w14:paraId="682F0434" w14:textId="1CACCD83" w:rsidR="00962154" w:rsidRPr="004A7B44" w:rsidRDefault="00962154" w:rsidP="006346BE">
      <w:pPr>
        <w:pStyle w:val="Akapitzlist"/>
        <w:numPr>
          <w:ilvl w:val="0"/>
          <w:numId w:val="1"/>
        </w:numPr>
        <w:jc w:val="both"/>
      </w:pPr>
      <w:r w:rsidRPr="004A7B44">
        <w:rPr>
          <w:u w:val="single"/>
        </w:rPr>
        <w:t>Największe spadki:</w:t>
      </w:r>
      <w:r w:rsidRPr="004A7B44">
        <w:t xml:space="preserve"> </w:t>
      </w:r>
      <w:r w:rsidR="00D15B5B" w:rsidRPr="004A7B44">
        <w:t>Poza Ukrainą (-5</w:t>
      </w:r>
      <w:r w:rsidR="002E2A7A" w:rsidRPr="004A7B44">
        <w:t>9</w:t>
      </w:r>
      <w:r w:rsidR="00D15B5B" w:rsidRPr="004A7B44">
        <w:t xml:space="preserve">%), najbardziej znaczące spadki liczby wniosków odnotowano w przypadku </w:t>
      </w:r>
      <w:r w:rsidR="00D15B5B" w:rsidRPr="004A7B44">
        <w:rPr>
          <w:b/>
        </w:rPr>
        <w:t>Syrii (-6</w:t>
      </w:r>
      <w:r w:rsidR="002E2A7A" w:rsidRPr="004A7B44">
        <w:rPr>
          <w:b/>
        </w:rPr>
        <w:t>3</w:t>
      </w:r>
      <w:r w:rsidR="00D15B5B" w:rsidRPr="004A7B44">
        <w:rPr>
          <w:b/>
        </w:rPr>
        <w:t>%),</w:t>
      </w:r>
      <w:r w:rsidR="00D15B5B" w:rsidRPr="004A7B44">
        <w:t xml:space="preserve"> </w:t>
      </w:r>
      <w:r w:rsidR="00D15B5B" w:rsidRPr="004A7B44">
        <w:rPr>
          <w:b/>
        </w:rPr>
        <w:t>Kolumbii (-</w:t>
      </w:r>
      <w:r w:rsidR="002E2A7A" w:rsidRPr="004A7B44">
        <w:rPr>
          <w:b/>
        </w:rPr>
        <w:t>59</w:t>
      </w:r>
      <w:r w:rsidR="00D15B5B" w:rsidRPr="004A7B44">
        <w:rPr>
          <w:b/>
        </w:rPr>
        <w:t>%)</w:t>
      </w:r>
      <w:r w:rsidR="00D15B5B" w:rsidRPr="004A7B44">
        <w:t xml:space="preserve"> oraz </w:t>
      </w:r>
      <w:r w:rsidR="00D15B5B" w:rsidRPr="004A7B44">
        <w:rPr>
          <w:b/>
        </w:rPr>
        <w:t>Turcji (-3</w:t>
      </w:r>
      <w:r w:rsidR="0098085B" w:rsidRPr="004A7B44">
        <w:rPr>
          <w:b/>
        </w:rPr>
        <w:t>5</w:t>
      </w:r>
      <w:r w:rsidR="00D15B5B" w:rsidRPr="004A7B44">
        <w:rPr>
          <w:b/>
        </w:rPr>
        <w:t>%).</w:t>
      </w:r>
    </w:p>
    <w:p w14:paraId="65CF078D" w14:textId="77777777" w:rsidR="003E552C" w:rsidRDefault="003E552C" w:rsidP="00B21BD5">
      <w:pPr>
        <w:jc w:val="center"/>
        <w:rPr>
          <w:b/>
          <w:sz w:val="20"/>
          <w:szCs w:val="20"/>
        </w:rPr>
      </w:pPr>
    </w:p>
    <w:p w14:paraId="05B97EF3" w14:textId="22D01EA0" w:rsidR="003E552C" w:rsidRDefault="003E552C" w:rsidP="00B21BD5">
      <w:pPr>
        <w:jc w:val="center"/>
        <w:rPr>
          <w:b/>
          <w:sz w:val="20"/>
          <w:szCs w:val="20"/>
        </w:rPr>
      </w:pPr>
    </w:p>
    <w:p w14:paraId="1D38776B" w14:textId="20BDCDD7" w:rsidR="00B21BD5" w:rsidRDefault="00B21BD5" w:rsidP="00B21B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Państwa pochodzenia osób ubiegających się o udzielenie ochrony międzynarodowej</w:t>
      </w:r>
    </w:p>
    <w:p w14:paraId="0BF42A29" w14:textId="142DE24B" w:rsidR="007D5E2A" w:rsidRDefault="005600A9" w:rsidP="00262395">
      <w:pPr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 wp14:anchorId="628FB1B8" wp14:editId="7BD55717">
            <wp:extent cx="2520000" cy="216000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2523DC47-409F-49A7-B9BA-3FB3EDF02A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07363" w:rsidRPr="00507363">
        <w:rPr>
          <w:noProof/>
        </w:rPr>
        <w:t xml:space="preserve"> </w:t>
      </w:r>
      <w:r w:rsidR="009F5BDA">
        <w:rPr>
          <w:noProof/>
          <w:lang w:eastAsia="pl-PL"/>
        </w:rPr>
        <w:drawing>
          <wp:inline distT="0" distB="0" distL="0" distR="0" wp14:anchorId="3F4F10CB" wp14:editId="3425C2E4">
            <wp:extent cx="2520000" cy="21600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9225DD" w14:textId="48BBD578" w:rsidR="00507363" w:rsidRDefault="002A6F3E" w:rsidP="00262395">
      <w:pPr>
        <w:jc w:val="center"/>
        <w:rPr>
          <w:noProof/>
          <w:lang w:eastAsia="pl-PL"/>
        </w:rPr>
      </w:pPr>
      <w:r>
        <w:rPr>
          <w:noProof/>
        </w:rPr>
        <w:drawing>
          <wp:inline distT="0" distB="0" distL="0" distR="0" wp14:anchorId="68F93EF9" wp14:editId="27CEE718">
            <wp:extent cx="2520000" cy="216000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F3AED87" w14:textId="77777777" w:rsidR="00507363" w:rsidRDefault="00507363" w:rsidP="00262395">
      <w:pPr>
        <w:jc w:val="center"/>
        <w:rPr>
          <w:noProof/>
          <w:lang w:eastAsia="pl-PL"/>
        </w:rPr>
      </w:pPr>
    </w:p>
    <w:p w14:paraId="1179BAF7" w14:textId="62362EF9" w:rsidR="00824CF8" w:rsidRDefault="00824CF8" w:rsidP="00A50D24">
      <w:pPr>
        <w:ind w:firstLine="708"/>
        <w:jc w:val="center"/>
      </w:pPr>
    </w:p>
    <w:p w14:paraId="37BED9E5" w14:textId="77777777" w:rsidR="00322014" w:rsidRDefault="00322014" w:rsidP="00EC6BAA">
      <w:pPr>
        <w:ind w:firstLine="708"/>
        <w:jc w:val="both"/>
      </w:pPr>
    </w:p>
    <w:p w14:paraId="17A0E231" w14:textId="47844103" w:rsidR="0055066E" w:rsidRDefault="00EC6BAA" w:rsidP="00EC6BAA">
      <w:pPr>
        <w:ind w:firstLine="708"/>
        <w:jc w:val="both"/>
      </w:pPr>
      <w:r>
        <w:lastRenderedPageBreak/>
        <w:t xml:space="preserve">Z łącznej liczby </w:t>
      </w:r>
      <w:r w:rsidR="0020327E">
        <w:rPr>
          <w:b/>
        </w:rPr>
        <w:t>2</w:t>
      </w:r>
      <w:r w:rsidR="006919A4">
        <w:rPr>
          <w:b/>
        </w:rPr>
        <w:t>,</w:t>
      </w:r>
      <w:r w:rsidR="0020327E">
        <w:rPr>
          <w:b/>
        </w:rPr>
        <w:t>5</w:t>
      </w:r>
      <w:r w:rsidR="006919A4">
        <w:rPr>
          <w:b/>
        </w:rPr>
        <w:t xml:space="preserve"> tys.</w:t>
      </w:r>
      <w:r w:rsidRPr="00EB76AC">
        <w:rPr>
          <w:b/>
        </w:rPr>
        <w:t xml:space="preserve"> </w:t>
      </w:r>
      <w:r w:rsidRPr="006919A4">
        <w:t xml:space="preserve">wydanych </w:t>
      </w:r>
      <w:r w:rsidR="006919A4" w:rsidRPr="006919A4">
        <w:t>decyzji w pierwszy</w:t>
      </w:r>
      <w:r w:rsidR="0020327E">
        <w:t xml:space="preserve">m kwartale </w:t>
      </w:r>
      <w:r w:rsidR="006919A4" w:rsidRPr="006919A4">
        <w:t>2026 r</w:t>
      </w:r>
      <w:r w:rsidR="00EB76AC" w:rsidRPr="006919A4">
        <w:t>.</w:t>
      </w:r>
      <w:r w:rsidR="006919A4">
        <w:t>,</w:t>
      </w:r>
      <w:r w:rsidR="00EB76AC" w:rsidRPr="00EB76AC">
        <w:rPr>
          <w:b/>
        </w:rPr>
        <w:t xml:space="preserve"> </w:t>
      </w:r>
      <w:r w:rsidR="006919A4" w:rsidRPr="006919A4">
        <w:t xml:space="preserve">ochrona międzynarodowa została udzielona </w:t>
      </w:r>
      <w:r w:rsidR="002121F6">
        <w:rPr>
          <w:b/>
        </w:rPr>
        <w:t>481</w:t>
      </w:r>
      <w:r w:rsidR="006919A4" w:rsidRPr="006919A4">
        <w:t xml:space="preserve"> osobom</w:t>
      </w:r>
      <w:r>
        <w:t xml:space="preserve">. </w:t>
      </w:r>
      <w:r w:rsidR="0055066E" w:rsidRPr="0055066E">
        <w:t xml:space="preserve">Średni wskaźnik uznawalności w tym okresie wyniósł </w:t>
      </w:r>
      <w:r w:rsidR="0055066E" w:rsidRPr="0055066E">
        <w:rPr>
          <w:b/>
        </w:rPr>
        <w:t>27%.</w:t>
      </w:r>
      <w:r w:rsidR="0055066E">
        <w:t xml:space="preserve"> </w:t>
      </w:r>
    </w:p>
    <w:p w14:paraId="50D2ED59" w14:textId="514A8AC7" w:rsidR="0055066E" w:rsidRDefault="0055066E" w:rsidP="0055066E">
      <w:pPr>
        <w:jc w:val="both"/>
        <w:rPr>
          <w:b/>
        </w:rPr>
      </w:pPr>
      <w:r w:rsidRPr="0055066E">
        <w:rPr>
          <w:b/>
        </w:rPr>
        <w:t>Struktura decyzji pozytywnych</w:t>
      </w:r>
    </w:p>
    <w:p w14:paraId="69A691E7" w14:textId="77777777" w:rsidR="0055066E" w:rsidRPr="0055066E" w:rsidRDefault="0055066E" w:rsidP="0055066E">
      <w:pPr>
        <w:jc w:val="both"/>
      </w:pPr>
      <w:r w:rsidRPr="0055066E">
        <w:rPr>
          <w:b/>
        </w:rPr>
        <w:t>Ochrona uzupełniająca (425 decyzji):</w:t>
      </w:r>
      <w:r w:rsidRPr="0055066E">
        <w:t xml:space="preserve"> Pozostaje najczęstszą formą przyznanego wsparcia. Głównymi beneficjentami są obywatele Białorusi (342 osoby), co stanowi aż 80% wszystkich decyzji o ochronie uzupełniającej. Kolejne grupy to obywatele Ukrainy (54 osoby) oraz Etiopii (10 osób).</w:t>
      </w:r>
    </w:p>
    <w:p w14:paraId="33BAC4FE" w14:textId="24346926" w:rsidR="0055066E" w:rsidRDefault="0055066E" w:rsidP="0055066E">
      <w:pPr>
        <w:jc w:val="both"/>
      </w:pPr>
      <w:r w:rsidRPr="0055066E">
        <w:rPr>
          <w:b/>
        </w:rPr>
        <w:t>Status uchodźcy (56 decyzji):</w:t>
      </w:r>
      <w:r w:rsidRPr="0055066E">
        <w:t xml:space="preserve"> Przyznawany znacznie rzadziej. Otrzymali go głównie obywatele Białorusi (30 osób), Nigerii (7 osób) oraz bezpaństwowcy (3 osoby).</w:t>
      </w:r>
    </w:p>
    <w:p w14:paraId="45A6EB7F" w14:textId="77777777" w:rsidR="0055066E" w:rsidRPr="0055066E" w:rsidRDefault="0055066E" w:rsidP="0055066E">
      <w:pPr>
        <w:jc w:val="both"/>
        <w:rPr>
          <w:b/>
        </w:rPr>
      </w:pPr>
      <w:r w:rsidRPr="0055066E">
        <w:rPr>
          <w:b/>
        </w:rPr>
        <w:t>Decyzje negatywne i ich uwarunkowania</w:t>
      </w:r>
    </w:p>
    <w:p w14:paraId="09B29E84" w14:textId="7DBE470F" w:rsidR="0055066E" w:rsidRPr="0055066E" w:rsidRDefault="0055066E" w:rsidP="0055066E">
      <w:pPr>
        <w:jc w:val="both"/>
      </w:pPr>
      <w:r>
        <w:t xml:space="preserve">Głównym trendem pozostają decyzje negatywne, które stanowią </w:t>
      </w:r>
      <w:r w:rsidRPr="0055066E">
        <w:rPr>
          <w:b/>
        </w:rPr>
        <w:t>54% wszystkich zakończonych spraw (1</w:t>
      </w:r>
      <w:r w:rsidRPr="0055066E">
        <w:rPr>
          <w:b/>
        </w:rPr>
        <w:t>,</w:t>
      </w:r>
      <w:r w:rsidRPr="0055066E">
        <w:rPr>
          <w:b/>
        </w:rPr>
        <w:t>3</w:t>
      </w:r>
      <w:r w:rsidRPr="0055066E">
        <w:rPr>
          <w:b/>
        </w:rPr>
        <w:t xml:space="preserve"> tys.</w:t>
      </w:r>
      <w:r w:rsidRPr="0055066E">
        <w:rPr>
          <w:b/>
        </w:rPr>
        <w:t xml:space="preserve"> decyzj</w:t>
      </w:r>
      <w:r w:rsidRPr="0055066E">
        <w:rPr>
          <w:b/>
        </w:rPr>
        <w:t>i</w:t>
      </w:r>
      <w:r>
        <w:t>).</w:t>
      </w:r>
      <w:r>
        <w:t xml:space="preserve"> </w:t>
      </w:r>
      <w:r>
        <w:t>Aż 80% wszystkich odmów (1</w:t>
      </w:r>
      <w:r>
        <w:t xml:space="preserve"> tys.</w:t>
      </w:r>
      <w:r>
        <w:t>) dotyczyło obywateli Ukrainy, co bezpośrednio rzutuje na niski wskaźnik uznawalności dla tej nacji (5%).</w:t>
      </w:r>
      <w:r>
        <w:t xml:space="preserve"> </w:t>
      </w:r>
      <w:r>
        <w:t>Kolejnymi grupami z wysoką liczbą decyzji negatywnych są obywatele Rosji (89) oraz Afganistanu (38).</w:t>
      </w:r>
    </w:p>
    <w:p w14:paraId="02781DC1" w14:textId="77777777" w:rsidR="0055066E" w:rsidRPr="0055066E" w:rsidRDefault="0055066E" w:rsidP="0055066E">
      <w:pPr>
        <w:jc w:val="both"/>
        <w:rPr>
          <w:b/>
        </w:rPr>
      </w:pPr>
      <w:r w:rsidRPr="0055066E">
        <w:rPr>
          <w:b/>
        </w:rPr>
        <w:t>Umorzenia postępowań</w:t>
      </w:r>
    </w:p>
    <w:p w14:paraId="551A2ECF" w14:textId="578443E7" w:rsidR="0055066E" w:rsidRDefault="0055066E" w:rsidP="0055066E">
      <w:pPr>
        <w:jc w:val="both"/>
      </w:pPr>
      <w:r>
        <w:t xml:space="preserve">Umorzenia stanowią blisko </w:t>
      </w:r>
      <w:r w:rsidRPr="0055066E">
        <w:rPr>
          <w:b/>
        </w:rPr>
        <w:t>26% wszystkich rozstrzygnięć (</w:t>
      </w:r>
      <w:r w:rsidRPr="0055066E">
        <w:rPr>
          <w:b/>
        </w:rPr>
        <w:t>ponad 632</w:t>
      </w:r>
      <w:r w:rsidRPr="0055066E">
        <w:rPr>
          <w:b/>
        </w:rPr>
        <w:t xml:space="preserve"> decyzj</w:t>
      </w:r>
      <w:r w:rsidRPr="0055066E">
        <w:rPr>
          <w:b/>
        </w:rPr>
        <w:t>e</w:t>
      </w:r>
      <w:r w:rsidRPr="0055066E">
        <w:rPr>
          <w:b/>
        </w:rPr>
        <w:t>).</w:t>
      </w:r>
      <w:r>
        <w:t xml:space="preserve"> Wynikają one najczęściej z opuszczenia terytorium Polski przez cudzoziemca jeszcze w trakcie trwania procedury. Trend ten jest najbardziej widoczny w następujących grupach:</w:t>
      </w:r>
    </w:p>
    <w:p w14:paraId="68828FCB" w14:textId="77777777" w:rsidR="0055066E" w:rsidRDefault="0055066E" w:rsidP="0055066E">
      <w:pPr>
        <w:pStyle w:val="Akapitzlist"/>
        <w:numPr>
          <w:ilvl w:val="0"/>
          <w:numId w:val="4"/>
        </w:numPr>
        <w:jc w:val="both"/>
      </w:pPr>
      <w:r>
        <w:t>Ukraina: 202 umorzenia,</w:t>
      </w:r>
    </w:p>
    <w:p w14:paraId="73D3525C" w14:textId="77777777" w:rsidR="0055066E" w:rsidRDefault="0055066E" w:rsidP="0055066E">
      <w:pPr>
        <w:pStyle w:val="Akapitzlist"/>
        <w:numPr>
          <w:ilvl w:val="0"/>
          <w:numId w:val="4"/>
        </w:numPr>
        <w:jc w:val="both"/>
      </w:pPr>
      <w:r>
        <w:t>Białoruś: 61 umorzeń,</w:t>
      </w:r>
    </w:p>
    <w:p w14:paraId="0D0B77AE" w14:textId="77777777" w:rsidR="0055066E" w:rsidRDefault="0055066E" w:rsidP="0055066E">
      <w:pPr>
        <w:pStyle w:val="Akapitzlist"/>
        <w:numPr>
          <w:ilvl w:val="0"/>
          <w:numId w:val="4"/>
        </w:numPr>
        <w:jc w:val="both"/>
      </w:pPr>
      <w:r>
        <w:t>Somalia: 51 umorzeń,</w:t>
      </w:r>
    </w:p>
    <w:p w14:paraId="0BFB0330" w14:textId="77777777" w:rsidR="0055066E" w:rsidRDefault="0055066E" w:rsidP="0055066E">
      <w:pPr>
        <w:pStyle w:val="Akapitzlist"/>
        <w:numPr>
          <w:ilvl w:val="0"/>
          <w:numId w:val="4"/>
        </w:numPr>
        <w:jc w:val="both"/>
      </w:pPr>
      <w:r>
        <w:t>Tadżykistan: 43 umorzenia,</w:t>
      </w:r>
    </w:p>
    <w:p w14:paraId="5C806E39" w14:textId="37B60C06" w:rsidR="0055066E" w:rsidRDefault="0055066E" w:rsidP="0055066E">
      <w:pPr>
        <w:pStyle w:val="Akapitzlist"/>
        <w:numPr>
          <w:ilvl w:val="0"/>
          <w:numId w:val="4"/>
        </w:numPr>
        <w:jc w:val="both"/>
      </w:pPr>
      <w:r>
        <w:t>Afganistan: 36 umorzeń.</w:t>
      </w:r>
    </w:p>
    <w:p w14:paraId="1A981845" w14:textId="1D2B39BD" w:rsidR="006850F0" w:rsidRDefault="007B5408" w:rsidP="008B63AE">
      <w:pPr>
        <w:jc w:val="both"/>
      </w:pPr>
      <w:r>
        <w:br/>
      </w:r>
      <w:r w:rsidR="0020463D">
        <w:rPr>
          <w:noProof/>
        </w:rPr>
        <w:drawing>
          <wp:inline distT="0" distB="0" distL="0" distR="0" wp14:anchorId="1E52DBE2" wp14:editId="4853F39C">
            <wp:extent cx="5760720" cy="283210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D56864" w14:textId="77777777" w:rsidR="008F1C0B" w:rsidRDefault="008F1C0B" w:rsidP="00ED53FF">
      <w:pPr>
        <w:ind w:firstLine="708"/>
        <w:jc w:val="both"/>
      </w:pPr>
    </w:p>
    <w:p w14:paraId="0ED61E1E" w14:textId="77777777" w:rsidR="004D156C" w:rsidRDefault="0084329B" w:rsidP="0084329B">
      <w:pPr>
        <w:ind w:firstLine="708"/>
        <w:jc w:val="both"/>
      </w:pPr>
      <w:r>
        <w:lastRenderedPageBreak/>
        <w:t xml:space="preserve">Ogólny wskaźnik uznawalności </w:t>
      </w:r>
      <w:r w:rsidR="004D156C" w:rsidRPr="004D156C">
        <w:t xml:space="preserve">(stosunek decyzji pozytywnych do merytorycznych rozstrzygnięć: pozytywnych i negatywnych) </w:t>
      </w:r>
      <w:r>
        <w:t xml:space="preserve">wynosi </w:t>
      </w:r>
      <w:r w:rsidR="004D156C">
        <w:t xml:space="preserve">obecnie </w:t>
      </w:r>
      <w:r w:rsidRPr="0084329B">
        <w:rPr>
          <w:b/>
        </w:rPr>
        <w:t>2</w:t>
      </w:r>
      <w:r w:rsidR="00EA75C6">
        <w:rPr>
          <w:b/>
        </w:rPr>
        <w:t>7</w:t>
      </w:r>
      <w:r w:rsidRPr="0084329B">
        <w:rPr>
          <w:b/>
        </w:rPr>
        <w:t>%.</w:t>
      </w:r>
      <w:r>
        <w:t xml:space="preserve"> </w:t>
      </w:r>
      <w:r w:rsidR="004D156C">
        <w:t>Wskaźnik ten j</w:t>
      </w:r>
      <w:r>
        <w:t xml:space="preserve">est skrajnie zróżnicowany w zależności od kraju pochodzenia </w:t>
      </w:r>
      <w:r w:rsidR="004D156C">
        <w:t xml:space="preserve">wnioskodawców </w:t>
      </w:r>
      <w:r>
        <w:t>z TOP5:</w:t>
      </w:r>
    </w:p>
    <w:p w14:paraId="0BC74FF0" w14:textId="77777777" w:rsidR="004D156C" w:rsidRDefault="004D156C" w:rsidP="004D156C">
      <w:pPr>
        <w:pStyle w:val="Akapitzlist"/>
        <w:numPr>
          <w:ilvl w:val="0"/>
          <w:numId w:val="5"/>
        </w:numPr>
        <w:jc w:val="both"/>
      </w:pPr>
      <w:r>
        <w:t>Białoruś: 98%</w:t>
      </w:r>
    </w:p>
    <w:p w14:paraId="7852647B" w14:textId="77777777" w:rsidR="004D156C" w:rsidRDefault="004D156C" w:rsidP="004D156C">
      <w:pPr>
        <w:pStyle w:val="Akapitzlist"/>
        <w:numPr>
          <w:ilvl w:val="0"/>
          <w:numId w:val="5"/>
        </w:numPr>
        <w:jc w:val="both"/>
      </w:pPr>
      <w:r>
        <w:t>Tadżykistan: 60%</w:t>
      </w:r>
    </w:p>
    <w:p w14:paraId="0BE5A8AA" w14:textId="77777777" w:rsidR="004D156C" w:rsidRDefault="004D156C" w:rsidP="004D156C">
      <w:pPr>
        <w:pStyle w:val="Akapitzlist"/>
        <w:numPr>
          <w:ilvl w:val="0"/>
          <w:numId w:val="5"/>
        </w:numPr>
        <w:jc w:val="both"/>
      </w:pPr>
      <w:r>
        <w:t>Ukraina: 5%</w:t>
      </w:r>
    </w:p>
    <w:p w14:paraId="04843D7B" w14:textId="77777777" w:rsidR="004D156C" w:rsidRDefault="004D156C" w:rsidP="004D156C">
      <w:pPr>
        <w:pStyle w:val="Akapitzlist"/>
        <w:numPr>
          <w:ilvl w:val="0"/>
          <w:numId w:val="5"/>
        </w:numPr>
        <w:jc w:val="both"/>
      </w:pPr>
      <w:r>
        <w:t>Afganistan: 5%</w:t>
      </w:r>
    </w:p>
    <w:p w14:paraId="51979C13" w14:textId="77777777" w:rsidR="004D156C" w:rsidRDefault="004D156C" w:rsidP="004D156C">
      <w:pPr>
        <w:pStyle w:val="Akapitzlist"/>
        <w:numPr>
          <w:ilvl w:val="0"/>
          <w:numId w:val="5"/>
        </w:numPr>
        <w:jc w:val="both"/>
      </w:pPr>
      <w:r>
        <w:t>Rosja: 2%</w:t>
      </w:r>
    </w:p>
    <w:p w14:paraId="79D31D3D" w14:textId="66FEFF52" w:rsidR="004D156C" w:rsidRPr="00322014" w:rsidRDefault="004D156C" w:rsidP="004D156C">
      <w:pPr>
        <w:jc w:val="both"/>
        <w:rPr>
          <w:b/>
        </w:rPr>
      </w:pPr>
      <w:r w:rsidRPr="00322014">
        <w:rPr>
          <w:b/>
        </w:rPr>
        <w:t xml:space="preserve">Obciążenie </w:t>
      </w:r>
      <w:r w:rsidR="00322014" w:rsidRPr="00322014">
        <w:rPr>
          <w:b/>
        </w:rPr>
        <w:t>U</w:t>
      </w:r>
      <w:r w:rsidRPr="00322014">
        <w:rPr>
          <w:b/>
        </w:rPr>
        <w:t>rzędu i czas trwania postępowań:</w:t>
      </w:r>
    </w:p>
    <w:p w14:paraId="3315934A" w14:textId="0242C9BC" w:rsidR="004D156C" w:rsidRDefault="004D156C" w:rsidP="004D156C">
      <w:pPr>
        <w:jc w:val="both"/>
      </w:pPr>
      <w:r w:rsidRPr="00322014">
        <w:rPr>
          <w:b/>
        </w:rPr>
        <w:t>Sprawy w toku:</w:t>
      </w:r>
      <w:r>
        <w:t xml:space="preserve"> Według stanu na 1 kwietnia 2026 r., w toku pozostaje 8 </w:t>
      </w:r>
      <w:r w:rsidR="00322014">
        <w:t>tys.</w:t>
      </w:r>
      <w:r>
        <w:t xml:space="preserve"> spraw. Świadczy to o stabilizacji obciążenia Urzędu i skutecznym rozładowywaniu zaległości z rekordowego 2024 roku (ponad 17 tys. wniosków).</w:t>
      </w:r>
    </w:p>
    <w:p w14:paraId="5DC04789" w14:textId="1682FD57" w:rsidR="004D156C" w:rsidRDefault="004D156C" w:rsidP="004D156C">
      <w:pPr>
        <w:jc w:val="both"/>
      </w:pPr>
      <w:r w:rsidRPr="00322014">
        <w:rPr>
          <w:b/>
        </w:rPr>
        <w:t>Efektywność</w:t>
      </w:r>
      <w:r>
        <w:t>: W samym pierwszym kwartale 2026 r. wydano 2</w:t>
      </w:r>
      <w:r w:rsidR="00322014">
        <w:t>,5 tys.</w:t>
      </w:r>
      <w:r>
        <w:t xml:space="preserve"> decyzji, co przy obecnym napływie wniosków (1</w:t>
      </w:r>
      <w:r w:rsidR="00322014">
        <w:t>,</w:t>
      </w:r>
      <w:r>
        <w:t>6</w:t>
      </w:r>
      <w:r w:rsidR="00322014">
        <w:t xml:space="preserve"> tys.</w:t>
      </w:r>
      <w:r>
        <w:t xml:space="preserve"> osób) pozwala na sukcesywną redukcję liczby spraw oczekujących.</w:t>
      </w:r>
    </w:p>
    <w:p w14:paraId="3A4F617C" w14:textId="6421B6EF" w:rsidR="004D156C" w:rsidRDefault="004D156C" w:rsidP="004D156C">
      <w:pPr>
        <w:jc w:val="both"/>
      </w:pPr>
      <w:r w:rsidRPr="00322014">
        <w:rPr>
          <w:b/>
        </w:rPr>
        <w:t xml:space="preserve">Czas trwania procedury: </w:t>
      </w:r>
      <w:r>
        <w:t>Średni czas trwania postępowania wynosi obecnie 277 dni (ok. 9 miesięcy). Jest to wynik stabilny, uwzględniający specyfikę spraw skomplikowanych pod kątem bezpieczeństwa, wymagających pogłębionej weryfikacji</w:t>
      </w:r>
      <w:r w:rsidR="00322014">
        <w:t>.</w:t>
      </w:r>
    </w:p>
    <w:p w14:paraId="32589650" w14:textId="77777777" w:rsidR="00B4676C" w:rsidRDefault="00B4676C" w:rsidP="00887E49">
      <w:pPr>
        <w:ind w:firstLine="708"/>
        <w:jc w:val="both"/>
      </w:pPr>
    </w:p>
    <w:p w14:paraId="734D2262" w14:textId="782D2F54" w:rsidR="00F51FAF" w:rsidRPr="00606041" w:rsidRDefault="00B4676C" w:rsidP="00606041">
      <w:pPr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3FD7BBDC" wp14:editId="5A6169FA">
            <wp:extent cx="5760720" cy="342900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2D1138" w14:textId="18DE5848" w:rsidR="00F51FAF" w:rsidRDefault="00FD682E" w:rsidP="00FD0BD2">
      <w:pPr>
        <w:jc w:val="center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4ED8B37" wp14:editId="4792CE92">
            <wp:extent cx="5760720" cy="2847975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8FA88DA" w14:textId="77777777" w:rsidR="00F51FAF" w:rsidRDefault="00F51FAF" w:rsidP="00FD0BD2">
      <w:pPr>
        <w:jc w:val="center"/>
        <w:rPr>
          <w:b/>
          <w:sz w:val="20"/>
          <w:szCs w:val="20"/>
        </w:rPr>
      </w:pPr>
    </w:p>
    <w:p w14:paraId="2259B8FC" w14:textId="47DC9390" w:rsidR="00E72165" w:rsidRDefault="00FD0BD2" w:rsidP="00FD0B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Decyzje Szefa </w:t>
      </w:r>
      <w:proofErr w:type="spellStart"/>
      <w:r>
        <w:rPr>
          <w:b/>
          <w:sz w:val="20"/>
          <w:szCs w:val="20"/>
        </w:rPr>
        <w:t>UdSC</w:t>
      </w:r>
      <w:proofErr w:type="spellEnd"/>
      <w:r>
        <w:rPr>
          <w:b/>
          <w:sz w:val="20"/>
          <w:szCs w:val="20"/>
        </w:rPr>
        <w:t xml:space="preserve"> w sprawach o udzielenie ochrony międzynarodowej w 202</w:t>
      </w:r>
      <w:r w:rsidR="00723FB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r.</w:t>
      </w:r>
    </w:p>
    <w:p w14:paraId="43689D05" w14:textId="043DA8A5" w:rsidR="007B5408" w:rsidRDefault="00D74DD0" w:rsidP="007B5408">
      <w:pPr>
        <w:rPr>
          <w:noProof/>
          <w:lang w:eastAsia="pl-PL"/>
        </w:rPr>
      </w:pPr>
      <w:r>
        <w:rPr>
          <w:noProof/>
        </w:rPr>
        <w:drawing>
          <wp:inline distT="0" distB="0" distL="0" distR="0" wp14:anchorId="1B3B8EE8" wp14:editId="1002C3A0">
            <wp:extent cx="2520000" cy="2160000"/>
            <wp:effectExtent l="0" t="0" r="3302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547524">
        <w:rPr>
          <w:b/>
          <w:sz w:val="20"/>
          <w:szCs w:val="20"/>
        </w:rPr>
        <w:t xml:space="preserve">   </w:t>
      </w:r>
      <w:r w:rsidR="00A4069C">
        <w:rPr>
          <w:noProof/>
        </w:rPr>
        <w:t xml:space="preserve"> </w:t>
      </w:r>
      <w:r w:rsidR="00E72165" w:rsidRPr="00E72165">
        <w:rPr>
          <w:noProof/>
        </w:rPr>
        <w:t xml:space="preserve"> </w:t>
      </w:r>
      <w:r w:rsidR="00FD0BD2" w:rsidRPr="00FD0BD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2A2159" wp14:editId="062FB24D">
            <wp:extent cx="2520000" cy="2160000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  <w:r>
        <w:rPr>
          <w:noProof/>
        </w:rPr>
        <w:drawing>
          <wp:inline distT="0" distB="0" distL="0" distR="0" wp14:anchorId="26C98D3E" wp14:editId="5C01D0A3">
            <wp:extent cx="2520000" cy="2160000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CD840E35-D66E-40E2-ACDD-D578A45DAF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  <w:r>
        <w:rPr>
          <w:noProof/>
        </w:rPr>
        <w:drawing>
          <wp:inline distT="0" distB="0" distL="0" distR="0" wp14:anchorId="5BFE3969" wp14:editId="3279AEC0">
            <wp:extent cx="2520000" cy="2160000"/>
            <wp:effectExtent l="0" t="0" r="0" b="0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  <w:bookmarkStart w:id="0" w:name="_GoBack"/>
      <w:bookmarkEnd w:id="0"/>
    </w:p>
    <w:sectPr w:rsidR="007B5408" w:rsidSect="00456A31"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967E9" w14:textId="77777777" w:rsidR="00592D9B" w:rsidRDefault="00592D9B" w:rsidP="00F565DF">
      <w:pPr>
        <w:spacing w:after="0" w:line="240" w:lineRule="auto"/>
      </w:pPr>
      <w:r>
        <w:separator/>
      </w:r>
    </w:p>
  </w:endnote>
  <w:endnote w:type="continuationSeparator" w:id="0">
    <w:p w14:paraId="57F5111C" w14:textId="77777777" w:rsidR="00592D9B" w:rsidRDefault="00592D9B" w:rsidP="00F5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2A4F7" w14:textId="77777777" w:rsidR="00592D9B" w:rsidRDefault="00592D9B" w:rsidP="00F565DF">
      <w:pPr>
        <w:spacing w:after="0" w:line="240" w:lineRule="auto"/>
      </w:pPr>
      <w:r>
        <w:separator/>
      </w:r>
    </w:p>
  </w:footnote>
  <w:footnote w:type="continuationSeparator" w:id="0">
    <w:p w14:paraId="0EA3FCDE" w14:textId="77777777" w:rsidR="00592D9B" w:rsidRDefault="00592D9B" w:rsidP="00F5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0BFFF" w14:textId="77777777" w:rsidR="00A93972" w:rsidRPr="00A93972" w:rsidRDefault="00A93972" w:rsidP="00A93972">
    <w:pPr>
      <w:pStyle w:val="Nagwek"/>
    </w:pPr>
    <w:r>
      <w:rPr>
        <w:noProof/>
        <w:lang w:eastAsia="pl-PL"/>
      </w:rPr>
      <w:drawing>
        <wp:inline distT="0" distB="0" distL="0" distR="0" wp14:anchorId="2226DCB3" wp14:editId="47ED7619">
          <wp:extent cx="2540000" cy="572599"/>
          <wp:effectExtent l="0" t="0" r="0" b="0"/>
          <wp:docPr id="28" name="Obraz 27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C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7">
                    <a:extLst>
                      <a:ext uri="{FF2B5EF4-FFF2-40B4-BE49-F238E27FC236}">
                        <a16:creationId xmlns:a16="http://schemas.microsoft.com/office/drawing/2014/main" id="{00000000-0008-0000-0000-00001C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57259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A04"/>
    <w:multiLevelType w:val="hybridMultilevel"/>
    <w:tmpl w:val="73B6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571E4"/>
    <w:multiLevelType w:val="hybridMultilevel"/>
    <w:tmpl w:val="1728BA6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04A2991"/>
    <w:multiLevelType w:val="hybridMultilevel"/>
    <w:tmpl w:val="C624FFE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2A56F9"/>
    <w:multiLevelType w:val="hybridMultilevel"/>
    <w:tmpl w:val="C638E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131A1"/>
    <w:multiLevelType w:val="hybridMultilevel"/>
    <w:tmpl w:val="4BA43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DF"/>
    <w:rsid w:val="0000713D"/>
    <w:rsid w:val="00014422"/>
    <w:rsid w:val="000220A0"/>
    <w:rsid w:val="00023332"/>
    <w:rsid w:val="00024F92"/>
    <w:rsid w:val="00027AF7"/>
    <w:rsid w:val="00033882"/>
    <w:rsid w:val="00046FB8"/>
    <w:rsid w:val="00074ED3"/>
    <w:rsid w:val="000774AE"/>
    <w:rsid w:val="00084DAE"/>
    <w:rsid w:val="00092464"/>
    <w:rsid w:val="00093D6F"/>
    <w:rsid w:val="000A0612"/>
    <w:rsid w:val="000A4BB3"/>
    <w:rsid w:val="000B2FE7"/>
    <w:rsid w:val="000C6E05"/>
    <w:rsid w:val="000D0ABE"/>
    <w:rsid w:val="000D613C"/>
    <w:rsid w:val="000E0706"/>
    <w:rsid w:val="000E0B30"/>
    <w:rsid w:val="000F4884"/>
    <w:rsid w:val="00111882"/>
    <w:rsid w:val="001131E4"/>
    <w:rsid w:val="00114DCE"/>
    <w:rsid w:val="00115F50"/>
    <w:rsid w:val="00133D2E"/>
    <w:rsid w:val="001352FD"/>
    <w:rsid w:val="001369C8"/>
    <w:rsid w:val="0014404D"/>
    <w:rsid w:val="00147393"/>
    <w:rsid w:val="0015052B"/>
    <w:rsid w:val="00150772"/>
    <w:rsid w:val="001526B2"/>
    <w:rsid w:val="00152E8F"/>
    <w:rsid w:val="00161062"/>
    <w:rsid w:val="00162E74"/>
    <w:rsid w:val="00176DB9"/>
    <w:rsid w:val="00190551"/>
    <w:rsid w:val="00190F46"/>
    <w:rsid w:val="00195BFD"/>
    <w:rsid w:val="001A19FE"/>
    <w:rsid w:val="001B0275"/>
    <w:rsid w:val="001C56F6"/>
    <w:rsid w:val="001D1809"/>
    <w:rsid w:val="001D575F"/>
    <w:rsid w:val="001D6EE5"/>
    <w:rsid w:val="001E232F"/>
    <w:rsid w:val="001E4F75"/>
    <w:rsid w:val="001E7F70"/>
    <w:rsid w:val="001F12B8"/>
    <w:rsid w:val="001F1C9C"/>
    <w:rsid w:val="0020107F"/>
    <w:rsid w:val="0020327E"/>
    <w:rsid w:val="0020463D"/>
    <w:rsid w:val="002050BC"/>
    <w:rsid w:val="0021062E"/>
    <w:rsid w:val="002121F6"/>
    <w:rsid w:val="002165C3"/>
    <w:rsid w:val="00222B77"/>
    <w:rsid w:val="00223A85"/>
    <w:rsid w:val="00225D0B"/>
    <w:rsid w:val="00255DF5"/>
    <w:rsid w:val="0026048D"/>
    <w:rsid w:val="00262395"/>
    <w:rsid w:val="00266E89"/>
    <w:rsid w:val="0029155E"/>
    <w:rsid w:val="00293873"/>
    <w:rsid w:val="002A6193"/>
    <w:rsid w:val="002A6F3E"/>
    <w:rsid w:val="002B15BD"/>
    <w:rsid w:val="002C1796"/>
    <w:rsid w:val="002D2696"/>
    <w:rsid w:val="002E0B78"/>
    <w:rsid w:val="002E2A7A"/>
    <w:rsid w:val="002E3E04"/>
    <w:rsid w:val="002F1452"/>
    <w:rsid w:val="002F1BBD"/>
    <w:rsid w:val="00310D3E"/>
    <w:rsid w:val="003112FE"/>
    <w:rsid w:val="00320B0D"/>
    <w:rsid w:val="00322014"/>
    <w:rsid w:val="003230BE"/>
    <w:rsid w:val="00324BD8"/>
    <w:rsid w:val="003265C1"/>
    <w:rsid w:val="00331BBC"/>
    <w:rsid w:val="00336D3D"/>
    <w:rsid w:val="003434E2"/>
    <w:rsid w:val="00343BA6"/>
    <w:rsid w:val="00361829"/>
    <w:rsid w:val="00364E0D"/>
    <w:rsid w:val="00367B9F"/>
    <w:rsid w:val="003742AB"/>
    <w:rsid w:val="00387DF0"/>
    <w:rsid w:val="00391F40"/>
    <w:rsid w:val="003926EF"/>
    <w:rsid w:val="003A7983"/>
    <w:rsid w:val="003B00D6"/>
    <w:rsid w:val="003B2540"/>
    <w:rsid w:val="003C332A"/>
    <w:rsid w:val="003C7EDE"/>
    <w:rsid w:val="003D4FD0"/>
    <w:rsid w:val="003E389E"/>
    <w:rsid w:val="003E552C"/>
    <w:rsid w:val="003F68A7"/>
    <w:rsid w:val="003F7BFD"/>
    <w:rsid w:val="00400D77"/>
    <w:rsid w:val="0040454B"/>
    <w:rsid w:val="00411121"/>
    <w:rsid w:val="0041686F"/>
    <w:rsid w:val="00421BBF"/>
    <w:rsid w:val="00424737"/>
    <w:rsid w:val="00434C33"/>
    <w:rsid w:val="0044341B"/>
    <w:rsid w:val="0045508C"/>
    <w:rsid w:val="00456A31"/>
    <w:rsid w:val="00457541"/>
    <w:rsid w:val="0047711D"/>
    <w:rsid w:val="004828AD"/>
    <w:rsid w:val="004A47AD"/>
    <w:rsid w:val="004A757C"/>
    <w:rsid w:val="004A7B44"/>
    <w:rsid w:val="004B58B1"/>
    <w:rsid w:val="004C33A2"/>
    <w:rsid w:val="004C57A1"/>
    <w:rsid w:val="004D156C"/>
    <w:rsid w:val="004D7480"/>
    <w:rsid w:val="004E07FC"/>
    <w:rsid w:val="004E1471"/>
    <w:rsid w:val="004F508A"/>
    <w:rsid w:val="00504554"/>
    <w:rsid w:val="00504D6B"/>
    <w:rsid w:val="00507363"/>
    <w:rsid w:val="005076CD"/>
    <w:rsid w:val="00521735"/>
    <w:rsid w:val="005368A8"/>
    <w:rsid w:val="00537F62"/>
    <w:rsid w:val="0054173B"/>
    <w:rsid w:val="00542E18"/>
    <w:rsid w:val="00546092"/>
    <w:rsid w:val="00546362"/>
    <w:rsid w:val="0054682E"/>
    <w:rsid w:val="00547524"/>
    <w:rsid w:val="0055066E"/>
    <w:rsid w:val="00550822"/>
    <w:rsid w:val="00556A47"/>
    <w:rsid w:val="005600A9"/>
    <w:rsid w:val="005702F2"/>
    <w:rsid w:val="005747AF"/>
    <w:rsid w:val="00577099"/>
    <w:rsid w:val="005807B7"/>
    <w:rsid w:val="00587DFC"/>
    <w:rsid w:val="00592D9B"/>
    <w:rsid w:val="00595ED9"/>
    <w:rsid w:val="00597F61"/>
    <w:rsid w:val="005A20AF"/>
    <w:rsid w:val="005A2638"/>
    <w:rsid w:val="005A2C5C"/>
    <w:rsid w:val="005A568F"/>
    <w:rsid w:val="005B1EA6"/>
    <w:rsid w:val="005B522C"/>
    <w:rsid w:val="005D48A4"/>
    <w:rsid w:val="005E16F9"/>
    <w:rsid w:val="005E7980"/>
    <w:rsid w:val="005F6ADF"/>
    <w:rsid w:val="005F7BF9"/>
    <w:rsid w:val="00606041"/>
    <w:rsid w:val="00610FA6"/>
    <w:rsid w:val="00614E69"/>
    <w:rsid w:val="00625C83"/>
    <w:rsid w:val="006263A1"/>
    <w:rsid w:val="00633A07"/>
    <w:rsid w:val="006346BE"/>
    <w:rsid w:val="00651A27"/>
    <w:rsid w:val="0065254D"/>
    <w:rsid w:val="00675698"/>
    <w:rsid w:val="006807FB"/>
    <w:rsid w:val="006850F0"/>
    <w:rsid w:val="00691822"/>
    <w:rsid w:val="006919A4"/>
    <w:rsid w:val="00691A94"/>
    <w:rsid w:val="00697F0E"/>
    <w:rsid w:val="006B40AF"/>
    <w:rsid w:val="006D37FF"/>
    <w:rsid w:val="006D68DA"/>
    <w:rsid w:val="006E0D8F"/>
    <w:rsid w:val="006E2350"/>
    <w:rsid w:val="007154CF"/>
    <w:rsid w:val="00723FB9"/>
    <w:rsid w:val="00736EBF"/>
    <w:rsid w:val="0073765C"/>
    <w:rsid w:val="00743DCB"/>
    <w:rsid w:val="0074587D"/>
    <w:rsid w:val="00766859"/>
    <w:rsid w:val="007729DC"/>
    <w:rsid w:val="007765BD"/>
    <w:rsid w:val="007817B6"/>
    <w:rsid w:val="00785899"/>
    <w:rsid w:val="007912F1"/>
    <w:rsid w:val="00795F79"/>
    <w:rsid w:val="007A106E"/>
    <w:rsid w:val="007A679A"/>
    <w:rsid w:val="007B5408"/>
    <w:rsid w:val="007C177D"/>
    <w:rsid w:val="007C25E6"/>
    <w:rsid w:val="007C3BEB"/>
    <w:rsid w:val="007C50FA"/>
    <w:rsid w:val="007C6212"/>
    <w:rsid w:val="007D05BB"/>
    <w:rsid w:val="007D5D71"/>
    <w:rsid w:val="007D5E2A"/>
    <w:rsid w:val="007E0428"/>
    <w:rsid w:val="007E10BC"/>
    <w:rsid w:val="007E4438"/>
    <w:rsid w:val="007E4DFA"/>
    <w:rsid w:val="007E7096"/>
    <w:rsid w:val="007F189B"/>
    <w:rsid w:val="00802E79"/>
    <w:rsid w:val="0080721A"/>
    <w:rsid w:val="008115EA"/>
    <w:rsid w:val="00821E46"/>
    <w:rsid w:val="0082356C"/>
    <w:rsid w:val="00824CF8"/>
    <w:rsid w:val="00831FE8"/>
    <w:rsid w:val="00833FC3"/>
    <w:rsid w:val="00837876"/>
    <w:rsid w:val="0084329B"/>
    <w:rsid w:val="00852CFC"/>
    <w:rsid w:val="00856294"/>
    <w:rsid w:val="00861FDC"/>
    <w:rsid w:val="008629A6"/>
    <w:rsid w:val="00870A72"/>
    <w:rsid w:val="00875880"/>
    <w:rsid w:val="00885303"/>
    <w:rsid w:val="00887E49"/>
    <w:rsid w:val="0089163C"/>
    <w:rsid w:val="008956C3"/>
    <w:rsid w:val="008B63AE"/>
    <w:rsid w:val="008C3E63"/>
    <w:rsid w:val="008F1C0B"/>
    <w:rsid w:val="008F4382"/>
    <w:rsid w:val="00907C94"/>
    <w:rsid w:val="00912022"/>
    <w:rsid w:val="00912E87"/>
    <w:rsid w:val="00913829"/>
    <w:rsid w:val="00917EBB"/>
    <w:rsid w:val="0092011B"/>
    <w:rsid w:val="00930ECE"/>
    <w:rsid w:val="00933991"/>
    <w:rsid w:val="00935236"/>
    <w:rsid w:val="00956B7A"/>
    <w:rsid w:val="00962154"/>
    <w:rsid w:val="00964C7B"/>
    <w:rsid w:val="00971EE0"/>
    <w:rsid w:val="0097343E"/>
    <w:rsid w:val="00977423"/>
    <w:rsid w:val="0098085B"/>
    <w:rsid w:val="00981803"/>
    <w:rsid w:val="009910AC"/>
    <w:rsid w:val="00997E95"/>
    <w:rsid w:val="009A6803"/>
    <w:rsid w:val="009A7ECB"/>
    <w:rsid w:val="009B1718"/>
    <w:rsid w:val="009C2474"/>
    <w:rsid w:val="009C5056"/>
    <w:rsid w:val="009D55F4"/>
    <w:rsid w:val="009F2B97"/>
    <w:rsid w:val="009F5BDA"/>
    <w:rsid w:val="009F6432"/>
    <w:rsid w:val="00A02E93"/>
    <w:rsid w:val="00A037C2"/>
    <w:rsid w:val="00A11DFA"/>
    <w:rsid w:val="00A3121F"/>
    <w:rsid w:val="00A4069C"/>
    <w:rsid w:val="00A4382E"/>
    <w:rsid w:val="00A47094"/>
    <w:rsid w:val="00A50D24"/>
    <w:rsid w:val="00A57A07"/>
    <w:rsid w:val="00A62FE7"/>
    <w:rsid w:val="00A637FB"/>
    <w:rsid w:val="00A76A9D"/>
    <w:rsid w:val="00A77AEF"/>
    <w:rsid w:val="00A80300"/>
    <w:rsid w:val="00A904F8"/>
    <w:rsid w:val="00A93644"/>
    <w:rsid w:val="00A93972"/>
    <w:rsid w:val="00AA2331"/>
    <w:rsid w:val="00AB19FD"/>
    <w:rsid w:val="00AB4F53"/>
    <w:rsid w:val="00AC2479"/>
    <w:rsid w:val="00AC700F"/>
    <w:rsid w:val="00AD4B61"/>
    <w:rsid w:val="00AD4E56"/>
    <w:rsid w:val="00AD53A3"/>
    <w:rsid w:val="00AD6C17"/>
    <w:rsid w:val="00B14C40"/>
    <w:rsid w:val="00B21BD5"/>
    <w:rsid w:val="00B256DC"/>
    <w:rsid w:val="00B27206"/>
    <w:rsid w:val="00B31DE2"/>
    <w:rsid w:val="00B34AD4"/>
    <w:rsid w:val="00B41960"/>
    <w:rsid w:val="00B4676C"/>
    <w:rsid w:val="00B47C24"/>
    <w:rsid w:val="00B81C06"/>
    <w:rsid w:val="00B9329E"/>
    <w:rsid w:val="00BA43D7"/>
    <w:rsid w:val="00BB76F7"/>
    <w:rsid w:val="00BC5901"/>
    <w:rsid w:val="00C01178"/>
    <w:rsid w:val="00C019D6"/>
    <w:rsid w:val="00C024CA"/>
    <w:rsid w:val="00C031A6"/>
    <w:rsid w:val="00C047B2"/>
    <w:rsid w:val="00C0732D"/>
    <w:rsid w:val="00C07623"/>
    <w:rsid w:val="00C10C5E"/>
    <w:rsid w:val="00C16C2F"/>
    <w:rsid w:val="00C263AB"/>
    <w:rsid w:val="00C47450"/>
    <w:rsid w:val="00C62974"/>
    <w:rsid w:val="00C7399A"/>
    <w:rsid w:val="00C86D03"/>
    <w:rsid w:val="00C9280D"/>
    <w:rsid w:val="00C9738B"/>
    <w:rsid w:val="00CC0AD3"/>
    <w:rsid w:val="00CD2AE7"/>
    <w:rsid w:val="00CD39D3"/>
    <w:rsid w:val="00CD6FC3"/>
    <w:rsid w:val="00CE041A"/>
    <w:rsid w:val="00CF43CC"/>
    <w:rsid w:val="00CF6A15"/>
    <w:rsid w:val="00D07A4B"/>
    <w:rsid w:val="00D112EA"/>
    <w:rsid w:val="00D116A8"/>
    <w:rsid w:val="00D12D58"/>
    <w:rsid w:val="00D15B5B"/>
    <w:rsid w:val="00D40009"/>
    <w:rsid w:val="00D52F49"/>
    <w:rsid w:val="00D5394F"/>
    <w:rsid w:val="00D54375"/>
    <w:rsid w:val="00D56E4A"/>
    <w:rsid w:val="00D650AA"/>
    <w:rsid w:val="00D65E00"/>
    <w:rsid w:val="00D74DD0"/>
    <w:rsid w:val="00D85034"/>
    <w:rsid w:val="00D86436"/>
    <w:rsid w:val="00D865DA"/>
    <w:rsid w:val="00D9286F"/>
    <w:rsid w:val="00D97C5D"/>
    <w:rsid w:val="00DA0995"/>
    <w:rsid w:val="00DA122C"/>
    <w:rsid w:val="00DA2285"/>
    <w:rsid w:val="00DA24CC"/>
    <w:rsid w:val="00DA56DB"/>
    <w:rsid w:val="00DA5FDB"/>
    <w:rsid w:val="00DB10E5"/>
    <w:rsid w:val="00DB201D"/>
    <w:rsid w:val="00DB2E85"/>
    <w:rsid w:val="00DB7689"/>
    <w:rsid w:val="00DD2533"/>
    <w:rsid w:val="00DD79BF"/>
    <w:rsid w:val="00DE4C69"/>
    <w:rsid w:val="00DF5C46"/>
    <w:rsid w:val="00E0685B"/>
    <w:rsid w:val="00E15066"/>
    <w:rsid w:val="00E16512"/>
    <w:rsid w:val="00E25243"/>
    <w:rsid w:val="00E2777E"/>
    <w:rsid w:val="00E40B65"/>
    <w:rsid w:val="00E45211"/>
    <w:rsid w:val="00E64AAB"/>
    <w:rsid w:val="00E659E5"/>
    <w:rsid w:val="00E72165"/>
    <w:rsid w:val="00E7715C"/>
    <w:rsid w:val="00E82701"/>
    <w:rsid w:val="00E84DEA"/>
    <w:rsid w:val="00EA75C6"/>
    <w:rsid w:val="00EB03DD"/>
    <w:rsid w:val="00EB0C4E"/>
    <w:rsid w:val="00EB76AC"/>
    <w:rsid w:val="00EC6BAA"/>
    <w:rsid w:val="00ED15F0"/>
    <w:rsid w:val="00ED2C6E"/>
    <w:rsid w:val="00ED53FF"/>
    <w:rsid w:val="00ED5690"/>
    <w:rsid w:val="00EE0794"/>
    <w:rsid w:val="00EE2AFF"/>
    <w:rsid w:val="00EE6417"/>
    <w:rsid w:val="00EE6F97"/>
    <w:rsid w:val="00EF7DA9"/>
    <w:rsid w:val="00F01909"/>
    <w:rsid w:val="00F06BF8"/>
    <w:rsid w:val="00F11F99"/>
    <w:rsid w:val="00F22399"/>
    <w:rsid w:val="00F24AFD"/>
    <w:rsid w:val="00F275BD"/>
    <w:rsid w:val="00F31EA7"/>
    <w:rsid w:val="00F333D0"/>
    <w:rsid w:val="00F40B34"/>
    <w:rsid w:val="00F41843"/>
    <w:rsid w:val="00F41EE6"/>
    <w:rsid w:val="00F467E5"/>
    <w:rsid w:val="00F51FAF"/>
    <w:rsid w:val="00F565DF"/>
    <w:rsid w:val="00F76538"/>
    <w:rsid w:val="00F84818"/>
    <w:rsid w:val="00F91355"/>
    <w:rsid w:val="00F95099"/>
    <w:rsid w:val="00FA55BE"/>
    <w:rsid w:val="00FC2F7E"/>
    <w:rsid w:val="00FD0BD2"/>
    <w:rsid w:val="00FD2296"/>
    <w:rsid w:val="00FD682E"/>
    <w:rsid w:val="00FE119A"/>
    <w:rsid w:val="00FE33F9"/>
    <w:rsid w:val="00FE4EEB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4C3"/>
  <w15:chartTrackingRefBased/>
  <w15:docId w15:val="{B1B9B2CF-BC23-419A-96F7-A76B83C0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5DF"/>
  </w:style>
  <w:style w:type="paragraph" w:styleId="Stopka">
    <w:name w:val="footer"/>
    <w:basedOn w:val="Normalny"/>
    <w:link w:val="StopkaZnak"/>
    <w:uiPriority w:val="99"/>
    <w:unhideWhenUsed/>
    <w:rsid w:val="00F5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5DF"/>
  </w:style>
  <w:style w:type="paragraph" w:styleId="Tytu">
    <w:name w:val="Title"/>
    <w:basedOn w:val="Normalny"/>
    <w:next w:val="Normalny"/>
    <w:link w:val="TytuZnak"/>
    <w:uiPriority w:val="10"/>
    <w:qFormat/>
    <w:rsid w:val="00F565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D5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5C8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6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6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36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02.2026%20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6%20stan%20na%201.04.2026%20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>
                <a:effectLst/>
              </a:rPr>
              <a:t>Liczba osób ubiegających się w Polsce o udzielenie ochrony międzynarodowej</a:t>
            </a:r>
            <a:r>
              <a:rPr lang="pl-PL" sz="1000" b="1" i="0" baseline="0">
                <a:effectLst/>
              </a:rPr>
              <a:t> </a:t>
            </a:r>
            <a:br>
              <a:rPr lang="pl-PL" sz="1000" b="1" i="0" baseline="0">
                <a:effectLst/>
              </a:rPr>
            </a:br>
            <a:r>
              <a:rPr lang="en-US" sz="1000" b="1" i="0" baseline="0">
                <a:effectLst/>
              </a:rPr>
              <a:t>w latach 201</a:t>
            </a:r>
            <a:r>
              <a:rPr lang="pl-PL" sz="1000" b="1" i="0" baseline="0">
                <a:effectLst/>
              </a:rPr>
              <a:t>6</a:t>
            </a:r>
            <a:r>
              <a:rPr lang="en-US" sz="1000" b="1" i="0" baseline="0">
                <a:effectLst/>
              </a:rPr>
              <a:t>-202</a:t>
            </a:r>
            <a:r>
              <a:rPr lang="pl-PL" sz="1000" b="1" i="0" baseline="0">
                <a:effectLst/>
              </a:rPr>
              <a:t>6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4348622047244095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WNIOSKI!$B$1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WNIOSKI!$A$3:$A$13</c:f>
              <c:numCache>
                <c:formatCode>General</c:formatCod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</c:numCache>
            </c:numRef>
          </c:cat>
          <c:val>
            <c:numRef>
              <c:f>WNIOSKI!$B$3:$B$13</c:f>
              <c:numCache>
                <c:formatCode>#,##0</c:formatCode>
                <c:ptCount val="11"/>
                <c:pt idx="0">
                  <c:v>12322</c:v>
                </c:pt>
                <c:pt idx="1">
                  <c:v>5078</c:v>
                </c:pt>
                <c:pt idx="2">
                  <c:v>4135</c:v>
                </c:pt>
                <c:pt idx="3">
                  <c:v>4095</c:v>
                </c:pt>
                <c:pt idx="4">
                  <c:v>2803</c:v>
                </c:pt>
                <c:pt idx="5">
                  <c:v>7699</c:v>
                </c:pt>
                <c:pt idx="6">
                  <c:v>9933</c:v>
                </c:pt>
                <c:pt idx="7">
                  <c:v>9511</c:v>
                </c:pt>
                <c:pt idx="8">
                  <c:v>17053</c:v>
                </c:pt>
                <c:pt idx="9">
                  <c:v>13232</c:v>
                </c:pt>
                <c:pt idx="10">
                  <c:v>1639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60-4DDB-874F-84A765C094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86827432"/>
        <c:axId val="486829000"/>
      </c:barChart>
      <c:catAx>
        <c:axId val="486827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829000"/>
        <c:crosses val="autoZero"/>
        <c:auto val="1"/>
        <c:lblAlgn val="ctr"/>
        <c:lblOffset val="100"/>
        <c:noMultiLvlLbl val="0"/>
      </c:catAx>
      <c:valAx>
        <c:axId val="486829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827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>
                <a:effectLst/>
              </a:rPr>
              <a:t>ochrona uzupełniająca</a:t>
            </a:r>
            <a:endParaRPr lang="en-US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27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891835471170942"/>
          <c:y val="0.25362896971015936"/>
          <c:w val="0.79811166497332997"/>
          <c:h val="0.62091927571094185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4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7A6-4638-961F-CA2818D0AF74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7A6-4638-961F-CA2818D0AF74}"/>
              </c:ext>
            </c:extLst>
          </c:dPt>
          <c:dPt>
            <c:idx val="2"/>
            <c:bubble3D val="0"/>
            <c:spPr>
              <a:solidFill>
                <a:schemeClr val="accent5">
                  <a:tint val="83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7A6-4638-961F-CA2818D0AF74}"/>
              </c:ext>
            </c:extLst>
          </c:dPt>
          <c:dPt>
            <c:idx val="3"/>
            <c:bubble3D val="0"/>
            <c:spPr>
              <a:solidFill>
                <a:schemeClr val="accent5">
                  <a:tint val="83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7A6-4638-961F-CA2818D0AF74}"/>
              </c:ext>
            </c:extLst>
          </c:dPt>
          <c:dPt>
            <c:idx val="4"/>
            <c:bubble3D val="0"/>
            <c:spPr>
              <a:solidFill>
                <a:schemeClr val="accent5">
                  <a:shade val="7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7A6-4638-961F-CA2818D0AF74}"/>
              </c:ext>
            </c:extLst>
          </c:dPt>
          <c:dPt>
            <c:idx val="5"/>
            <c:bubble3D val="0"/>
            <c:spPr>
              <a:solidFill>
                <a:schemeClr val="accent5">
                  <a:shade val="82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C7A6-4638-961F-CA2818D0AF74}"/>
              </c:ext>
            </c:extLst>
          </c:dPt>
          <c:dPt>
            <c:idx val="6"/>
            <c:bubble3D val="0"/>
            <c:spPr>
              <a:solidFill>
                <a:schemeClr val="accent5">
                  <a:shade val="47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C7A6-4638-961F-CA2818D0AF74}"/>
              </c:ext>
            </c:extLst>
          </c:dPt>
          <c:dLbls>
            <c:dLbl>
              <c:idx val="0"/>
              <c:layout>
                <c:manualLayout>
                  <c:x val="-0.12382643827787655"/>
                  <c:y val="0.1165456199774498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A6-4638-961F-CA2818D0AF74}"/>
                </c:ext>
              </c:extLst>
            </c:dLbl>
            <c:dLbl>
              <c:idx val="1"/>
              <c:layout>
                <c:manualLayout>
                  <c:x val="0.15526455740411479"/>
                  <c:y val="-0.1354136231353909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A6-4638-961F-CA2818D0AF74}"/>
                </c:ext>
              </c:extLst>
            </c:dLbl>
            <c:dLbl>
              <c:idx val="2"/>
              <c:layout>
                <c:manualLayout>
                  <c:x val="6.5480537211074427E-2"/>
                  <c:y val="0.138476177687433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A6-4638-961F-CA2818D0AF74}"/>
                </c:ext>
              </c:extLst>
            </c:dLbl>
            <c:dLbl>
              <c:idx val="3"/>
              <c:layout>
                <c:manualLayout>
                  <c:x val="-1.4324348956592674E-2"/>
                  <c:y val="4.886511898489225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013104838709673"/>
                      <c:h val="0.189944134078212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7A6-4638-961F-CA2818D0AF74}"/>
                </c:ext>
              </c:extLst>
            </c:dLbl>
            <c:dLbl>
              <c:idx val="4"/>
              <c:layout>
                <c:manualLayout>
                  <c:x val="-2.2533020066040143E-2"/>
                  <c:y val="-7.7380668492592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7A6-4638-961F-CA2818D0AF74}"/>
                </c:ext>
              </c:extLst>
            </c:dLbl>
            <c:dLbl>
              <c:idx val="5"/>
              <c:layout>
                <c:manualLayout>
                  <c:x val="3.2325533401066685E-3"/>
                  <c:y val="-0.2106226283608110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A6-4638-961F-CA2818D0AF74}"/>
                </c:ext>
              </c:extLst>
            </c:dLbl>
            <c:dLbl>
              <c:idx val="6"/>
              <c:layout>
                <c:manualLayout>
                  <c:x val="0.14479616459232916"/>
                  <c:y val="-0.2040113259879562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7A6-4638-961F-CA2818D0AF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DECYZJE!$A$77:$A$83</c:f>
              <c:strCache>
                <c:ptCount val="7"/>
                <c:pt idx="0">
                  <c:v>BIAŁORUŚ</c:v>
                </c:pt>
                <c:pt idx="1">
                  <c:v>UKRAINA</c:v>
                </c:pt>
                <c:pt idx="2">
                  <c:v>ETIOPIA</c:v>
                </c:pt>
                <c:pt idx="3">
                  <c:v>TADŻYKISTAN</c:v>
                </c:pt>
                <c:pt idx="4">
                  <c:v>JEMEN</c:v>
                </c:pt>
                <c:pt idx="5">
                  <c:v>SUDAN</c:v>
                </c:pt>
                <c:pt idx="6">
                  <c:v>Pozostałe</c:v>
                </c:pt>
              </c:strCache>
            </c:strRef>
          </c:cat>
          <c:val>
            <c:numRef>
              <c:f>DECYZJE!$B$77:$B$83</c:f>
              <c:numCache>
                <c:formatCode>#,##0</c:formatCode>
                <c:ptCount val="7"/>
                <c:pt idx="0">
                  <c:v>342</c:v>
                </c:pt>
                <c:pt idx="1">
                  <c:v>54</c:v>
                </c:pt>
                <c:pt idx="2">
                  <c:v>10</c:v>
                </c:pt>
                <c:pt idx="3">
                  <c:v>7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7A6-4638-961F-CA2818D0AF7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negatywne</a:t>
            </a:r>
          </a:p>
        </c:rich>
      </c:tx>
      <c:layout>
        <c:manualLayout>
          <c:xMode val="edge"/>
          <c:yMode val="edge"/>
          <c:x val="0.45227193608358907"/>
          <c:y val="8.716750747232750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55035560071118E-2"/>
          <c:y val="0.2501797757491428"/>
          <c:w val="0.86933261366522729"/>
          <c:h val="0.68485230143056586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A91-4AAA-9ED1-31C075C2A775}"/>
              </c:ext>
            </c:extLst>
          </c:dPt>
          <c:dPt>
            <c:idx val="1"/>
            <c:bubble3D val="0"/>
            <c:spPr>
              <a:solidFill>
                <a:schemeClr val="accent5">
                  <a:tint val="62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A91-4AAA-9ED1-31C075C2A775}"/>
              </c:ext>
            </c:extLst>
          </c:dPt>
          <c:dPt>
            <c:idx val="2"/>
            <c:bubble3D val="0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A91-4AAA-9ED1-31C075C2A775}"/>
              </c:ext>
            </c:extLst>
          </c:dPt>
          <c:dPt>
            <c:idx val="3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A91-4AAA-9ED1-31C075C2A775}"/>
              </c:ext>
            </c:extLst>
          </c:dPt>
          <c:dPt>
            <c:idx val="4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8A91-4AAA-9ED1-31C075C2A775}"/>
              </c:ext>
            </c:extLst>
          </c:dPt>
          <c:dPt>
            <c:idx val="5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8A91-4AAA-9ED1-31C075C2A775}"/>
              </c:ext>
            </c:extLst>
          </c:dPt>
          <c:dPt>
            <c:idx val="6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8A91-4AAA-9ED1-31C075C2A775}"/>
              </c:ext>
            </c:extLst>
          </c:dPt>
          <c:dPt>
            <c:idx val="7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8A91-4AAA-9ED1-31C075C2A77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047B7CD-1A57-4C42-924B-D15A5A76F4A4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5D9B1972-94F0-4D63-BDA1-7EB0B10873FE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E9EAD1CA-0B9E-42CC-B30C-75780537A619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A91-4AAA-9ED1-31C075C2A775}"/>
                </c:ext>
              </c:extLst>
            </c:dLbl>
            <c:dLbl>
              <c:idx val="1"/>
              <c:layout>
                <c:manualLayout>
                  <c:x val="1.4451835153670297E-2"/>
                  <c:y val="0.22273671245372481"/>
                </c:manualLayout>
              </c:layout>
              <c:tx>
                <c:rich>
                  <a:bodyPr/>
                  <a:lstStyle/>
                  <a:p>
                    <a:fld id="{CF2BE877-0A7C-4683-95CA-8E0E4CE83AE4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D4E00F23-3B65-4B65-8AD2-7AFA2D6E15E0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0EFD5CA2-9633-4F21-A1C4-E9B9F85A967E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A91-4AAA-9ED1-31C075C2A775}"/>
                </c:ext>
              </c:extLst>
            </c:dLbl>
            <c:dLbl>
              <c:idx val="2"/>
              <c:layout>
                <c:manualLayout>
                  <c:x val="-7.2038115951231899E-2"/>
                  <c:y val="0.16809646074452395"/>
                </c:manualLayout>
              </c:layout>
              <c:tx>
                <c:rich>
                  <a:bodyPr/>
                  <a:lstStyle/>
                  <a:p>
                    <a:fld id="{B5E407BA-6FB2-4FDC-B215-4F0219D5B67D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AA1B7BD2-5F90-4583-8311-26753354319C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E9219B0E-6E03-4875-B706-37018DA2DEF6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A91-4AAA-9ED1-31C075C2A775}"/>
                </c:ext>
              </c:extLst>
            </c:dLbl>
            <c:dLbl>
              <c:idx val="3"/>
              <c:layout>
                <c:manualLayout>
                  <c:x val="-0.10625317500635001"/>
                  <c:y val="4.1511181287578691E-2"/>
                </c:manualLayout>
              </c:layout>
              <c:tx>
                <c:rich>
                  <a:bodyPr/>
                  <a:lstStyle/>
                  <a:p>
                    <a:fld id="{365A6BC1-A612-4392-814D-F665BEA7495A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0D5F4AAE-D4A6-4568-8CE9-8531AB23731D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CD09775D-2795-4F3C-860E-881D11CFBDFE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A91-4AAA-9ED1-31C075C2A775}"/>
                </c:ext>
              </c:extLst>
            </c:dLbl>
            <c:dLbl>
              <c:idx val="4"/>
              <c:layout>
                <c:manualLayout>
                  <c:x val="-9.5350600076200165E-2"/>
                  <c:y val="-5.8321429315601969E-2"/>
                </c:manualLayout>
              </c:layout>
              <c:tx>
                <c:rich>
                  <a:bodyPr/>
                  <a:lstStyle/>
                  <a:p>
                    <a:fld id="{5A6D2B23-4C4C-474E-8892-DF47933FD473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9CD08D36-BF58-45CF-8349-987625106CFF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51FE153F-7B8C-42AF-8E8A-ABD98AF7CF3F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A91-4AAA-9ED1-31C075C2A775}"/>
                </c:ext>
              </c:extLst>
            </c:dLbl>
            <c:dLbl>
              <c:idx val="5"/>
              <c:layout>
                <c:manualLayout>
                  <c:x val="-3.0564455305155822E-2"/>
                  <c:y val="-0.11498612673415823"/>
                </c:manualLayout>
              </c:layout>
              <c:tx>
                <c:rich>
                  <a:bodyPr/>
                  <a:lstStyle/>
                  <a:p>
                    <a:fld id="{398DEDBD-2A24-4A8C-8F73-496B2BFD7393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8B41D60E-A357-4CAB-B650-1D7473A01DC7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5024A4EB-560A-4166-852F-81BB6F7DF8CC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A91-4AAA-9ED1-31C075C2A775}"/>
                </c:ext>
              </c:extLst>
            </c:dLbl>
            <c:dLbl>
              <c:idx val="6"/>
              <c:layout>
                <c:manualLayout>
                  <c:x val="0.1029122745745491"/>
                  <c:y val="-6.8306912973720116E-2"/>
                </c:manualLayout>
              </c:layout>
              <c:tx>
                <c:rich>
                  <a:bodyPr/>
                  <a:lstStyle/>
                  <a:p>
                    <a:fld id="{39F3CCA4-A9F0-4907-B8DD-4A9844D58610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6A4C4478-4078-4BCD-945B-03081A4C5B31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222A26C8-8D6D-4FE0-8D53-55C48989D6E7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A91-4AAA-9ED1-31C075C2A775}"/>
                </c:ext>
              </c:extLst>
            </c:dLbl>
            <c:dLbl>
              <c:idx val="7"/>
              <c:layout>
                <c:manualLayout>
                  <c:x val="0.22819286576073153"/>
                  <c:y val="3.0877439937767235E-2"/>
                </c:manualLayout>
              </c:layout>
              <c:tx>
                <c:rich>
                  <a:bodyPr/>
                  <a:lstStyle/>
                  <a:p>
                    <a:fld id="{241E4504-B796-4812-8E59-DF05F23D84AC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CF80A29C-A5D4-4E6D-9948-0656CF4BB32F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5B87F117-4CDA-47F5-9304-147EAE2B1BAE}" type="PERCENTAGE">
                      <a:rPr lang="en-US" baseline="0"/>
                      <a:pPr/>
                      <a:t>[PROCENTOWE]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A91-4AAA-9ED1-31C075C2A7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DECYZJE!$A$99:$A$106</c:f>
              <c:strCache>
                <c:ptCount val="8"/>
                <c:pt idx="0">
                  <c:v>UKRAINA</c:v>
                </c:pt>
                <c:pt idx="1">
                  <c:v>ROSJA</c:v>
                </c:pt>
                <c:pt idx="2">
                  <c:v>AFGANISTAN</c:v>
                </c:pt>
                <c:pt idx="3">
                  <c:v>KIRGISTAN</c:v>
                </c:pt>
                <c:pt idx="4">
                  <c:v>ALGIERIA</c:v>
                </c:pt>
                <c:pt idx="5">
                  <c:v>EGIPT</c:v>
                </c:pt>
                <c:pt idx="6">
                  <c:v>GRUZJA</c:v>
                </c:pt>
                <c:pt idx="7">
                  <c:v>POZOSTAŁE</c:v>
                </c:pt>
              </c:strCache>
            </c:strRef>
          </c:cat>
          <c:val>
            <c:numRef>
              <c:f>DECYZJE!$B$99:$B$106</c:f>
              <c:numCache>
                <c:formatCode>#,##0</c:formatCode>
                <c:ptCount val="8"/>
                <c:pt idx="0">
                  <c:v>1069</c:v>
                </c:pt>
                <c:pt idx="1">
                  <c:v>89</c:v>
                </c:pt>
                <c:pt idx="2">
                  <c:v>38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A91-4AAA-9ED1-31C075C2A77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umorzenia</a:t>
            </a:r>
            <a:endParaRPr lang="en-US" sz="1000"/>
          </a:p>
        </c:rich>
      </c:tx>
      <c:layout>
        <c:manualLayout>
          <c:xMode val="edge"/>
          <c:yMode val="edge"/>
          <c:x val="0.37380371693048381"/>
          <c:y val="1.10364519850655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59028130556262"/>
          <c:y val="0.20735216830621842"/>
          <c:w val="0.78371962276402163"/>
          <c:h val="0.61272894491696739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8CD-4371-B7D7-B77FB57913B4}"/>
              </c:ext>
            </c:extLst>
          </c:dPt>
          <c:dPt>
            <c:idx val="1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8CD-4371-B7D7-B77FB57913B4}"/>
              </c:ext>
            </c:extLst>
          </c:dPt>
          <c:dPt>
            <c:idx val="2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8CD-4371-B7D7-B77FB57913B4}"/>
              </c:ext>
            </c:extLst>
          </c:dPt>
          <c:dPt>
            <c:idx val="3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8CD-4371-B7D7-B77FB57913B4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8CD-4371-B7D7-B77FB57913B4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C8CD-4371-B7D7-B77FB57913B4}"/>
              </c:ext>
            </c:extLst>
          </c:dPt>
          <c:dLbls>
            <c:dLbl>
              <c:idx val="0"/>
              <c:layout>
                <c:manualLayout>
                  <c:x val="-0.18278630619761249"/>
                  <c:y val="5.05645629932835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CD-4371-B7D7-B77FB57913B4}"/>
                </c:ext>
              </c:extLst>
            </c:dLbl>
            <c:dLbl>
              <c:idx val="1"/>
              <c:layout>
                <c:manualLayout>
                  <c:x val="8.1587879337945458E-3"/>
                  <c:y val="-1.161833069994019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CD-4371-B7D7-B77FB57913B4}"/>
                </c:ext>
              </c:extLst>
            </c:dLbl>
            <c:dLbl>
              <c:idx val="2"/>
              <c:layout>
                <c:manualLayout>
                  <c:x val="3.7620434369625734E-2"/>
                  <c:y val="-2.1299321407654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CD-4371-B7D7-B77FB57913B4}"/>
                </c:ext>
              </c:extLst>
            </c:dLbl>
            <c:dLbl>
              <c:idx val="3"/>
              <c:layout>
                <c:manualLayout>
                  <c:x val="0.1271905871454257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487823160016337"/>
                      <c:h val="0.161631343040015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8CD-4371-B7D7-B77FB57913B4}"/>
                </c:ext>
              </c:extLst>
            </c:dLbl>
            <c:dLbl>
              <c:idx val="4"/>
              <c:layout>
                <c:manualLayout>
                  <c:x val="-2.9082484535421047E-2"/>
                  <c:y val="-7.405995953090871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8CD-4371-B7D7-B77FB57913B4}"/>
                </c:ext>
              </c:extLst>
            </c:dLbl>
            <c:dLbl>
              <c:idx val="5"/>
              <c:layout>
                <c:manualLayout>
                  <c:x val="0.15003492506985014"/>
                  <c:y val="6.04611427393980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8CD-4371-B7D7-B77FB57913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DECYZJE!$A$111:$A$116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SOMALIA</c:v>
                </c:pt>
                <c:pt idx="3">
                  <c:v>TADŻYKISTAN</c:v>
                </c:pt>
                <c:pt idx="4">
                  <c:v>AFGANISTAN</c:v>
                </c:pt>
                <c:pt idx="5">
                  <c:v>POZOSTAŁE</c:v>
                </c:pt>
              </c:strCache>
            </c:strRef>
          </c:cat>
          <c:val>
            <c:numRef>
              <c:f>DECYZJE!$B$111:$B$116</c:f>
              <c:numCache>
                <c:formatCode>#,##0</c:formatCode>
                <c:ptCount val="6"/>
                <c:pt idx="0">
                  <c:v>202</c:v>
                </c:pt>
                <c:pt idx="1">
                  <c:v>61</c:v>
                </c:pt>
                <c:pt idx="2">
                  <c:v>51</c:v>
                </c:pt>
                <c:pt idx="3">
                  <c:v>43</c:v>
                </c:pt>
                <c:pt idx="4">
                  <c:v>36</c:v>
                </c:pt>
                <c:pt idx="5">
                  <c:v>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8CD-4371-B7D7-B77FB57913B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 osób ubiegających się o udzielenie ochrony międzynarodowej </a:t>
            </a:r>
            <a:br>
              <a:rPr lang="pl-PL" sz="1000"/>
            </a:br>
            <a:r>
              <a:rPr lang="pl-PL" sz="1000"/>
              <a:t>w latach 2024-2026</a:t>
            </a:r>
          </a:p>
        </c:rich>
      </c:tx>
      <c:layout>
        <c:manualLayout>
          <c:xMode val="edge"/>
          <c:yMode val="edge"/>
          <c:x val="0.19138713696676984"/>
          <c:y val="1.01683551238338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2728215845057278E-2"/>
          <c:y val="0.17646669455001726"/>
          <c:w val="0.91641870358622235"/>
          <c:h val="0.49020494262697534"/>
        </c:manualLayout>
      </c:layout>
      <c:barChart>
        <c:barDir val="col"/>
        <c:grouping val="clustered"/>
        <c:varyColors val="0"/>
        <c:ser>
          <c:idx val="8"/>
          <c:order val="8"/>
          <c:tx>
            <c:strRef>
              <c:f>WNIOSKI!$A$28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relaxedInset"/>
              <a:contourClr>
                <a:srgbClr val="000000"/>
              </a:contourClr>
            </a:sp3d>
          </c:spPr>
          <c:invertIfNegative val="0"/>
          <c:dLbls>
            <c:dLbl>
              <c:idx val="1"/>
              <c:layout>
                <c:manualLayout>
                  <c:x val="-5.687203791469194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77-490B-AC44-0BAA56B738FA}"/>
                </c:ext>
              </c:extLst>
            </c:dLbl>
            <c:dLbl>
              <c:idx val="2"/>
              <c:layout>
                <c:manualLayout>
                  <c:x val="-7.582938388625592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77-490B-AC44-0BAA56B738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WNIOSKI!$B$19:$M$19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WNIOSKI!$B$28:$M$28</c:f>
              <c:numCache>
                <c:formatCode>#,##0</c:formatCode>
                <c:ptCount val="12"/>
                <c:pt idx="0">
                  <c:v>907</c:v>
                </c:pt>
                <c:pt idx="1">
                  <c:v>1053</c:v>
                </c:pt>
                <c:pt idx="2">
                  <c:v>1056</c:v>
                </c:pt>
                <c:pt idx="3">
                  <c:v>1291</c:v>
                </c:pt>
                <c:pt idx="4">
                  <c:v>1791</c:v>
                </c:pt>
                <c:pt idx="5">
                  <c:v>1860</c:v>
                </c:pt>
                <c:pt idx="6">
                  <c:v>1476</c:v>
                </c:pt>
                <c:pt idx="7">
                  <c:v>1346</c:v>
                </c:pt>
                <c:pt idx="8">
                  <c:v>1631</c:v>
                </c:pt>
                <c:pt idx="9">
                  <c:v>1553</c:v>
                </c:pt>
                <c:pt idx="10">
                  <c:v>1575</c:v>
                </c:pt>
                <c:pt idx="11">
                  <c:v>1514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77-490B-AC44-0BAA56B738FA}"/>
            </c:ext>
          </c:extLst>
        </c:ser>
        <c:ser>
          <c:idx val="9"/>
          <c:order val="9"/>
          <c:tx>
            <c:strRef>
              <c:f>WNIOSKI!$A$29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Lbls>
            <c:dLbl>
              <c:idx val="3"/>
              <c:layout>
                <c:manualLayout>
                  <c:x val="7.582938388625592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77-490B-AC44-0BAA56B738FA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>
                <a:glow rad="139700">
                  <a:srgbClr val="7030A0">
                    <a:alpha val="40000"/>
                  </a:srgbClr>
                </a:glo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WNIOSKI!$B$19:$M$19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WNIOSKI!$B$29:$M$29</c:f>
              <c:numCache>
                <c:formatCode>#,##0</c:formatCode>
                <c:ptCount val="12"/>
                <c:pt idx="0">
                  <c:v>1794</c:v>
                </c:pt>
                <c:pt idx="1">
                  <c:v>1718</c:v>
                </c:pt>
                <c:pt idx="2">
                  <c:v>1652</c:v>
                </c:pt>
                <c:pt idx="3">
                  <c:v>1205</c:v>
                </c:pt>
                <c:pt idx="4">
                  <c:v>1166</c:v>
                </c:pt>
                <c:pt idx="5">
                  <c:v>1050</c:v>
                </c:pt>
                <c:pt idx="6">
                  <c:v>965</c:v>
                </c:pt>
                <c:pt idx="7">
                  <c:v>810</c:v>
                </c:pt>
                <c:pt idx="8">
                  <c:v>879</c:v>
                </c:pt>
                <c:pt idx="9">
                  <c:v>767</c:v>
                </c:pt>
                <c:pt idx="10">
                  <c:v>575</c:v>
                </c:pt>
                <c:pt idx="11">
                  <c:v>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77-490B-AC44-0BAA56B738FA}"/>
            </c:ext>
          </c:extLst>
        </c:ser>
        <c:ser>
          <c:idx val="10"/>
          <c:order val="10"/>
          <c:tx>
            <c:strRef>
              <c:f>WNIOSKI!$A$30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WNIOSKI!$B$19:$M$19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WNIOSKI!$B$30:$M$30</c:f>
              <c:numCache>
                <c:formatCode>#,##0</c:formatCode>
                <c:ptCount val="12"/>
                <c:pt idx="0">
                  <c:v>554</c:v>
                </c:pt>
                <c:pt idx="1">
                  <c:v>530</c:v>
                </c:pt>
                <c:pt idx="2">
                  <c:v>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B77-490B-AC44-0BAA56B738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86831744"/>
        <c:axId val="48682782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WNIOSKI!$A$20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42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42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42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WNIOSKI!$B$20:$M$20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683</c:v>
                      </c:pt>
                      <c:pt idx="1">
                        <c:v>966</c:v>
                      </c:pt>
                      <c:pt idx="2">
                        <c:v>1231</c:v>
                      </c:pt>
                      <c:pt idx="3">
                        <c:v>1314</c:v>
                      </c:pt>
                      <c:pt idx="4">
                        <c:v>1553</c:v>
                      </c:pt>
                      <c:pt idx="5">
                        <c:v>1657</c:v>
                      </c:pt>
                      <c:pt idx="6">
                        <c:v>1185</c:v>
                      </c:pt>
                      <c:pt idx="7">
                        <c:v>941</c:v>
                      </c:pt>
                      <c:pt idx="8">
                        <c:v>853</c:v>
                      </c:pt>
                      <c:pt idx="9">
                        <c:v>682</c:v>
                      </c:pt>
                      <c:pt idx="10">
                        <c:v>636</c:v>
                      </c:pt>
                      <c:pt idx="11">
                        <c:v>618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AB77-490B-AC44-0BAA56B738FA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WNIOSKI!$A$21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54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54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54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WNIOSKI!$B$21:$M$21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562</c:v>
                      </c:pt>
                      <c:pt idx="1">
                        <c:v>578</c:v>
                      </c:pt>
                      <c:pt idx="2">
                        <c:v>546</c:v>
                      </c:pt>
                      <c:pt idx="3">
                        <c:v>431</c:v>
                      </c:pt>
                      <c:pt idx="4">
                        <c:v>431</c:v>
                      </c:pt>
                      <c:pt idx="5">
                        <c:v>453</c:v>
                      </c:pt>
                      <c:pt idx="6">
                        <c:v>400</c:v>
                      </c:pt>
                      <c:pt idx="7">
                        <c:v>431</c:v>
                      </c:pt>
                      <c:pt idx="8">
                        <c:v>352</c:v>
                      </c:pt>
                      <c:pt idx="9">
                        <c:v>284</c:v>
                      </c:pt>
                      <c:pt idx="10">
                        <c:v>342</c:v>
                      </c:pt>
                      <c:pt idx="11">
                        <c:v>268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AB77-490B-AC44-0BAA56B738F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65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65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65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WNIOSKI!$B$22:$M$22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427</c:v>
                      </c:pt>
                      <c:pt idx="1">
                        <c:v>276</c:v>
                      </c:pt>
                      <c:pt idx="2">
                        <c:v>352</c:v>
                      </c:pt>
                      <c:pt idx="3">
                        <c:v>372</c:v>
                      </c:pt>
                      <c:pt idx="4">
                        <c:v>352</c:v>
                      </c:pt>
                      <c:pt idx="5">
                        <c:v>354</c:v>
                      </c:pt>
                      <c:pt idx="6">
                        <c:v>363</c:v>
                      </c:pt>
                      <c:pt idx="7">
                        <c:v>283</c:v>
                      </c:pt>
                      <c:pt idx="8">
                        <c:v>326</c:v>
                      </c:pt>
                      <c:pt idx="9">
                        <c:v>424</c:v>
                      </c:pt>
                      <c:pt idx="10">
                        <c:v>323</c:v>
                      </c:pt>
                      <c:pt idx="11">
                        <c:v>283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AB77-490B-AC44-0BAA56B738F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WNIOSKI!$A$23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8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8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8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WNIOSKI!$B$23:$M$23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310</c:v>
                      </c:pt>
                      <c:pt idx="1">
                        <c:v>305</c:v>
                      </c:pt>
                      <c:pt idx="2">
                        <c:v>356</c:v>
                      </c:pt>
                      <c:pt idx="3">
                        <c:v>297</c:v>
                      </c:pt>
                      <c:pt idx="4">
                        <c:v>307</c:v>
                      </c:pt>
                      <c:pt idx="5">
                        <c:v>277</c:v>
                      </c:pt>
                      <c:pt idx="6">
                        <c:v>334</c:v>
                      </c:pt>
                      <c:pt idx="7">
                        <c:v>377</c:v>
                      </c:pt>
                      <c:pt idx="8">
                        <c:v>381</c:v>
                      </c:pt>
                      <c:pt idx="9">
                        <c:v>410</c:v>
                      </c:pt>
                      <c:pt idx="10">
                        <c:v>402</c:v>
                      </c:pt>
                      <c:pt idx="11">
                        <c:v>340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AB77-490B-AC44-0BAA56B738FA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WNIOSKI!$A$24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WNIOSKI!$B$24:$M$24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374</c:v>
                      </c:pt>
                      <c:pt idx="1">
                        <c:v>363</c:v>
                      </c:pt>
                      <c:pt idx="2">
                        <c:v>167</c:v>
                      </c:pt>
                      <c:pt idx="3">
                        <c:v>62</c:v>
                      </c:pt>
                      <c:pt idx="4">
                        <c:v>136</c:v>
                      </c:pt>
                      <c:pt idx="5">
                        <c:v>212</c:v>
                      </c:pt>
                      <c:pt idx="6">
                        <c:v>215</c:v>
                      </c:pt>
                      <c:pt idx="7">
                        <c:v>183</c:v>
                      </c:pt>
                      <c:pt idx="8">
                        <c:v>241</c:v>
                      </c:pt>
                      <c:pt idx="9">
                        <c:v>311</c:v>
                      </c:pt>
                      <c:pt idx="10">
                        <c:v>277</c:v>
                      </c:pt>
                      <c:pt idx="11">
                        <c:v>262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AB77-490B-AC44-0BAA56B738FA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WNIOSKI!$A$25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8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8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8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WNIOSKI!$B$25:$M$25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246</c:v>
                      </c:pt>
                      <c:pt idx="1">
                        <c:v>184</c:v>
                      </c:pt>
                      <c:pt idx="2">
                        <c:v>289</c:v>
                      </c:pt>
                      <c:pt idx="3">
                        <c:v>304</c:v>
                      </c:pt>
                      <c:pt idx="4">
                        <c:v>304</c:v>
                      </c:pt>
                      <c:pt idx="5">
                        <c:v>355</c:v>
                      </c:pt>
                      <c:pt idx="6">
                        <c:v>669</c:v>
                      </c:pt>
                      <c:pt idx="7">
                        <c:v>1205</c:v>
                      </c:pt>
                      <c:pt idx="8">
                        <c:v>1623</c:v>
                      </c:pt>
                      <c:pt idx="9">
                        <c:v>964</c:v>
                      </c:pt>
                      <c:pt idx="10">
                        <c:v>905</c:v>
                      </c:pt>
                      <c:pt idx="11">
                        <c:v>768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AB77-490B-AC44-0BAA56B738FA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WNIOSKI!$A$26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72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72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72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 prstMaterial="matte">
                    <a:bevelT w="63500" h="63500" prst="artDeco"/>
                    <a:contourClr>
                      <a:srgbClr val="000000"/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7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WNIOSKI!$B$26:$M$26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514</c:v>
                      </c:pt>
                      <c:pt idx="1">
                        <c:v>762</c:v>
                      </c:pt>
                      <c:pt idx="2">
                        <c:v>1766</c:v>
                      </c:pt>
                      <c:pt idx="3">
                        <c:v>776</c:v>
                      </c:pt>
                      <c:pt idx="4">
                        <c:v>663</c:v>
                      </c:pt>
                      <c:pt idx="5">
                        <c:v>672</c:v>
                      </c:pt>
                      <c:pt idx="6">
                        <c:v>707</c:v>
                      </c:pt>
                      <c:pt idx="7">
                        <c:v>769</c:v>
                      </c:pt>
                      <c:pt idx="8">
                        <c:v>820</c:v>
                      </c:pt>
                      <c:pt idx="9">
                        <c:v>794</c:v>
                      </c:pt>
                      <c:pt idx="10">
                        <c:v>880</c:v>
                      </c:pt>
                      <c:pt idx="11">
                        <c:v>810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AB77-490B-AC44-0BAA56B738FA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WNIOSKI!$A$27</c15:sqref>
                        </c15:formulaRef>
                      </c:ext>
                    </c:extLst>
                    <c:strCache>
                      <c:ptCount val="1"/>
                      <c:pt idx="0">
                        <c:v>2023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58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58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58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 prstMaterial="matte">
                    <a:bevelT w="63500" h="63500" prst="artDeco"/>
                    <a:contourClr>
                      <a:srgbClr val="000000"/>
                    </a:contourClr>
                  </a:sp3d>
                </c:spPr>
                <c:invertIfNegative val="0"/>
                <c:dLbls>
                  <c:dLbl>
                    <c:idx val="10"/>
                    <c:layout>
                      <c:manualLayout>
                        <c:x val="0"/>
                        <c:y val="9.2378752886836026E-3"/>
                      </c:manualLayout>
                    </c:layout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AB77-490B-AC44-0BAA56B738FA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7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WNIOSKI!$B$27:$M$27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880</c:v>
                      </c:pt>
                      <c:pt idx="1">
                        <c:v>641</c:v>
                      </c:pt>
                      <c:pt idx="2">
                        <c:v>745</c:v>
                      </c:pt>
                      <c:pt idx="3">
                        <c:v>573</c:v>
                      </c:pt>
                      <c:pt idx="4">
                        <c:v>713</c:v>
                      </c:pt>
                      <c:pt idx="5">
                        <c:v>775</c:v>
                      </c:pt>
                      <c:pt idx="6">
                        <c:v>828</c:v>
                      </c:pt>
                      <c:pt idx="7">
                        <c:v>832</c:v>
                      </c:pt>
                      <c:pt idx="8">
                        <c:v>867</c:v>
                      </c:pt>
                      <c:pt idx="9">
                        <c:v>1044</c:v>
                      </c:pt>
                      <c:pt idx="10">
                        <c:v>892</c:v>
                      </c:pt>
                      <c:pt idx="11">
                        <c:v>721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AB77-490B-AC44-0BAA56B738FA}"/>
                  </c:ext>
                </c:extLst>
              </c15:ser>
            </c15:filteredBarSeries>
          </c:ext>
        </c:extLst>
      </c:barChart>
      <c:catAx>
        <c:axId val="48683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827824"/>
        <c:crosses val="autoZero"/>
        <c:auto val="1"/>
        <c:lblAlgn val="ctr"/>
        <c:lblOffset val="100"/>
        <c:noMultiLvlLbl val="0"/>
      </c:catAx>
      <c:valAx>
        <c:axId val="48682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83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900"/>
              <a:t>2024</a:t>
            </a:r>
            <a:endParaRPr lang="en-CA" sz="900"/>
          </a:p>
        </c:rich>
      </c:tx>
      <c:layout>
        <c:manualLayout>
          <c:xMode val="edge"/>
          <c:yMode val="edge"/>
          <c:x val="0.47222091919361142"/>
          <c:y val="2.83736084713548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32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10717233934467"/>
          <c:y val="0.23756143978033326"/>
          <c:w val="0.81277185991871992"/>
          <c:h val="0.65825938179368271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29A-4314-BADB-E03FC8185777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29A-4314-BADB-E03FC8185777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29A-4314-BADB-E03FC8185777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29A-4314-BADB-E03FC8185777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229A-4314-BADB-E03FC8185777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229A-4314-BADB-E03FC8185777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204C2599-E1AA-4325-A7E8-759889B3797F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3 944
</a:t>
                    </a:r>
                    <a:fld id="{15D95628-D7E4-4513-8C9F-C659124E1D2A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29A-4314-BADB-E03FC81857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WNIOSKI!$A$48:$A$53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SOMALIA</c:v>
                </c:pt>
                <c:pt idx="4">
                  <c:v>ERYTREA</c:v>
                </c:pt>
                <c:pt idx="5">
                  <c:v>pozostałe</c:v>
                </c:pt>
              </c:strCache>
            </c:strRef>
          </c:cat>
          <c:val>
            <c:numRef>
              <c:f>WNIOSKI!$B$48:$B$53</c:f>
              <c:numCache>
                <c:formatCode>General</c:formatCode>
                <c:ptCount val="6"/>
                <c:pt idx="0" formatCode="#,##0">
                  <c:v>7060</c:v>
                </c:pt>
                <c:pt idx="1">
                  <c:v>3944</c:v>
                </c:pt>
                <c:pt idx="2" formatCode="#,##0">
                  <c:v>986</c:v>
                </c:pt>
                <c:pt idx="3">
                  <c:v>605</c:v>
                </c:pt>
                <c:pt idx="4">
                  <c:v>564</c:v>
                </c:pt>
                <c:pt idx="5" formatCode="#,##0">
                  <c:v>3894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29A-4314-BADB-E03FC818577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>
      <a:glow rad="127000">
        <a:srgbClr val="4F81BD">
          <a:alpha val="94000"/>
        </a:srgbClr>
      </a:glo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900"/>
              <a:t>2025</a:t>
            </a:r>
            <a:endParaRPr lang="en-CA" sz="900"/>
          </a:p>
        </c:rich>
      </c:tx>
      <c:layout>
        <c:manualLayout>
          <c:xMode val="edge"/>
          <c:yMode val="edge"/>
          <c:x val="0.48640545462834661"/>
          <c:y val="2.35272705700200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32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90500381000762"/>
          <c:y val="0.25393179866042176"/>
          <c:w val="0.77861111111111125"/>
          <c:h val="0.6142888888888888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2F5-4F43-B413-509AF559F623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2F5-4F43-B413-509AF559F623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2F5-4F43-B413-509AF559F623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2F5-4F43-B413-509AF559F623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2F5-4F43-B413-509AF559F623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2F5-4F43-B413-509AF559F623}"/>
              </c:ext>
            </c:extLst>
          </c:dPt>
          <c:dLbls>
            <c:dLbl>
              <c:idx val="0"/>
              <c:layout>
                <c:manualLayout>
                  <c:x val="-0.14655988061976125"/>
                  <c:y val="8.146469195026016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F5-4F43-B413-509AF559F623}"/>
                </c:ext>
              </c:extLst>
            </c:dLbl>
            <c:dLbl>
              <c:idx val="1"/>
              <c:layout>
                <c:manualLayout>
                  <c:x val="0.10355640398780798"/>
                  <c:y val="-0.2370419075445619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F5-4F43-B413-509AF559F623}"/>
                </c:ext>
              </c:extLst>
            </c:dLbl>
            <c:dLbl>
              <c:idx val="3"/>
              <c:layout>
                <c:manualLayout>
                  <c:x val="-1.5120769304038608E-2"/>
                  <c:y val="8.67470660551435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914441516383028"/>
                      <c:h val="0.228168185827697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2F5-4F43-B413-509AF559F623}"/>
                </c:ext>
              </c:extLst>
            </c:dLbl>
            <c:dLbl>
              <c:idx val="4"/>
              <c:layout>
                <c:manualLayout>
                  <c:x val="1.6747364744729491E-2"/>
                  <c:y val="-0.1030794555561472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F5-4F43-B413-509AF559F623}"/>
                </c:ext>
              </c:extLst>
            </c:dLbl>
            <c:dLbl>
              <c:idx val="5"/>
              <c:layout>
                <c:manualLayout>
                  <c:x val="0.12325751682753365"/>
                  <c:y val="-7.41162279737085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2F5-4F43-B413-509AF559F6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WNIOSKI!$A$48:$A$53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TADŻYKISTAN</c:v>
                </c:pt>
                <c:pt idx="4">
                  <c:v>AFGANISTAN</c:v>
                </c:pt>
                <c:pt idx="5">
                  <c:v>pozostałe</c:v>
                </c:pt>
              </c:strCache>
            </c:strRef>
          </c:cat>
          <c:val>
            <c:numRef>
              <c:f>WNIOSKI!$B$48:$B$53</c:f>
              <c:numCache>
                <c:formatCode>#,##0</c:formatCode>
                <c:ptCount val="6"/>
                <c:pt idx="0">
                  <c:v>7008</c:v>
                </c:pt>
                <c:pt idx="1">
                  <c:v>2995</c:v>
                </c:pt>
                <c:pt idx="2">
                  <c:v>628</c:v>
                </c:pt>
                <c:pt idx="3">
                  <c:v>260</c:v>
                </c:pt>
                <c:pt idx="4">
                  <c:v>238</c:v>
                </c:pt>
                <c:pt idx="5">
                  <c:v>2103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2F5-4F43-B413-509AF559F62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>
      <a:glow rad="127000">
        <a:srgbClr val="4F81BD">
          <a:alpha val="94000"/>
        </a:srgbClr>
      </a:glo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900"/>
              <a:t>2026</a:t>
            </a:r>
            <a:endParaRPr lang="en-CA" sz="900"/>
          </a:p>
        </c:rich>
      </c:tx>
      <c:layout>
        <c:manualLayout>
          <c:xMode val="edge"/>
          <c:yMode val="edge"/>
          <c:x val="0.48640545462834661"/>
          <c:y val="2.35272705700200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32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16294132588265"/>
          <c:y val="0.23040930527612308"/>
          <c:w val="0.88949826962153922"/>
          <c:h val="0.70249833883966506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51F-4BF0-97E4-A4C76423AF97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51F-4BF0-97E4-A4C76423AF97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B51F-4BF0-97E4-A4C76423AF97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B51F-4BF0-97E4-A4C76423AF97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B51F-4BF0-97E4-A4C76423AF97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B51F-4BF0-97E4-A4C76423AF97}"/>
              </c:ext>
            </c:extLst>
          </c:dPt>
          <c:dLbls>
            <c:dLbl>
              <c:idx val="0"/>
              <c:layout>
                <c:manualLayout>
                  <c:x val="-0.11496301117602235"/>
                  <c:y val="0.14095437423453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1F-4BF0-97E4-A4C76423AF97}"/>
                </c:ext>
              </c:extLst>
            </c:dLbl>
            <c:dLbl>
              <c:idx val="1"/>
              <c:layout>
                <c:manualLayout>
                  <c:x val="-0.18223425196850404"/>
                  <c:y val="-0.222103272080698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1F-4BF0-97E4-A4C76423AF97}"/>
                </c:ext>
              </c:extLst>
            </c:dLbl>
            <c:dLbl>
              <c:idx val="2"/>
              <c:layout>
                <c:manualLayout>
                  <c:x val="0.13529682539682539"/>
                  <c:y val="0.1103412037037037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1F-4BF0-97E4-A4C76423AF97}"/>
                </c:ext>
              </c:extLst>
            </c:dLbl>
            <c:dLbl>
              <c:idx val="3"/>
              <c:layout>
                <c:manualLayout>
                  <c:x val="1.9843789687579375E-7"/>
                  <c:y val="8.61960470172042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930555555555557"/>
                      <c:h val="0.174918981481481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B51F-4BF0-97E4-A4C76423AF97}"/>
                </c:ext>
              </c:extLst>
            </c:dLbl>
            <c:dLbl>
              <c:idx val="4"/>
              <c:layout>
                <c:manualLayout>
                  <c:x val="4.3089285714285712E-3"/>
                  <c:y val="-0.146742592592592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1F-4BF0-97E4-A4C76423AF97}"/>
                </c:ext>
              </c:extLst>
            </c:dLbl>
            <c:dLbl>
              <c:idx val="5"/>
              <c:layout>
                <c:manualLayout>
                  <c:x val="0.16363115079365079"/>
                  <c:y val="-0.1334208333333333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51F-4BF0-97E4-A4C76423AF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WNIOSKI!$A$49:$A$54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TADŻYKISTAN</c:v>
                </c:pt>
                <c:pt idx="4">
                  <c:v>MOŁDAWIA</c:v>
                </c:pt>
                <c:pt idx="5">
                  <c:v>pozostałe</c:v>
                </c:pt>
              </c:strCache>
            </c:strRef>
          </c:cat>
          <c:val>
            <c:numRef>
              <c:f>WNIOSKI!$B$49:$B$54</c:f>
              <c:numCache>
                <c:formatCode>#,##0</c:formatCode>
                <c:ptCount val="6"/>
                <c:pt idx="0">
                  <c:v>607</c:v>
                </c:pt>
                <c:pt idx="1">
                  <c:v>506</c:v>
                </c:pt>
                <c:pt idx="2">
                  <c:v>137</c:v>
                </c:pt>
                <c:pt idx="3">
                  <c:v>53</c:v>
                </c:pt>
                <c:pt idx="4">
                  <c:v>24</c:v>
                </c:pt>
                <c:pt idx="5">
                  <c:v>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51F-4BF0-97E4-A4C76423AF9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>
      <a:glow rad="127000">
        <a:srgbClr val="4F81BD">
          <a:alpha val="94000"/>
        </a:srgbClr>
      </a:glo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Liczba decyzji Szefa UdSC wydanych </a:t>
            </a:r>
            <a:r>
              <a:rPr lang="pl-PL" sz="1000"/>
              <a:t>w latach 2016-2026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DECYZJE!$B$1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DECYZJE!$A$3:$A$13</c:f>
              <c:numCache>
                <c:formatCode>General</c:formatCod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</c:numCache>
            </c:numRef>
          </c:cat>
          <c:val>
            <c:numRef>
              <c:f>DECYZJE!$B$3:$B$13</c:f>
              <c:numCache>
                <c:formatCode>#,##0</c:formatCode>
                <c:ptCount val="11"/>
                <c:pt idx="0">
                  <c:v>11997</c:v>
                </c:pt>
                <c:pt idx="1">
                  <c:v>5347</c:v>
                </c:pt>
                <c:pt idx="2">
                  <c:v>4445</c:v>
                </c:pt>
                <c:pt idx="3">
                  <c:v>4000</c:v>
                </c:pt>
                <c:pt idx="4">
                  <c:v>3491</c:v>
                </c:pt>
                <c:pt idx="5">
                  <c:v>4706</c:v>
                </c:pt>
                <c:pt idx="6">
                  <c:v>10666</c:v>
                </c:pt>
                <c:pt idx="7">
                  <c:v>8814</c:v>
                </c:pt>
                <c:pt idx="8">
                  <c:v>11964</c:v>
                </c:pt>
                <c:pt idx="9">
                  <c:v>10490</c:v>
                </c:pt>
                <c:pt idx="10">
                  <c:v>2449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97-4495-BDB6-AED61D5EBC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3228048"/>
        <c:axId val="73231184"/>
      </c:barChart>
      <c:catAx>
        <c:axId val="7322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31184"/>
        <c:crosses val="autoZero"/>
        <c:auto val="1"/>
        <c:lblAlgn val="ctr"/>
        <c:lblOffset val="100"/>
        <c:noMultiLvlLbl val="0"/>
      </c:catAx>
      <c:valAx>
        <c:axId val="7323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2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>
                <a:effectLst/>
              </a:rPr>
              <a:t>Liczba decyzji Szefa UdSC wydanych </a:t>
            </a:r>
            <a:r>
              <a:rPr lang="pl-PL" sz="1000" b="1" i="0" baseline="0">
                <a:effectLst/>
              </a:rPr>
              <a:t>w latach 2024-2026</a:t>
            </a:r>
            <a:endParaRPr lang="pl-PL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8"/>
          <c:order val="8"/>
          <c:tx>
            <c:strRef>
              <c:f>DECYZJE!$A$26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relaxedInset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DECYZJE!$B$17:$M$17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DECYZJE!$B$26:$M$26</c:f>
              <c:numCache>
                <c:formatCode>#,##0</c:formatCode>
                <c:ptCount val="12"/>
                <c:pt idx="0">
                  <c:v>657</c:v>
                </c:pt>
                <c:pt idx="1">
                  <c:v>552</c:v>
                </c:pt>
                <c:pt idx="2">
                  <c:v>782</c:v>
                </c:pt>
                <c:pt idx="3">
                  <c:v>1092</c:v>
                </c:pt>
                <c:pt idx="4">
                  <c:v>773</c:v>
                </c:pt>
                <c:pt idx="5">
                  <c:v>814</c:v>
                </c:pt>
                <c:pt idx="6">
                  <c:v>1317</c:v>
                </c:pt>
                <c:pt idx="7">
                  <c:v>1456</c:v>
                </c:pt>
                <c:pt idx="8">
                  <c:v>982</c:v>
                </c:pt>
                <c:pt idx="9">
                  <c:v>1033</c:v>
                </c:pt>
                <c:pt idx="10">
                  <c:v>1152</c:v>
                </c:pt>
                <c:pt idx="11">
                  <c:v>1354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99-46B2-9129-15BF96A1D547}"/>
            </c:ext>
          </c:extLst>
        </c:ser>
        <c:ser>
          <c:idx val="9"/>
          <c:order val="9"/>
          <c:tx>
            <c:strRef>
              <c:f>DECYZJE!$A$27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DECYZJE!$B$27:$M$27</c:f>
              <c:numCache>
                <c:formatCode>#,##0</c:formatCode>
                <c:ptCount val="12"/>
                <c:pt idx="0">
                  <c:v>862</c:v>
                </c:pt>
                <c:pt idx="1">
                  <c:v>1162</c:v>
                </c:pt>
                <c:pt idx="2">
                  <c:v>1111</c:v>
                </c:pt>
                <c:pt idx="3">
                  <c:v>569</c:v>
                </c:pt>
                <c:pt idx="4">
                  <c:v>764</c:v>
                </c:pt>
                <c:pt idx="5">
                  <c:v>834</c:v>
                </c:pt>
                <c:pt idx="6">
                  <c:v>1012</c:v>
                </c:pt>
                <c:pt idx="7">
                  <c:v>743</c:v>
                </c:pt>
                <c:pt idx="8">
                  <c:v>569</c:v>
                </c:pt>
                <c:pt idx="9">
                  <c:v>1074</c:v>
                </c:pt>
                <c:pt idx="10">
                  <c:v>944</c:v>
                </c:pt>
                <c:pt idx="11">
                  <c:v>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99-46B2-9129-15BF96A1D547}"/>
            </c:ext>
          </c:extLst>
        </c:ser>
        <c:ser>
          <c:idx val="10"/>
          <c:order val="10"/>
          <c:tx>
            <c:strRef>
              <c:f>DECYZJE!$A$28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Lbls>
            <c:dLbl>
              <c:idx val="2"/>
              <c:layout>
                <c:manualLayout>
                  <c:x val="3.7455387521004319E-3"/>
                  <c:y val="-3.11907261592300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99-46B2-9129-15BF96A1D5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DECYZJE!$B$28:$M$28</c:f>
              <c:numCache>
                <c:formatCode>#,##0</c:formatCode>
                <c:ptCount val="12"/>
                <c:pt idx="0">
                  <c:v>681</c:v>
                </c:pt>
                <c:pt idx="1">
                  <c:v>736</c:v>
                </c:pt>
                <c:pt idx="2">
                  <c:v>1032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99-46B2-9129-15BF96A1D5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3230792"/>
        <c:axId val="732288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DECYZJE!$A$18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42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42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42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DECYZJE!$B$18:$M$18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871</c:v>
                      </c:pt>
                      <c:pt idx="1">
                        <c:v>928</c:v>
                      </c:pt>
                      <c:pt idx="2">
                        <c:v>1034</c:v>
                      </c:pt>
                      <c:pt idx="3">
                        <c:v>1359</c:v>
                      </c:pt>
                      <c:pt idx="4">
                        <c:v>1431</c:v>
                      </c:pt>
                      <c:pt idx="5">
                        <c:v>1605</c:v>
                      </c:pt>
                      <c:pt idx="6">
                        <c:v>1191</c:v>
                      </c:pt>
                      <c:pt idx="7">
                        <c:v>987</c:v>
                      </c:pt>
                      <c:pt idx="8">
                        <c:v>829</c:v>
                      </c:pt>
                      <c:pt idx="9">
                        <c:v>677</c:v>
                      </c:pt>
                      <c:pt idx="10">
                        <c:v>557</c:v>
                      </c:pt>
                      <c:pt idx="11">
                        <c:v>528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2099-46B2-9129-15BF96A1D547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DECYZJE!$A$19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54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54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54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DECYZJE!$B$19:$M$19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573</c:v>
                      </c:pt>
                      <c:pt idx="1">
                        <c:v>490</c:v>
                      </c:pt>
                      <c:pt idx="2">
                        <c:v>656</c:v>
                      </c:pt>
                      <c:pt idx="3">
                        <c:v>505</c:v>
                      </c:pt>
                      <c:pt idx="4">
                        <c:v>583</c:v>
                      </c:pt>
                      <c:pt idx="5">
                        <c:v>427</c:v>
                      </c:pt>
                      <c:pt idx="6">
                        <c:v>349</c:v>
                      </c:pt>
                      <c:pt idx="7">
                        <c:v>319</c:v>
                      </c:pt>
                      <c:pt idx="8">
                        <c:v>323</c:v>
                      </c:pt>
                      <c:pt idx="9">
                        <c:v>414</c:v>
                      </c:pt>
                      <c:pt idx="10">
                        <c:v>422</c:v>
                      </c:pt>
                      <c:pt idx="11">
                        <c:v>286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099-46B2-9129-15BF96A1D54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DECYZJE!$A$20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65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65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65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DECYZJE!$B$20:$M$20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446</c:v>
                      </c:pt>
                      <c:pt idx="1">
                        <c:v>481</c:v>
                      </c:pt>
                      <c:pt idx="2">
                        <c:v>405</c:v>
                      </c:pt>
                      <c:pt idx="3">
                        <c:v>383</c:v>
                      </c:pt>
                      <c:pt idx="4">
                        <c:v>332</c:v>
                      </c:pt>
                      <c:pt idx="5">
                        <c:v>449</c:v>
                      </c:pt>
                      <c:pt idx="6">
                        <c:v>389</c:v>
                      </c:pt>
                      <c:pt idx="7">
                        <c:v>362</c:v>
                      </c:pt>
                      <c:pt idx="8">
                        <c:v>386</c:v>
                      </c:pt>
                      <c:pt idx="9">
                        <c:v>267</c:v>
                      </c:pt>
                      <c:pt idx="10">
                        <c:v>261</c:v>
                      </c:pt>
                      <c:pt idx="11">
                        <c:v>284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099-46B2-9129-15BF96A1D547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81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81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81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DECYZJE!$B$21:$M$21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377</c:v>
                      </c:pt>
                      <c:pt idx="1">
                        <c:v>317</c:v>
                      </c:pt>
                      <c:pt idx="2">
                        <c:v>260</c:v>
                      </c:pt>
                      <c:pt idx="3">
                        <c:v>340</c:v>
                      </c:pt>
                      <c:pt idx="4">
                        <c:v>437</c:v>
                      </c:pt>
                      <c:pt idx="5">
                        <c:v>296</c:v>
                      </c:pt>
                      <c:pt idx="6">
                        <c:v>336</c:v>
                      </c:pt>
                      <c:pt idx="7">
                        <c:v>359</c:v>
                      </c:pt>
                      <c:pt idx="8">
                        <c:v>269</c:v>
                      </c:pt>
                      <c:pt idx="9">
                        <c:v>321</c:v>
                      </c:pt>
                      <c:pt idx="10">
                        <c:v>371</c:v>
                      </c:pt>
                      <c:pt idx="11">
                        <c:v>317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2099-46B2-9129-15BF96A1D547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94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94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94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DECYZJE!$B$22:$M$22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435</c:v>
                      </c:pt>
                      <c:pt idx="1">
                        <c:v>339</c:v>
                      </c:pt>
                      <c:pt idx="2">
                        <c:v>409</c:v>
                      </c:pt>
                      <c:pt idx="3">
                        <c:v>307</c:v>
                      </c:pt>
                      <c:pt idx="4">
                        <c:v>178</c:v>
                      </c:pt>
                      <c:pt idx="5">
                        <c:v>234</c:v>
                      </c:pt>
                      <c:pt idx="6">
                        <c:v>332</c:v>
                      </c:pt>
                      <c:pt idx="7">
                        <c:v>278</c:v>
                      </c:pt>
                      <c:pt idx="8">
                        <c:v>266</c:v>
                      </c:pt>
                      <c:pt idx="9">
                        <c:v>239</c:v>
                      </c:pt>
                      <c:pt idx="10">
                        <c:v>247</c:v>
                      </c:pt>
                      <c:pt idx="11">
                        <c:v>227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2099-46B2-9129-15BF96A1D547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DECYZJE!$A$23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93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93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93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DECYZJE!$B$23:$M$23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205</c:v>
                      </c:pt>
                      <c:pt idx="1">
                        <c:v>250</c:v>
                      </c:pt>
                      <c:pt idx="2">
                        <c:v>255</c:v>
                      </c:pt>
                      <c:pt idx="3">
                        <c:v>201</c:v>
                      </c:pt>
                      <c:pt idx="4">
                        <c:v>233</c:v>
                      </c:pt>
                      <c:pt idx="5">
                        <c:v>234</c:v>
                      </c:pt>
                      <c:pt idx="6">
                        <c:v>390</c:v>
                      </c:pt>
                      <c:pt idx="7">
                        <c:v>318</c:v>
                      </c:pt>
                      <c:pt idx="8">
                        <c:v>399</c:v>
                      </c:pt>
                      <c:pt idx="9">
                        <c:v>943</c:v>
                      </c:pt>
                      <c:pt idx="10">
                        <c:v>643</c:v>
                      </c:pt>
                      <c:pt idx="11">
                        <c:v>634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2099-46B2-9129-15BF96A1D547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DECYZJE!$A$24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8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8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8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 prstMaterial="matte">
                    <a:bevelT w="63500" h="63500" prst="artDeco"/>
                    <a:contourClr>
                      <a:srgbClr val="000000"/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7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DECYZJE!$B$24:$M$24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652</c:v>
                      </c:pt>
                      <c:pt idx="1">
                        <c:v>671</c:v>
                      </c:pt>
                      <c:pt idx="2">
                        <c:v>665</c:v>
                      </c:pt>
                      <c:pt idx="3">
                        <c:v>1451</c:v>
                      </c:pt>
                      <c:pt idx="4">
                        <c:v>1043</c:v>
                      </c:pt>
                      <c:pt idx="5">
                        <c:v>982</c:v>
                      </c:pt>
                      <c:pt idx="6">
                        <c:v>846</c:v>
                      </c:pt>
                      <c:pt idx="7">
                        <c:v>867</c:v>
                      </c:pt>
                      <c:pt idx="8">
                        <c:v>1080</c:v>
                      </c:pt>
                      <c:pt idx="9">
                        <c:v>906</c:v>
                      </c:pt>
                      <c:pt idx="10">
                        <c:v>670</c:v>
                      </c:pt>
                      <c:pt idx="11">
                        <c:v>833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2099-46B2-9129-15BF96A1D547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DECYZJE!$A$25</c15:sqref>
                        </c15:formulaRef>
                      </c:ext>
                    </c:extLst>
                    <c:strCache>
                      <c:ptCount val="1"/>
                      <c:pt idx="0">
                        <c:v>2023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68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68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68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 prstMaterial="matte">
                    <a:bevelT w="63500" h="63500" prst="artDeco"/>
                    <a:contourClr>
                      <a:srgbClr val="000000"/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7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DECYZJE!$B$25:$M$25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844</c:v>
                      </c:pt>
                      <c:pt idx="1">
                        <c:v>872</c:v>
                      </c:pt>
                      <c:pt idx="2">
                        <c:v>922</c:v>
                      </c:pt>
                      <c:pt idx="3">
                        <c:v>684</c:v>
                      </c:pt>
                      <c:pt idx="4">
                        <c:v>788</c:v>
                      </c:pt>
                      <c:pt idx="5">
                        <c:v>718</c:v>
                      </c:pt>
                      <c:pt idx="6">
                        <c:v>743</c:v>
                      </c:pt>
                      <c:pt idx="7">
                        <c:v>761</c:v>
                      </c:pt>
                      <c:pt idx="8">
                        <c:v>597</c:v>
                      </c:pt>
                      <c:pt idx="9">
                        <c:v>641</c:v>
                      </c:pt>
                      <c:pt idx="10">
                        <c:v>671</c:v>
                      </c:pt>
                      <c:pt idx="11">
                        <c:v>573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2099-46B2-9129-15BF96A1D547}"/>
                  </c:ext>
                </c:extLst>
              </c15:ser>
            </c15:filteredBarSeries>
          </c:ext>
        </c:extLst>
      </c:barChart>
      <c:catAx>
        <c:axId val="73230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28832"/>
        <c:crosses val="autoZero"/>
        <c:auto val="1"/>
        <c:lblAlgn val="ctr"/>
        <c:lblOffset val="100"/>
        <c:noMultiLvlLbl val="0"/>
      </c:catAx>
      <c:valAx>
        <c:axId val="7322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30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u="none" strike="noStrike" baseline="0">
                <a:effectLst/>
              </a:rPr>
              <a:t>Liczba decyzji Szefa UdSC wydanych w </a:t>
            </a:r>
            <a:r>
              <a:rPr lang="pl-PL" sz="1000" b="1" i="0" u="none" strike="noStrike" baseline="0">
                <a:effectLst/>
              </a:rPr>
              <a:t>2</a:t>
            </a:r>
            <a:r>
              <a:rPr lang="en-US" sz="1000" b="1" i="0" u="none" strike="noStrike" baseline="0">
                <a:effectLst/>
              </a:rPr>
              <a:t>02</a:t>
            </a:r>
            <a:r>
              <a:rPr lang="pl-PL" sz="1000" b="1" i="0" u="none" strike="noStrike" baseline="0">
                <a:effectLst/>
              </a:rPr>
              <a:t>6</a:t>
            </a:r>
            <a:r>
              <a:rPr lang="en-US" sz="1000" b="1" i="0" u="none" strike="noStrike" baseline="0">
                <a:effectLst/>
              </a:rPr>
              <a:t> r</a:t>
            </a:r>
            <a:r>
              <a:rPr lang="pl-PL" sz="1000" b="1" i="0" u="none" strike="noStrike" baseline="0">
                <a:effectLst/>
              </a:rPr>
              <a:t>.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DECYZJE!$B$46</c:f>
              <c:strCache>
                <c:ptCount val="1"/>
                <c:pt idx="0">
                  <c:v>STATUS UCHODŹCY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DECYZJE!$A$47:$A$52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AFGANISTAN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DECYZJE!$B$47:$B$52</c:f>
              <c:numCache>
                <c:formatCode>#,##0</c:formatCode>
                <c:ptCount val="6"/>
                <c:pt idx="0">
                  <c:v>1</c:v>
                </c:pt>
                <c:pt idx="1">
                  <c:v>30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17-47CA-A1A8-948FF29BFB6B}"/>
            </c:ext>
          </c:extLst>
        </c:ser>
        <c:ser>
          <c:idx val="1"/>
          <c:order val="1"/>
          <c:tx>
            <c:strRef>
              <c:f>DECYZJE!$C$46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DECYZJE!$A$47:$A$52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AFGANISTAN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DECYZJE!$C$47:$C$52</c:f>
              <c:numCache>
                <c:formatCode>#,##0</c:formatCode>
                <c:ptCount val="6"/>
                <c:pt idx="0">
                  <c:v>54</c:v>
                </c:pt>
                <c:pt idx="1">
                  <c:v>342</c:v>
                </c:pt>
                <c:pt idx="2">
                  <c:v>1</c:v>
                </c:pt>
                <c:pt idx="3">
                  <c:v>0</c:v>
                </c:pt>
                <c:pt idx="4">
                  <c:v>7</c:v>
                </c:pt>
                <c:pt idx="5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17-47CA-A1A8-948FF29BFB6B}"/>
            </c:ext>
          </c:extLst>
        </c:ser>
        <c:ser>
          <c:idx val="2"/>
          <c:order val="2"/>
          <c:tx>
            <c:strRef>
              <c:f>DECYZJE!$E$46</c:f>
              <c:strCache>
                <c:ptCount val="1"/>
                <c:pt idx="0">
                  <c:v>NEGATYWNA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DECYZJE!$A$47:$A$52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AFGANISTAN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DECYZJE!$E$47:$E$52</c:f>
              <c:numCache>
                <c:formatCode>#,##0</c:formatCode>
                <c:ptCount val="6"/>
                <c:pt idx="0">
                  <c:v>1069</c:v>
                </c:pt>
                <c:pt idx="1">
                  <c:v>9</c:v>
                </c:pt>
                <c:pt idx="2">
                  <c:v>89</c:v>
                </c:pt>
                <c:pt idx="3">
                  <c:v>38</c:v>
                </c:pt>
                <c:pt idx="4">
                  <c:v>6</c:v>
                </c:pt>
                <c:pt idx="5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17-47CA-A1A8-948FF29BFB6B}"/>
            </c:ext>
          </c:extLst>
        </c:ser>
        <c:ser>
          <c:idx val="3"/>
          <c:order val="3"/>
          <c:tx>
            <c:strRef>
              <c:f>DECYZJE!$F$46</c:f>
              <c:strCache>
                <c:ptCount val="1"/>
                <c:pt idx="0">
                  <c:v>UMORZENIE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DECYZJE!$A$47:$A$52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AFGANISTAN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DECYZJE!$F$47:$F$52</c:f>
              <c:numCache>
                <c:formatCode>#,##0</c:formatCode>
                <c:ptCount val="6"/>
                <c:pt idx="0">
                  <c:v>202</c:v>
                </c:pt>
                <c:pt idx="1">
                  <c:v>61</c:v>
                </c:pt>
                <c:pt idx="2">
                  <c:v>34</c:v>
                </c:pt>
                <c:pt idx="3">
                  <c:v>36</c:v>
                </c:pt>
                <c:pt idx="4">
                  <c:v>43</c:v>
                </c:pt>
                <c:pt idx="5">
                  <c:v>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17-47CA-A1A8-948FF29BFB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3230400"/>
        <c:axId val="73234320"/>
      </c:barChart>
      <c:catAx>
        <c:axId val="7323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34320"/>
        <c:crosses val="autoZero"/>
        <c:auto val="1"/>
        <c:lblAlgn val="ctr"/>
        <c:lblOffset val="100"/>
        <c:noMultiLvlLbl val="0"/>
      </c:catAx>
      <c:valAx>
        <c:axId val="7323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3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status uchodźcy</a:t>
            </a:r>
          </a:p>
        </c:rich>
      </c:tx>
      <c:layout>
        <c:manualLayout>
          <c:xMode val="edge"/>
          <c:yMode val="edge"/>
          <c:x val="0.33613178898712742"/>
          <c:y val="2.3529411764705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223583947167896"/>
          <c:y val="0.33838912594026305"/>
          <c:w val="0.81388888888888888"/>
          <c:h val="0.63780730533683294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C57-40BD-B7F4-E90FF8ABBDA3}"/>
              </c:ext>
            </c:extLst>
          </c:dPt>
          <c:dPt>
            <c:idx val="1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C57-40BD-B7F4-E90FF8ABBDA3}"/>
              </c:ext>
            </c:extLst>
          </c:dPt>
          <c:dPt>
            <c:idx val="2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C57-40BD-B7F4-E90FF8ABBDA3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C57-40BD-B7F4-E90FF8ABBDA3}"/>
              </c:ext>
            </c:extLst>
          </c:dPt>
          <c:dPt>
            <c:idx val="4"/>
            <c:bubble3D val="0"/>
            <c:spPr>
              <a:solidFill>
                <a:schemeClr val="accent5">
                  <a:shade val="92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FC57-40BD-B7F4-E90FF8ABBDA3}"/>
              </c:ext>
            </c:extLst>
          </c:dPt>
          <c:dPt>
            <c:idx val="5"/>
            <c:bubble3D val="0"/>
            <c:spPr>
              <a:solidFill>
                <a:schemeClr val="accent5">
                  <a:shade val="7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FC57-40BD-B7F4-E90FF8ABBDA3}"/>
              </c:ext>
            </c:extLst>
          </c:dPt>
          <c:dPt>
            <c:idx val="6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FC57-40BD-B7F4-E90FF8ABBDA3}"/>
              </c:ext>
            </c:extLst>
          </c:dPt>
          <c:dPt>
            <c:idx val="7"/>
            <c:bubble3D val="0"/>
            <c:spPr>
              <a:solidFill>
                <a:schemeClr val="accent5">
                  <a:shade val="47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FC57-40BD-B7F4-E90FF8ABBDA3}"/>
              </c:ext>
            </c:extLst>
          </c:dPt>
          <c:dLbls>
            <c:dLbl>
              <c:idx val="0"/>
              <c:layout>
                <c:manualLayout>
                  <c:x val="-0.12453386938023876"/>
                  <c:y val="-8.63358854621266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57-40BD-B7F4-E90FF8ABBDA3}"/>
                </c:ext>
              </c:extLst>
            </c:dLbl>
            <c:dLbl>
              <c:idx val="1"/>
              <c:layout>
                <c:manualLayout>
                  <c:x val="0.15390525781051562"/>
                  <c:y val="-0.1683752115519520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57-40BD-B7F4-E90FF8ABBDA3}"/>
                </c:ext>
              </c:extLst>
            </c:dLbl>
            <c:dLbl>
              <c:idx val="2"/>
              <c:layout>
                <c:manualLayout>
                  <c:x val="2.4027906582202655E-7"/>
                  <c:y val="7.60126793545102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483680467360932"/>
                      <c:h val="0.209712752386398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C57-40BD-B7F4-E90FF8ABBDA3}"/>
                </c:ext>
              </c:extLst>
            </c:dLbl>
            <c:dLbl>
              <c:idx val="3"/>
              <c:layout>
                <c:manualLayout>
                  <c:x val="2.0277116523225295E-3"/>
                  <c:y val="-9.1829396325459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57-40BD-B7F4-E90FF8ABBDA3}"/>
                </c:ext>
              </c:extLst>
            </c:dLbl>
            <c:dLbl>
              <c:idx val="4"/>
              <c:layout>
                <c:manualLayout>
                  <c:x val="6.2113166086797287E-3"/>
                  <c:y val="-0.1078617672790901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57-40BD-B7F4-E90FF8ABBDA3}"/>
                </c:ext>
              </c:extLst>
            </c:dLbl>
            <c:dLbl>
              <c:idx val="5"/>
              <c:layout>
                <c:manualLayout>
                  <c:x val="8.9454216408432791E-2"/>
                  <c:y val="-0.143308244217194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517137096774194"/>
                      <c:h val="0.189944134078212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C57-40BD-B7F4-E90FF8ABBDA3}"/>
                </c:ext>
              </c:extLst>
            </c:dLbl>
            <c:dLbl>
              <c:idx val="6"/>
              <c:layout>
                <c:manualLayout>
                  <c:x val="0.16999786363913813"/>
                  <c:y val="-0.1480533683289589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C57-40BD-B7F4-E90FF8ABBDA3}"/>
                </c:ext>
              </c:extLst>
            </c:dLbl>
            <c:dLbl>
              <c:idx val="7"/>
              <c:layout>
                <c:manualLayout>
                  <c:x val="0.1854835039817975"/>
                  <c:y val="-3.455179867222481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C57-40BD-B7F4-E90FF8ABB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DECYZJE!$A$63:$A$70</c:f>
              <c:strCache>
                <c:ptCount val="8"/>
                <c:pt idx="0">
                  <c:v>BIAŁORUŚ</c:v>
                </c:pt>
                <c:pt idx="1">
                  <c:v>NIGERIA</c:v>
                </c:pt>
                <c:pt idx="2">
                  <c:v>BEZ OBYWATELSTWA</c:v>
                </c:pt>
                <c:pt idx="3">
                  <c:v>AFGANISTAN</c:v>
                </c:pt>
                <c:pt idx="4">
                  <c:v>PALESTYNA</c:v>
                </c:pt>
                <c:pt idx="5">
                  <c:v>TADŻYKISTAN</c:v>
                </c:pt>
                <c:pt idx="6">
                  <c:v>TURCJA</c:v>
                </c:pt>
                <c:pt idx="7">
                  <c:v>Pozostałe</c:v>
                </c:pt>
              </c:strCache>
            </c:strRef>
          </c:cat>
          <c:val>
            <c:numRef>
              <c:f>DECYZJE!$B$63:$B$70</c:f>
              <c:numCache>
                <c:formatCode>General</c:formatCode>
                <c:ptCount val="8"/>
                <c:pt idx="0">
                  <c:v>30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C57-40BD-B7F4-E90FF8ABBDA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F00E-490F-4BCB-B4A5-99580A70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Kozłowska</dc:creator>
  <cp:keywords/>
  <dc:description/>
  <cp:lastModifiedBy>Maria Kozłowska</cp:lastModifiedBy>
  <cp:revision>3</cp:revision>
  <dcterms:created xsi:type="dcterms:W3CDTF">2026-04-15T11:52:00Z</dcterms:created>
  <dcterms:modified xsi:type="dcterms:W3CDTF">2026-04-15T13:00:00Z</dcterms:modified>
</cp:coreProperties>
</file>