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5DF2D836" w:rsidR="007C7923" w:rsidRPr="004540B6" w:rsidRDefault="006528D7" w:rsidP="006D050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1F2AD7">
        <w:rPr>
          <w:rFonts w:ascii="Arial" w:hAnsi="Arial" w:cs="Arial"/>
          <w:sz w:val="21"/>
          <w:szCs w:val="21"/>
        </w:rPr>
        <w:t>81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1F2AD7">
        <w:rPr>
          <w:rFonts w:ascii="Arial" w:hAnsi="Arial" w:cs="Arial"/>
          <w:sz w:val="21"/>
          <w:szCs w:val="21"/>
        </w:rPr>
        <w:t>IK.16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713F1A">
        <w:rPr>
          <w:rFonts w:ascii="Arial" w:hAnsi="Arial" w:cs="Arial"/>
          <w:sz w:val="21"/>
          <w:szCs w:val="21"/>
        </w:rPr>
        <w:t>14.</w:t>
      </w:r>
      <w:r w:rsidR="001F2AD7">
        <w:rPr>
          <w:rFonts w:ascii="Arial" w:hAnsi="Arial" w:cs="Arial"/>
          <w:sz w:val="21"/>
          <w:szCs w:val="21"/>
        </w:rPr>
        <w:t>06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244374" w:rsidRPr="004540B6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6D0503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6D0503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6D0503">
      <w:pPr>
        <w:spacing w:after="0"/>
        <w:rPr>
          <w:rFonts w:ascii="Arial" w:hAnsi="Arial" w:cs="Arial"/>
          <w:b/>
          <w:sz w:val="21"/>
          <w:szCs w:val="21"/>
        </w:rPr>
      </w:pPr>
    </w:p>
    <w:p w14:paraId="47C27434" w14:textId="77777777" w:rsidR="001F2AD7" w:rsidRDefault="004D3E3A" w:rsidP="006D0503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75 ust. 1 pkt </w:t>
      </w:r>
      <w:r w:rsidR="001F2AD7">
        <w:rPr>
          <w:rFonts w:ascii="Arial" w:hAnsi="Arial" w:cs="Arial"/>
          <w:sz w:val="21"/>
          <w:szCs w:val="21"/>
        </w:rPr>
        <w:t xml:space="preserve">1 lit. s) </w:t>
      </w:r>
      <w:r w:rsidR="004540B6" w:rsidRPr="004540B6">
        <w:rPr>
          <w:rFonts w:ascii="Arial" w:hAnsi="Arial" w:cs="Arial"/>
          <w:sz w:val="21"/>
          <w:szCs w:val="21"/>
        </w:rPr>
        <w:t xml:space="preserve">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684C7F" w:rsidRPr="004540B6">
        <w:rPr>
          <w:rFonts w:ascii="Arial" w:hAnsi="Arial" w:cs="Arial"/>
          <w:sz w:val="21"/>
          <w:szCs w:val="21"/>
        </w:rPr>
        <w:t>1094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ooś,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>postępowaniu na</w:t>
      </w:r>
      <w:r w:rsidR="00244374" w:rsidRPr="004540B6">
        <w:rPr>
          <w:rFonts w:ascii="Arial" w:hAnsi="Arial" w:cs="Arial"/>
          <w:sz w:val="21"/>
          <w:szCs w:val="21"/>
        </w:rPr>
        <w:t xml:space="preserve"> wniosek</w:t>
      </w:r>
      <w:r w:rsidR="001F2AD7">
        <w:rPr>
          <w:rFonts w:ascii="Arial" w:hAnsi="Arial" w:cs="Arial"/>
          <w:sz w:val="21"/>
          <w:szCs w:val="21"/>
        </w:rPr>
        <w:t xml:space="preserve"> </w:t>
      </w:r>
      <w:r w:rsidR="001F2AD7" w:rsidRPr="001F2AD7">
        <w:rPr>
          <w:rFonts w:ascii="Arial" w:hAnsi="Arial" w:cs="Arial"/>
          <w:sz w:val="21"/>
          <w:szCs w:val="21"/>
        </w:rPr>
        <w:t>bez znaku z dnia 15.12.2023 r. (data wpływu 19.12.2023 r.),  PERN S.A. z siedzibą w Płocku przy ul. Wyszogrodzkiej 133, działającego poprzez pełnomocnika Pana Krzysztofa Biernackiego</w:t>
      </w:r>
      <w:r w:rsidR="00244374" w:rsidRPr="004540B6">
        <w:rPr>
          <w:rFonts w:ascii="Arial" w:hAnsi="Arial" w:cs="Arial"/>
          <w:sz w:val="21"/>
          <w:szCs w:val="21"/>
        </w:rPr>
        <w:t xml:space="preserve">, o wydanie decyzji o środowiskowych uwarunkowaniach dla przedsięwzięcia pn.: </w:t>
      </w:r>
      <w:r w:rsidR="00244374" w:rsidRPr="004540B6">
        <w:rPr>
          <w:rFonts w:ascii="Arial" w:hAnsi="Arial" w:cs="Arial"/>
          <w:b/>
          <w:sz w:val="21"/>
          <w:szCs w:val="21"/>
        </w:rPr>
        <w:t>„</w:t>
      </w:r>
      <w:r w:rsidR="001F2AD7" w:rsidRPr="001F2AD7">
        <w:rPr>
          <w:rFonts w:ascii="Arial" w:hAnsi="Arial" w:cs="Arial"/>
          <w:b/>
          <w:sz w:val="21"/>
          <w:szCs w:val="21"/>
        </w:rPr>
        <w:t>Przebudowa przejścia rurociągu pomorskiego DN800 przez Kanał Młyński w m. Rokitki (odcinek pomiędzy SZ14 Rokitki – SZ15 Kolnik)</w:t>
      </w:r>
      <w:r w:rsidR="00244374" w:rsidRPr="004540B6">
        <w:rPr>
          <w:rFonts w:ascii="Arial" w:hAnsi="Arial" w:cs="Arial"/>
          <w:b/>
          <w:sz w:val="21"/>
          <w:szCs w:val="21"/>
        </w:rPr>
        <w:t>”</w:t>
      </w:r>
      <w:r w:rsidR="00C41B09" w:rsidRPr="004540B6">
        <w:rPr>
          <w:rFonts w:ascii="Arial" w:hAnsi="Arial" w:cs="Arial"/>
          <w:b/>
          <w:sz w:val="21"/>
          <w:szCs w:val="21"/>
        </w:rPr>
        <w:t xml:space="preserve">, </w:t>
      </w:r>
    </w:p>
    <w:p w14:paraId="73185936" w14:textId="77777777" w:rsidR="001F2AD7" w:rsidRDefault="001F2AD7" w:rsidP="006D0503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</w:p>
    <w:p w14:paraId="3E7B42A4" w14:textId="320FB2E5" w:rsidR="005704E1" w:rsidRDefault="005704E1" w:rsidP="006D0503">
      <w:pPr>
        <w:pStyle w:val="Tekstpodstawowy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5704E1">
        <w:rPr>
          <w:rFonts w:ascii="Arial" w:hAnsi="Arial" w:cs="Arial"/>
          <w:sz w:val="21"/>
          <w:szCs w:val="21"/>
        </w:rPr>
        <w:t xml:space="preserve">Pomorski Wojewódzki Inspektor Sanitarny wyraził opinię znak ONS.9022.5.4.2024.WR z dnia 19.02.2024 r. o braku konieczności </w:t>
      </w:r>
      <w:bookmarkStart w:id="0" w:name="_Hlk169180730"/>
      <w:r w:rsidRPr="005704E1">
        <w:rPr>
          <w:rFonts w:ascii="Arial" w:hAnsi="Arial" w:cs="Arial"/>
          <w:sz w:val="21"/>
          <w:szCs w:val="21"/>
        </w:rPr>
        <w:t>przeprowadzenia oceny oddziaływania przedsięwzięcia na środowisko</w:t>
      </w:r>
      <w:bookmarkEnd w:id="0"/>
      <w:r w:rsidRPr="005704E1">
        <w:rPr>
          <w:rFonts w:ascii="Arial" w:hAnsi="Arial" w:cs="Arial"/>
          <w:sz w:val="21"/>
          <w:szCs w:val="21"/>
        </w:rPr>
        <w:t>, podtrzymaną opinią znak ONS.9022.5.4.WR.1 z dnia 05.06.2024 r.</w:t>
      </w:r>
    </w:p>
    <w:p w14:paraId="11A804A7" w14:textId="77777777" w:rsidR="005704E1" w:rsidRPr="005704E1" w:rsidRDefault="005704E1" w:rsidP="006D0503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5704E1">
        <w:rPr>
          <w:rFonts w:ascii="Arial" w:hAnsi="Arial" w:cs="Arial"/>
          <w:sz w:val="21"/>
          <w:szCs w:val="21"/>
        </w:rPr>
        <w:t>Dyrektor Regionalnego Zarządu Gospodarki Wodnej w Gdańsku wyraził opinię znak G.RZŚ.4901.24.2024.SB.2 z dnia 07.05.2024 r o braku potrzeby przeprowadzenia oceny oddziaływania przedsięwzięcia na środowisko z uwzględnieniem warunków, podtrzymaną opinią znak G.RZŚ.4901.24.2024.SB.3 z dnia 04.06.2024 r.</w:t>
      </w:r>
    </w:p>
    <w:p w14:paraId="513CD316" w14:textId="19B85CA1" w:rsidR="004540B6" w:rsidRPr="004540B6" w:rsidRDefault="004540B6" w:rsidP="006D0503">
      <w:pPr>
        <w:pStyle w:val="Tekstpodstawowy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48CA6878" w14:textId="77777777" w:rsidR="005704E1" w:rsidRDefault="005704E1" w:rsidP="006D0503">
      <w:pPr>
        <w:pStyle w:val="Tekstpodstawowy"/>
        <w:spacing w:after="0"/>
        <w:rPr>
          <w:rFonts w:ascii="Arial" w:hAnsi="Arial" w:cs="Arial"/>
          <w:sz w:val="21"/>
          <w:szCs w:val="21"/>
        </w:rPr>
      </w:pPr>
    </w:p>
    <w:p w14:paraId="3F0BD1AA" w14:textId="55261F8B" w:rsidR="005704E1" w:rsidRPr="005704E1" w:rsidRDefault="008D6C58" w:rsidP="006D050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8D6C58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ed</w:t>
      </w:r>
      <w:r w:rsidRPr="008D6C58">
        <w:rPr>
          <w:rFonts w:ascii="Arial" w:hAnsi="Arial" w:cs="Arial"/>
          <w:sz w:val="21"/>
          <w:szCs w:val="21"/>
        </w:rPr>
        <w:t>nocześnie tut. organ zawiadamia, że</w:t>
      </w:r>
      <w:r>
        <w:rPr>
          <w:rFonts w:ascii="Arial" w:hAnsi="Arial" w:cs="Arial"/>
          <w:sz w:val="21"/>
          <w:szCs w:val="21"/>
        </w:rPr>
        <w:t xml:space="preserve"> w toku postepowania </w:t>
      </w:r>
      <w:r w:rsidR="003F2FD6">
        <w:rPr>
          <w:rFonts w:ascii="Arial" w:hAnsi="Arial" w:cs="Arial"/>
          <w:sz w:val="21"/>
          <w:szCs w:val="21"/>
        </w:rPr>
        <w:t xml:space="preserve">administracyjnego </w:t>
      </w:r>
      <w:r w:rsidRPr="008D6C58">
        <w:rPr>
          <w:rFonts w:ascii="Arial" w:hAnsi="Arial" w:cs="Arial"/>
          <w:sz w:val="21"/>
          <w:szCs w:val="21"/>
        </w:rPr>
        <w:t xml:space="preserve">zmianie uległ zakres </w:t>
      </w:r>
      <w:r>
        <w:rPr>
          <w:rFonts w:ascii="Arial" w:hAnsi="Arial" w:cs="Arial"/>
          <w:sz w:val="21"/>
          <w:szCs w:val="21"/>
        </w:rPr>
        <w:t xml:space="preserve">działek realizacyjnych. </w:t>
      </w:r>
      <w:r w:rsidR="005704E1" w:rsidRPr="005704E1">
        <w:rPr>
          <w:rFonts w:ascii="Arial" w:hAnsi="Arial" w:cs="Arial"/>
          <w:sz w:val="21"/>
          <w:szCs w:val="21"/>
        </w:rPr>
        <w:t>Przedmiotowa inwestycja zlokalizowana zostanie w woj. pomorskim, powiat tczewski, gmina Tczew obręb 0015 Rokitki działki nr 95, 93, 92, 341, 342, 81, 80/2, 80/4, 80/3, 343, 25/2.</w:t>
      </w:r>
    </w:p>
    <w:p w14:paraId="4DCE372E" w14:textId="43774AB6" w:rsidR="001F2AD7" w:rsidRPr="008D6C58" w:rsidRDefault="001F2AD7" w:rsidP="006D0503">
      <w:pPr>
        <w:pStyle w:val="Tekstpodstawowy"/>
        <w:spacing w:after="0"/>
        <w:rPr>
          <w:rFonts w:ascii="Arial" w:hAnsi="Arial" w:cs="Arial"/>
          <w:sz w:val="21"/>
          <w:szCs w:val="21"/>
        </w:rPr>
      </w:pPr>
    </w:p>
    <w:p w14:paraId="09EAD0A8" w14:textId="2348515A" w:rsidR="004540B6" w:rsidRPr="004540B6" w:rsidRDefault="004540B6" w:rsidP="006D050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5704E1">
        <w:rPr>
          <w:rFonts w:ascii="Arial" w:hAnsi="Arial" w:cs="Arial"/>
          <w:bCs/>
          <w:sz w:val="21"/>
          <w:szCs w:val="21"/>
        </w:rPr>
        <w:t>3</w:t>
      </w:r>
      <w:r w:rsidRPr="004540B6">
        <w:rPr>
          <w:rFonts w:ascii="Arial" w:hAnsi="Arial" w:cs="Arial"/>
          <w:bCs/>
          <w:sz w:val="21"/>
          <w:szCs w:val="21"/>
        </w:rPr>
        <w:t xml:space="preserve"> dni od dnia doręczenia niniejszego zawiadomienia.</w:t>
      </w:r>
    </w:p>
    <w:p w14:paraId="6C213C1F" w14:textId="77777777" w:rsidR="004540B6" w:rsidRPr="004540B6" w:rsidRDefault="004540B6" w:rsidP="006D050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6D050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6D0503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6D050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6D050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6D050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6D0503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15D04F5E" w14:textId="77777777" w:rsidR="00E45B7A" w:rsidRDefault="00E45B7A" w:rsidP="006D0503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4A828D31" w14:textId="77777777" w:rsidR="00E45B7A" w:rsidRPr="006D33C0" w:rsidRDefault="00E45B7A" w:rsidP="006D0503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6D050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B38480" w14:textId="77777777" w:rsidR="00E45B7A" w:rsidRDefault="00E45B7A" w:rsidP="006D050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6D050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4540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29403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2940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2940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4540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C5BF23" w14:textId="77777777" w:rsidR="00E45B7A" w:rsidRPr="00E45B7A" w:rsidRDefault="00E45B7A" w:rsidP="00E45B7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5B7A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75 ust. 1 pkt. 1 lit. s) ustawy ooś: </w:t>
      </w:r>
      <w:r w:rsidRPr="00E45B7A">
        <w:rPr>
          <w:rFonts w:ascii="Arial" w:eastAsia="Times New Roman" w:hAnsi="Arial" w:cs="Arial"/>
          <w:sz w:val="18"/>
          <w:szCs w:val="18"/>
          <w:lang w:eastAsia="pl-PL"/>
        </w:rPr>
        <w:t>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30D6519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21CF89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BD1A61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ACF4F9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66C4E96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D7FBAC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2E21FF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10400F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3D662DC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03F1BC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36A3F59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B26E86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2FF95F1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BAED2DC" w14:textId="167FAEF0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ABCC9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5239D18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A8D501A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7744D3E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390A50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7A9AB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6BB21A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0C1D8C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50D2C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03FA43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3F46DAD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996D08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642ADF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289F78E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B1F545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F860C6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6CB43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6113CF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D40A50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863445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712786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8F9232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973F9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37F2811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9F28F98" w14:textId="19238A59" w:rsidR="00684C7F" w:rsidRPr="00244374" w:rsidRDefault="00684C7F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684C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684C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00F52246" w:rsidR="00F761D6" w:rsidRPr="00244374" w:rsidRDefault="00684C7F" w:rsidP="00684C7F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E45B7A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p w14:paraId="2324DD8D" w14:textId="132DCDAC" w:rsidR="00DA56F3" w:rsidRDefault="00C3274B" w:rsidP="0024437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B2C4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24F0BF9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E45B7A">
              <w:rPr>
                <w:rFonts w:ascii="Arial" w:hAnsi="Arial" w:cs="Arial"/>
                <w:sz w:val="16"/>
                <w:szCs w:val="16"/>
              </w:rPr>
              <w:t>81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IK.16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2F07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04E1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0503"/>
    <w:rsid w:val="006D33C0"/>
    <w:rsid w:val="006D553D"/>
    <w:rsid w:val="00700C6B"/>
    <w:rsid w:val="00703FCB"/>
    <w:rsid w:val="00705E77"/>
    <w:rsid w:val="00713F1A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6801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5F90"/>
    <w:rsid w:val="008B6E97"/>
    <w:rsid w:val="008C0AC7"/>
    <w:rsid w:val="008C0B3A"/>
    <w:rsid w:val="008D2983"/>
    <w:rsid w:val="008D6C58"/>
    <w:rsid w:val="008D77DE"/>
    <w:rsid w:val="008E158E"/>
    <w:rsid w:val="008E5AE9"/>
    <w:rsid w:val="008F6EDC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C2260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10</cp:revision>
  <cp:lastPrinted>2023-11-09T15:14:00Z</cp:lastPrinted>
  <dcterms:created xsi:type="dcterms:W3CDTF">2024-05-27T13:14:00Z</dcterms:created>
  <dcterms:modified xsi:type="dcterms:W3CDTF">2024-06-14T12:42:00Z</dcterms:modified>
</cp:coreProperties>
</file>