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68" w:rsidRPr="00CB42CC" w:rsidRDefault="00B63045" w:rsidP="00BC6095">
      <w:pPr>
        <w:pStyle w:val="Nagwek40"/>
        <w:keepNext/>
        <w:keepLines/>
        <w:numPr>
          <w:ilvl w:val="0"/>
          <w:numId w:val="6"/>
        </w:numPr>
        <w:shd w:val="clear" w:color="auto" w:fill="auto"/>
        <w:spacing w:before="0" w:line="240" w:lineRule="auto"/>
        <w:ind w:right="300"/>
        <w:rPr>
          <w:rFonts w:cs="Tahoma"/>
          <w:sz w:val="24"/>
          <w:szCs w:val="24"/>
          <w:cs/>
          <w:lang w:bidi="th-TH"/>
        </w:rPr>
      </w:pPr>
      <w:bookmarkStart w:id="0" w:name="bookmark5"/>
      <w:r>
        <w:rPr>
          <w:rFonts w:cs="Angsana New"/>
          <w:sz w:val="24"/>
          <w:szCs w:val="24"/>
          <w:cs/>
          <w:lang w:bidi="th-TH"/>
        </w:rPr>
        <w:t>คำแนะนำเกี่ยวกับสิทธิและหน้าที่ของผู้เสียหายในกระบวนพิจารณาทางอาญา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0"/>
    </w:p>
    <w:p w:rsidR="00BC6095" w:rsidRPr="00CB42CC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left="720" w:right="300"/>
        <w:jc w:val="left"/>
        <w:rPr>
          <w:sz w:val="24"/>
          <w:szCs w:val="24"/>
          <w:lang w:val="en-US"/>
        </w:rPr>
      </w:pPr>
    </w:p>
    <w:p w:rsidR="00BC6095" w:rsidRPr="00CB42CC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rFonts w:cs="Tahoma"/>
          <w:b w:val="0"/>
          <w:bCs w:val="0"/>
          <w:i/>
          <w:iCs/>
          <w:sz w:val="24"/>
          <w:szCs w:val="24"/>
          <w:cs/>
          <w:lang w:bidi="th-TH"/>
        </w:rPr>
      </w:pPr>
      <w:r>
        <w:rPr>
          <w:rFonts w:cs="Angsana New"/>
          <w:b w:val="0"/>
          <w:bCs w:val="0"/>
          <w:i/>
          <w:iCs/>
          <w:sz w:val="24"/>
          <w:szCs w:val="24"/>
          <w:cs/>
          <w:lang w:bidi="th-TH"/>
        </w:rPr>
        <w:t>ที่มา</w:t>
      </w:r>
      <w:r>
        <w:rPr>
          <w:rFonts w:cs="Tahoma"/>
          <w:b w:val="0"/>
          <w:bCs w:val="0"/>
          <w:i/>
          <w:iCs/>
          <w:sz w:val="24"/>
          <w:szCs w:val="24"/>
          <w:cs/>
          <w:lang w:bidi="th-TH"/>
        </w:rPr>
        <w:t xml:space="preserve">: </w:t>
      </w:r>
      <w:r>
        <w:rPr>
          <w:rFonts w:cs="Angsana New"/>
          <w:b w:val="0"/>
          <w:bCs w:val="0"/>
          <w:i/>
          <w:iCs/>
          <w:sz w:val="24"/>
          <w:szCs w:val="24"/>
          <w:cs/>
          <w:lang w:bidi="th-TH"/>
        </w:rPr>
        <w:t>ระเบียบรัฐมนตรีว่าการกระทรวงยุติธรรม</w:t>
      </w:r>
      <w:r>
        <w:rPr>
          <w:rFonts w:cs="Tahoma"/>
          <w:b w:val="0"/>
          <w:bCs w:val="0"/>
          <w:i/>
          <w:iCs/>
          <w:sz w:val="24"/>
          <w:szCs w:val="24"/>
          <w:cs/>
          <w:lang w:bidi="th-TH"/>
        </w:rPr>
        <w:t xml:space="preserve"> 14 </w:t>
      </w:r>
      <w:r>
        <w:rPr>
          <w:rFonts w:cs="Angsana New"/>
          <w:b w:val="0"/>
          <w:bCs w:val="0"/>
          <w:i/>
          <w:iCs/>
          <w:sz w:val="24"/>
          <w:szCs w:val="24"/>
          <w:cs/>
          <w:lang w:bidi="th-TH"/>
        </w:rPr>
        <w:t>กันยายน</w:t>
      </w:r>
      <w:r>
        <w:rPr>
          <w:rFonts w:cs="Tahoma"/>
          <w:b w:val="0"/>
          <w:bCs w:val="0"/>
          <w:i/>
          <w:iCs/>
          <w:sz w:val="24"/>
          <w:szCs w:val="24"/>
          <w:cs/>
          <w:lang w:bidi="th-TH"/>
        </w:rPr>
        <w:t xml:space="preserve"> 2020 (</w:t>
      </w:r>
      <w:r>
        <w:rPr>
          <w:rFonts w:cs="Angsana New"/>
          <w:b w:val="0"/>
          <w:bCs w:val="0"/>
          <w:i/>
          <w:iCs/>
          <w:sz w:val="24"/>
          <w:szCs w:val="24"/>
          <w:cs/>
          <w:lang w:bidi="th-TH"/>
        </w:rPr>
        <w:t>ข้อ</w:t>
      </w:r>
      <w:r>
        <w:rPr>
          <w:rFonts w:cs="Tahoma"/>
          <w:b w:val="0"/>
          <w:bCs w:val="0"/>
          <w:i/>
          <w:iCs/>
          <w:sz w:val="24"/>
          <w:szCs w:val="24"/>
          <w:cs/>
          <w:lang w:bidi="th-TH"/>
        </w:rPr>
        <w:t xml:space="preserve"> 1619)</w:t>
      </w:r>
    </w:p>
    <w:p w:rsidR="00BC6095" w:rsidRPr="00CB42CC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sz w:val="24"/>
          <w:szCs w:val="24"/>
          <w:lang w:val="en-US"/>
        </w:rPr>
      </w:pPr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ฝ่ายผู้เสียหายเป็นฝ่ายเตรียมกระบวนพิจารณาสืบพยานแบบสามัญก่อนนำคดีขึ้นสู่ศาล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299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  <w:r w:rsidR="00A41A7E" w:rsidRPr="00A41A7E">
        <w:rPr>
          <w:rStyle w:val="FootnoteReference"/>
          <w:sz w:val="24"/>
          <w:szCs w:val="24"/>
        </w:rPr>
        <w:footnoteReference w:id="1"/>
      </w:r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ในการพิจารณาคดีในศาลผู้เสียหายสามารถเป็นคู่กรณีได้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อัยการช่วย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หากผู้เสียหายร้องขอ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คำชี้แจงขอเป็นคู่กรณีจะต้องทำอย่างช้าที่สุดก่อนการเริ่มต้นกระบวนการทางศาล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53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54 (1)) </w:t>
      </w:r>
      <w:r>
        <w:rPr>
          <w:rFonts w:cs="Angsana New"/>
          <w:sz w:val="24"/>
          <w:szCs w:val="24"/>
          <w:cs/>
          <w:lang w:bidi="th-TH"/>
        </w:rPr>
        <w:t>หากคุณไม่แสดงเจตนาดังกล่าวคุณจะไม่สามารถใช้สิทธิของคุณในฐานะผู้ช่วยอัยการในการพิจารณาคดีในศาล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คุณสามารถแถลงเป็นลายลักษณ์อักษรหรือปากเปล่าในระเบียบการได้</w:t>
      </w:r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ตัวแทนหรือผู้ปกครองของผู้เสียหายที่เป็นผู้เยาว์ที่ไร้ความสามารถหรือไร้ประสิทธิภาพทั้งหมดหรือบางส่วนสามารถใช้สิทธิของผู้เสียหายที่เป็นผู้เยาว์ดังกล่าว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51) </w:t>
      </w:r>
      <w:r>
        <w:rPr>
          <w:rFonts w:cs="Angsana New"/>
          <w:sz w:val="24"/>
          <w:szCs w:val="24"/>
          <w:cs/>
          <w:lang w:bidi="th-TH"/>
        </w:rPr>
        <w:t>ผู้ใกล้ชิดหรือผู้อยู่ในอุปการะของผู้เสียหายสามารถใช้สิทธิของผู้เสียหายได้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52)</w:t>
      </w:r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หากคุณเป็นผู้เสียหายหรือหากคุณใช้สิทธิ์ของคุณคุณมีสิทธิ์ดังต่อไปนี้</w:t>
      </w:r>
      <w:r>
        <w:rPr>
          <w:rFonts w:cs="Tahoma"/>
          <w:sz w:val="24"/>
          <w:szCs w:val="24"/>
          <w:cs/>
          <w:lang w:bidi="th-TH"/>
        </w:rPr>
        <w:t>:</w:t>
      </w:r>
    </w:p>
    <w:p w:rsidR="00663C68" w:rsidRPr="00A41A7E" w:rsidRDefault="00B63045" w:rsidP="00A41A7E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1" w:name="bookmark6"/>
      <w:r>
        <w:rPr>
          <w:rFonts w:cs="Angsana New"/>
          <w:sz w:val="24"/>
          <w:szCs w:val="24"/>
          <w:cs/>
          <w:lang w:bidi="th-TH"/>
        </w:rPr>
        <w:t>ความช่วยเหลือทางกฎหมาย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1"/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มีสิทธิ์ได้รับความช่วยเหลือจากทนายความที่คุณแต่งตั้งโดยคุณซึ่งอาจเป็นทนายความหรือที่ปรึกษาด้านกฎหมายก็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คุณไม่สามารถมีทนายความได้มากกว่าสามคนในเวลาเดียวกัน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77 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87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2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88)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พิสูจน์ได้ว่าคุณไม่สามารถจัดหาทนายความได้ศาลอาจแต่งตั้งทนายความโดยตำแหน่งตามคำร้องขอของคุณเพื่อจุดประสงค์ในการดำเนินการตามขั้นตอนเฉพาะ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78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88) </w:t>
      </w:r>
      <w:r>
        <w:rPr>
          <w:rFonts w:cs="Angsana New"/>
          <w:sz w:val="24"/>
          <w:szCs w:val="24"/>
          <w:cs/>
          <w:lang w:bidi="th-TH"/>
        </w:rPr>
        <w:t>คุณยังสามารถส่งคำขอของคุณผ่านพนักงานอัยการซึ่งจะส่งคำขอต่อไปยังศาล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116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118 (3))</w:t>
      </w:r>
    </w:p>
    <w:p w:rsidR="00663C68" w:rsidRPr="00A41A7E" w:rsidRDefault="00B63045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2" w:name="bookmark7"/>
      <w:r>
        <w:rPr>
          <w:rFonts w:cs="Angsana New"/>
          <w:sz w:val="24"/>
          <w:szCs w:val="24"/>
          <w:cs/>
          <w:lang w:bidi="th-TH"/>
        </w:rPr>
        <w:t>การใช้ล่าม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2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left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มีสิทธิที่จะได้รับความช่วยเหลือฟรีจากล่ามในระหว่างการสอบสวนหรือเพื่อทำความคุ้นเคยกับเนื้อหาของหลักฐานหากคุณพูดภาษาโปแลนด์ไม่ได้และหากคุณเป็นคนหูหนวกหรือเป็นใบ้หากจำเป็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204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663C68" w:rsidRPr="00A41A7E" w:rsidRDefault="00B63045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3" w:name="bookmark8"/>
      <w:r>
        <w:rPr>
          <w:rFonts w:cs="Angsana New"/>
          <w:sz w:val="24"/>
          <w:szCs w:val="24"/>
          <w:cs/>
          <w:lang w:bidi="th-TH"/>
        </w:rPr>
        <w:t>การเข้าถึงแฟ้มเอกสาร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3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คุณสามารถร้องขอการเข้าถึงแฟ้มเอกสารคดี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สำเนาและบทคัดย่อจากแฟ้มเอกสารได้แม้หลังจากการสอบสวนแล้ว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การสอบสวนหรือการฟ้องร้อง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ในขั้นตอนก่อนการพิจารณาคดีคุณอาจถูกปฏิเสธไม่ให้เข้าถึงแฟ้มเอกสารเพื่อประโยชน์ที่สำคัญของรัฐหรือเพื่อประโยชน์ในการดำเนิน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หากคุณถูกปฏิเสธคุณจะได้รับแจ้งว่าคุณสามารถเข้าถึงแฟ้มเอกสารในภายหลังได้อย่างไรเมื่อคุณร้องขอ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สามารถเข้าถึงแฟ้มเอกสารได้ในรูปแบบอิเล็กทรอนิกส์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อัยการไม่สามารถปฏิเสธให้คุณเข้าถึงแฟ้มเอกสารคดีได้หากมีการกำหนดเวลาให้ผู้ต้องสงสัยรับทราบข้อมูลของคดี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156)</w:t>
      </w:r>
    </w:p>
    <w:p w:rsidR="00663C68" w:rsidRPr="00A41A7E" w:rsidRDefault="00B63045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4" w:name="bookmark9"/>
      <w:r>
        <w:rPr>
          <w:rFonts w:cs="Angsana New"/>
          <w:sz w:val="24"/>
          <w:szCs w:val="24"/>
          <w:cs/>
          <w:lang w:bidi="th-TH"/>
        </w:rPr>
        <w:t>ข้อแก้ตัวสำหรับการไม่มาขึ้นศาล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4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ถูกเรียกตัวให้มาขึ้นศาลข้อแก้ตัวสำหรับการไม่มาขึ้นศาลเนื่องจากความเจ็บป่วยจะทำได้ก็ต่อเมื่อแสดงใบรับรองที่ออกโดยแพทย์ประจำศาล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ใบรับรองหรือเอกสารอนุญาตให้กลับอื่นถือว่าไม่เพียงพอ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117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A41A7E" w:rsidRDefault="00B63045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5" w:name="bookmark10"/>
      <w:r>
        <w:rPr>
          <w:rFonts w:cs="Angsana New"/>
          <w:sz w:val="24"/>
          <w:szCs w:val="24"/>
          <w:cs/>
          <w:lang w:bidi="th-TH"/>
        </w:rPr>
        <w:t>ขั้นตอนการไกล่เกลี่ย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5"/>
    </w:p>
    <w:p w:rsidR="00663C68" w:rsidRPr="00A41A7E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left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ขอให้ส่งคดีไปสู่การไกล่เกลี่ยเพื่อตกลงกับผู้ต้องหาและสามารถตกลงกับผู้ต้องหาในเรื่องการเยียวยา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23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 </w:t>
      </w:r>
      <w:r>
        <w:rPr>
          <w:rFonts w:cs="Angsana New"/>
          <w:sz w:val="24"/>
          <w:szCs w:val="24"/>
          <w:cs/>
          <w:lang w:bidi="th-TH"/>
        </w:rPr>
        <w:t>การเข้าร่วมในกระบวนการไกล่เกลี่ยเป็นไปโดยสมัครใจ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left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ขั้นตอนการไกล่เกลี่ยจะต้องดำเนินการโดยผู้ไกล่เกลี่ยที่ได้รับการแต่งตั้งซึ่งมีหน้าที่ต้องรักษาความลับของกระบวนการไกล่เกลี่ย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178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A41A7E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22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6" w:name="bookmark11"/>
      <w:r>
        <w:rPr>
          <w:rFonts w:cs="Angsana New"/>
          <w:sz w:val="24"/>
          <w:szCs w:val="24"/>
          <w:cs/>
          <w:lang w:bidi="th-TH"/>
        </w:rPr>
        <w:t>ค่าชดเชย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6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คำร้องขอค่าชดเชยความเสียหายหรือค่าชดเชยสำหรับอันตรายที่ได้รับจนกว่าจะจบการสืบพยานของ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49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คุณสามารถส่งคำขอของคุณเป็นลายลักษณ์อักษรหรือปากเปล่าในระเบียบการได้</w:t>
      </w:r>
    </w:p>
    <w:p w:rsidR="00663C68" w:rsidRPr="00A41A7E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7" w:name="bookmark12"/>
      <w:r>
        <w:rPr>
          <w:rFonts w:cs="Angsana New"/>
          <w:sz w:val="24"/>
          <w:szCs w:val="24"/>
          <w:cs/>
          <w:lang w:bidi="th-TH"/>
        </w:rPr>
        <w:t>สิทธิในการได้รับข้อมูล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7"/>
    </w:p>
    <w:p w:rsidR="00663C68" w:rsidRPr="00CB42CC" w:rsidRDefault="00DE194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จะได้รับแจ้งหากการควบคุมตัวก่อนการพิจารณาคดีของผู้ต้องสงสัยได้ถูกยกเลิกหรือเปลี่ยนเป็นมาตรการป้องกันอื่นและหากผู้ต้องสงสัยได้หลบหนีจากการควบคุมตัวเว้นแต่คุณจะสละสิทธิ์นี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253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lastRenderedPageBreak/>
        <w:t>คุณสามารถขอให้ศาลแจ้งให้คุณทราบเกี่ยวกับข้อกล่าวหาที่คุณถูกฟ้องร้องและข้อมูลเกี่ยวกับการจัดประเภทตามกฎหมายของข้อกล่าวหาเหล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หากฝ่ายที่เสียหายหลายรายร้องขอ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ข้อมูลเกี่ยวกับข้อหาและการจัดประเภทตามกฎหมายของข้อกล่าวหาเหล่านั้นสามารถถูกรวมไว้ในประกาศบนเว็บไซต์ของศาล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337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CB42CC" w:rsidRDefault="00DE194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4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คุณจะได้รับแจ้งเกี่ยวกับสถานที่และวันที่สืบพยาน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350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4)</w:t>
      </w:r>
    </w:p>
    <w:p w:rsidR="00663C68" w:rsidRPr="00CB42CC" w:rsidRDefault="00DE194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คุณจะได้รับแจ้งเกี่ยวกับสถานที่และเวลาของการประชุมของศาลเรื่อง</w:t>
      </w:r>
      <w:r>
        <w:rPr>
          <w:rFonts w:cs="Tahoma"/>
          <w:sz w:val="24"/>
          <w:szCs w:val="24"/>
          <w:cs/>
          <w:lang w:bidi="th-TH"/>
        </w:rPr>
        <w:t xml:space="preserve">: </w:t>
      </w:r>
      <w:r>
        <w:rPr>
          <w:rFonts w:cs="Angsana New"/>
          <w:sz w:val="24"/>
          <w:szCs w:val="24"/>
          <w:cs/>
          <w:lang w:bidi="th-TH"/>
        </w:rPr>
        <w:t>การยุติการดำเนินคดี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การยุติการดำเนินคดีตามเงื่อนไข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และการตัดสินลงโทษโดยไม่มีการพิจารณาคดี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339 341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343)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ในกระบวนการก่อนการพิจารณาคดีคุณสามารถร้องขอให้ศาลแจ้งให้คุณทราบว่าคดีสิ้นสุดอย่างไรได้โดยการส่งจดหมายธรรมด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โทรสารหรืออี</w:t>
      </w:r>
      <w:proofErr w:type="spellStart"/>
      <w:r>
        <w:rPr>
          <w:rFonts w:cs="Angsana New"/>
          <w:sz w:val="24"/>
          <w:szCs w:val="24"/>
          <w:cs/>
          <w:lang w:bidi="th-TH"/>
        </w:rPr>
        <w:t>เมล</w:t>
      </w:r>
      <w:proofErr w:type="spellEnd"/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จากนั้นคุณจะได้รับสำเนาคำตัดสินขั้นสุดท้ายในการยุติคดีหรือบทคัดย่อของสำเนาดังกล่าวซึ่งสามารถถูกส่งในรูปแบบอิเล็กทรอนิกส์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299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663C68" w:rsidRPr="00A41A7E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8" w:name="bookmark13"/>
      <w:r>
        <w:rPr>
          <w:rFonts w:cs="Angsana New"/>
          <w:sz w:val="24"/>
          <w:szCs w:val="24"/>
          <w:cs/>
          <w:lang w:bidi="th-TH"/>
        </w:rPr>
        <w:t>การชดเชยของรัฐ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8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คำขอค่าชดเชยต่อศาลได้หากคุณเป็นพลเมืองโปแลนด์หรือเป็นพลเมืองของประเทศสมาชิกสหภาพยุโรปอื่นภายใต้กฎที่กำหนดไว้ใน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7 </w:t>
      </w:r>
      <w:r>
        <w:rPr>
          <w:rFonts w:cs="Angsana New"/>
          <w:sz w:val="24"/>
          <w:szCs w:val="24"/>
          <w:cs/>
          <w:lang w:bidi="th-TH"/>
        </w:rPr>
        <w:t>กรกฎาคม</w:t>
      </w:r>
      <w:r>
        <w:rPr>
          <w:rFonts w:cs="Tahoma"/>
          <w:sz w:val="24"/>
          <w:szCs w:val="24"/>
          <w:cs/>
          <w:lang w:bidi="th-TH"/>
        </w:rPr>
        <w:t xml:space="preserve"> 2005 </w:t>
      </w:r>
      <w:r>
        <w:rPr>
          <w:rFonts w:cs="Angsana New"/>
          <w:sz w:val="24"/>
          <w:szCs w:val="24"/>
          <w:cs/>
          <w:lang w:bidi="th-TH"/>
        </w:rPr>
        <w:t>ว่าด้วยการชดเชยของรัฐต่อผู้เสียหายในการกระทำต้องห้ามบางประการ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วารสารนิติศาสตร์ปี</w:t>
      </w:r>
      <w:r>
        <w:rPr>
          <w:rFonts w:cs="Tahoma"/>
          <w:sz w:val="24"/>
          <w:szCs w:val="24"/>
          <w:cs/>
          <w:lang w:bidi="th-TH"/>
        </w:rPr>
        <w:t xml:space="preserve"> 2016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325) </w:t>
      </w:r>
      <w:r>
        <w:rPr>
          <w:rFonts w:cs="Angsana New"/>
          <w:sz w:val="24"/>
          <w:szCs w:val="24"/>
          <w:cs/>
          <w:lang w:bidi="th-TH"/>
        </w:rPr>
        <w:t>คำขอครอบคลุมถึงการสูญเสียรายได้หรือวิธีการยังชีพอื่น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ๆ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่าใช้จ่ายที่เกี่ยวข้องกับการรักษาและการฟื้นฟูสมรรถภาพและค่าทำศพเมื่อความเสียหายดังกล่าวเป็นผลมาจากการกระทำที่ต้องห้า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คุณสามารถส่งคำขอได้ก็ต่อเมื่อคุณไม่สามารถขอรับเงินจากผู้กระทำความผิด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จากการประกันหรือจากกองทุนสวัสดิการสังคมเท่านั้น</w:t>
      </w:r>
    </w:p>
    <w:p w:rsidR="00663C68" w:rsidRPr="00A41A7E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9" w:name="bookmark14"/>
      <w:r>
        <w:rPr>
          <w:rFonts w:cs="Angsana New"/>
          <w:sz w:val="24"/>
          <w:szCs w:val="24"/>
          <w:cs/>
          <w:lang w:bidi="th-TH"/>
        </w:rPr>
        <w:t>การไม่เปิดเผยตัวตนของข้อมูล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9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ข้อมูลเกี่ยวกับสถานที่พำนักและสถานที่ทำงานของคุณ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ที่อยู่อี</w:t>
      </w:r>
      <w:proofErr w:type="spellStart"/>
      <w:r>
        <w:rPr>
          <w:rFonts w:cs="Angsana New"/>
          <w:sz w:val="24"/>
          <w:szCs w:val="24"/>
          <w:cs/>
          <w:lang w:bidi="th-TH"/>
        </w:rPr>
        <w:t>เมล</w:t>
      </w:r>
      <w:proofErr w:type="spellEnd"/>
      <w:r>
        <w:rPr>
          <w:rFonts w:cs="Angsana New"/>
          <w:sz w:val="24"/>
          <w:szCs w:val="24"/>
          <w:cs/>
          <w:lang w:bidi="th-TH"/>
        </w:rPr>
        <w:t>และหมายเลขโทรศัพท์หรือแฟกซ์ของคุณจะไม่ถูกเปิดเผยในแฟ้มคดี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ข้อมูลเหล่านั้นจะต้องถูกวางไว้ในภาคผนวกแยกต่างหากสำหรับข้อมูลของผู้มีอำนาจสอบสวนเท่านั้น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สามารถเปิดเผยข้อมูลเหล่านั้นได้เฉพาะในกรณีพิเศษเท่านั้น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148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156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A41A7E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10" w:name="bookmark15"/>
      <w:r>
        <w:rPr>
          <w:rFonts w:cs="Angsana New"/>
          <w:sz w:val="24"/>
          <w:szCs w:val="24"/>
          <w:cs/>
          <w:lang w:bidi="th-TH"/>
        </w:rPr>
        <w:t>การคุ้มครอง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ความช่วยเหลือและการสนับสนุน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10"/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หากชีวิตหรือสุขภาพของคุณหรือคนใกล้ชิดของคุณมีความเสี่ยง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ยื่นขอความคุ้มครองจากตำรวจได้ตลอดระยะเวลาของการพิจารณาคดีและสามารถขอการคุ้มครองหรือความช่วยเหลือส่วนบุคคลในการย้ายถิ่นฐานได้หากมีความเสี่ยงสู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ยื่นคำขอความคุ้มครองควรถูกส่งไปยังหัวหน้าตำรวจส่วนภูมิภาคผ่านหน่วยงานที่ดำเนินกระบวนพิจารณาหรือ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1-17 </w:t>
      </w:r>
      <w:r>
        <w:rPr>
          <w:rFonts w:cs="Angsana New"/>
          <w:sz w:val="24"/>
          <w:szCs w:val="24"/>
          <w:cs/>
          <w:lang w:bidi="th-TH"/>
        </w:rPr>
        <w:t>ของพระราชบัญญัติวันที่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28 </w:t>
      </w:r>
      <w:r>
        <w:rPr>
          <w:rFonts w:cs="Angsana New"/>
          <w:sz w:val="24"/>
          <w:szCs w:val="24"/>
          <w:cs/>
          <w:lang w:bidi="th-TH"/>
        </w:rPr>
        <w:t>พฤศจิกายน</w:t>
      </w:r>
      <w:r>
        <w:rPr>
          <w:rFonts w:cs="Tahoma"/>
          <w:sz w:val="24"/>
          <w:szCs w:val="24"/>
          <w:cs/>
          <w:lang w:bidi="th-TH"/>
        </w:rPr>
        <w:t xml:space="preserve"> 2014 </w:t>
      </w:r>
      <w:r>
        <w:rPr>
          <w:rFonts w:cs="Angsana New"/>
          <w:sz w:val="24"/>
          <w:szCs w:val="24"/>
          <w:cs/>
          <w:lang w:bidi="th-TH"/>
        </w:rPr>
        <w:t>ว่าด้วยการคุ้มครองและความช่วยเหลือสำหรับผู้เสียหายและพยาน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วารสารนิติศาสตร์ปี</w:t>
      </w:r>
      <w:r>
        <w:rPr>
          <w:rFonts w:cs="Tahoma"/>
          <w:sz w:val="24"/>
          <w:szCs w:val="24"/>
          <w:cs/>
          <w:lang w:bidi="th-TH"/>
        </w:rPr>
        <w:t xml:space="preserve"> 2015)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21))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คุณมีสิทธิ์ได้รับความช่วยเหลือด้านการแพทย์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ด้านจิตวิทยา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ด้านการฟื้นฟูสมรรถภาพ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ด้านกฎหมายและเนื้อหาฟรีในเครือข่ายความช่วยเหลือเหยื่ออาชญากรรม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43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8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ของพระราชบัญญัติวันที่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6 </w:t>
      </w:r>
      <w:r>
        <w:rPr>
          <w:rFonts w:cs="Angsana New"/>
          <w:sz w:val="24"/>
          <w:szCs w:val="24"/>
          <w:cs/>
          <w:lang w:bidi="th-TH"/>
        </w:rPr>
        <w:t>มิถุนายน</w:t>
      </w:r>
      <w:r>
        <w:rPr>
          <w:rFonts w:cs="Tahoma"/>
          <w:sz w:val="24"/>
          <w:szCs w:val="24"/>
          <w:cs/>
          <w:lang w:bidi="th-TH"/>
        </w:rPr>
        <w:t xml:space="preserve"> 1997 - </w:t>
      </w:r>
      <w:r>
        <w:rPr>
          <w:rFonts w:cs="Angsana New"/>
          <w:sz w:val="24"/>
          <w:szCs w:val="24"/>
          <w:cs/>
          <w:lang w:bidi="th-TH"/>
        </w:rPr>
        <w:t>ประมวลกฎหมายอาญาฝ่ายผู้บริหาร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วารสารกฎหมายปี</w:t>
      </w:r>
      <w:r>
        <w:rPr>
          <w:rFonts w:cs="Tahoma"/>
          <w:sz w:val="24"/>
          <w:szCs w:val="24"/>
          <w:cs/>
          <w:lang w:bidi="th-TH"/>
        </w:rPr>
        <w:t xml:space="preserve"> 2020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523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568) </w:t>
      </w:r>
      <w:r>
        <w:rPr>
          <w:rFonts w:cs="Angsana New"/>
          <w:sz w:val="24"/>
          <w:szCs w:val="24"/>
          <w:cs/>
          <w:lang w:bidi="th-TH"/>
        </w:rPr>
        <w:t>บุคคลที่ใกล้ชิดกับคุณมากที่สุดก็มีสิทธิ์นี้เช่นกัน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cs/>
          <w:lang w:bidi="th-TH"/>
        </w:rPr>
        <w:t>คุณสามารถรับข้อมูลโดยละเอียดได้ที่เว็บไซต์</w:t>
      </w:r>
      <w:r>
        <w:rPr>
          <w:rFonts w:cs="Tahoma"/>
          <w:cs/>
          <w:lang w:bidi="th-TH"/>
        </w:rPr>
        <w:t xml:space="preserve"> </w:t>
      </w:r>
      <w:hyperlink r:id="rId8" w:history="1">
        <w:r>
          <w:rPr>
            <w:rStyle w:val="Hyperlink"/>
            <w:rFonts w:cs="Tahoma"/>
            <w:sz w:val="24"/>
            <w:szCs w:val="24"/>
            <w:cs/>
            <w:lang w:bidi="th-TH"/>
          </w:rPr>
          <w:t xml:space="preserve">https://www.funduszsprawiedliwosci.gov.pl </w:t>
        </w:r>
      </w:hyperlink>
      <w:r>
        <w:rPr>
          <w:rFonts w:cs="Angsana New"/>
          <w:cs/>
          <w:lang w:bidi="th-TH"/>
        </w:rPr>
        <w:t>หรือโทร</w:t>
      </w:r>
      <w:r>
        <w:rPr>
          <w:rFonts w:cs="Tahoma"/>
          <w:cs/>
          <w:lang w:bidi="th-TH"/>
        </w:rPr>
        <w:t>:</w:t>
      </w:r>
      <w:r>
        <w:rPr>
          <w:rFonts w:cs="Tahoma"/>
          <w:sz w:val="24"/>
          <w:szCs w:val="24"/>
          <w:cs/>
          <w:lang w:bidi="th-TH"/>
        </w:rPr>
        <w:t xml:space="preserve"> +48 222 309 900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ระบุบุคคลที่จะเข้าร่วมในระหว่างกิจกรรมด้วยการมีส่วนร่วมของคุณในขั้นตอนก่อนการพิจารณาคดีได้ตราบใดที่จะไม่ทำให้กิจกรรมเหล่านั้นไม่สามารถทำได้หรือขัดขวางกิจกรรมเหล่านั้นอย่างมีนัยสำคัญ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299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คุณสามารถยื่นคำขอให้บังคับใช้คำสั่งศาลให้อยู่ห่าง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ๆ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หรือติดต่อผู้กระทำความผิดในอีกประเทศสมาชิกหนึ่งของสหภาพยุโรปตามคำสั่งคุ้มครองของยุโรป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611w-611wc)</w:t>
      </w:r>
    </w:p>
    <w:p w:rsidR="00663C68" w:rsidRPr="00CB42CC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rFonts w:cs="Tahoma"/>
          <w:sz w:val="24"/>
          <w:szCs w:val="24"/>
          <w:cs/>
          <w:lang w:bidi="th-TH"/>
        </w:rPr>
      </w:pPr>
      <w:bookmarkStart w:id="11" w:name="bookmark16"/>
      <w:r>
        <w:rPr>
          <w:rFonts w:cs="Angsana New"/>
          <w:sz w:val="24"/>
          <w:szCs w:val="24"/>
          <w:cs/>
          <w:lang w:bidi="th-TH"/>
        </w:rPr>
        <w:t>การชดใช้ค่าใช้จ่ายที่เกิดขึ้นจากการดำเนินคดีอาญา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11"/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คำร้องต่อศาลเพื่อขอการชดใช้ค่าใช้จ่ายที่เกิดขึ้นเกี่ยวกับการดำเนินคดีอาญารวมถึงค่าใช้จ่ายที่เกี่ยวข้องกับการมอบฉันทะหรือการปรากฏตัวใน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618</w:t>
      </w:r>
      <w:r>
        <w:rPr>
          <w:rFonts w:cs="Angsana New"/>
          <w:sz w:val="24"/>
          <w:szCs w:val="24"/>
          <w:cs/>
          <w:lang w:bidi="th-TH"/>
        </w:rPr>
        <w:t>ญ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627)</w:t>
      </w:r>
    </w:p>
    <w:p w:rsidR="00663C68" w:rsidRPr="00A41A7E" w:rsidRDefault="00B63045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rFonts w:cs="Tahoma"/>
          <w:sz w:val="24"/>
          <w:szCs w:val="24"/>
          <w:cs/>
          <w:lang w:bidi="th-TH"/>
        </w:rPr>
      </w:pPr>
      <w:bookmarkStart w:id="12" w:name="bookmark17"/>
      <w:r>
        <w:rPr>
          <w:rFonts w:cs="Tahoma"/>
          <w:sz w:val="24"/>
          <w:szCs w:val="24"/>
          <w:cs/>
          <w:lang w:bidi="th-TH"/>
        </w:rPr>
        <w:t xml:space="preserve">12 </w:t>
      </w:r>
      <w:r>
        <w:rPr>
          <w:rFonts w:cs="Angsana New"/>
          <w:sz w:val="24"/>
          <w:szCs w:val="24"/>
          <w:cs/>
          <w:lang w:bidi="th-TH"/>
        </w:rPr>
        <w:t>สิทธิตามขั้นตอน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bookmarkEnd w:id="12"/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หากคุณได้แจ้งเรื่องอาชญากรรมจะมีการออกใบรับแจ้งตามคำขอ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304</w:t>
      </w:r>
      <w:r>
        <w:rPr>
          <w:rFonts w:cs="Angsana New"/>
          <w:sz w:val="24"/>
          <w:szCs w:val="24"/>
          <w:cs/>
          <w:lang w:bidi="th-TH"/>
        </w:rPr>
        <w:t>ข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คุณสามารถส่งคำร้องเพื่อดำเนินการตามขั้นตอนได้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เช่น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เพื่อสืบพยาน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รับเอกสารหรืออนุญาตให้มีความเห็นจากผู้เชี่ยวชาญ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315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คำขอของคุณจะไม่ได้รับการพิจารณาหาก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170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1):</w:t>
      </w:r>
    </w:p>
    <w:p w:rsidR="00663C68" w:rsidRPr="00CB42CC" w:rsidRDefault="00B63045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hanging="2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ไม่สามารถรับการสืบพยานได้</w:t>
      </w:r>
    </w:p>
    <w:p w:rsidR="00663C68" w:rsidRPr="00CB42CC" w:rsidRDefault="00B63045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right="20" w:hanging="2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พฤติการณ์ที่ต้องพิสูจน์ไม่เกี่ยวข้องกับการคลี่คลายคดีหรือได้รับการพิสูจน์แล้วตามข้อเรียกร้องของคุณ</w:t>
      </w:r>
    </w:p>
    <w:p w:rsidR="00663C68" w:rsidRPr="00CB42CC" w:rsidRDefault="00B63045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หลักฐานไม่มีประโยชน์ในพิสูจน์สถานการณ์</w:t>
      </w:r>
    </w:p>
    <w:p w:rsidR="00663C68" w:rsidRPr="00CB42CC" w:rsidRDefault="00B63045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ไม่สามารถแสดงหลักฐานได้</w:t>
      </w:r>
    </w:p>
    <w:p w:rsidR="00663C68" w:rsidRPr="00CB42CC" w:rsidRDefault="00B63045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right="20" w:hanging="2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lastRenderedPageBreak/>
        <w:t>การยื่นคำร้องขอดำเนินคดีมีวัตถุประสงค์อย่างชัดเจนเพื่อยืดระยะเวลาการดำเนินคดีหรือถูกส่งหลังจากครบกำหนดเวลาที่ผู้สอบสวนของกระบวนพิจารณาคดีตามที่คุณได้รับแจ้ง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บุคคลที่ดำเนินกระบวนพิจารณาไม่สามารถปฏิเสธที่จะให้คุณมีส่วนร่วมในการดำเนินคดีหากคุณได้ส่งคำร้องขอให้ดำเนินการดังกล่าวแล้ว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315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คุณสามารถขออนุญาตเพื่อเข้าร่วมในกระบวนพิจารณาอื่น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ๆ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พนักงานอัยการสามารถปฏิเสธไม่ให้คุณมีส่วนร่วมในกิจกรรมเหล่านี้ได้ในกรณีที่มีความชอบธรรมโดยเฉพาะเนื่องจากผลประโยชน์สำคัญในกระบวนพิจารณา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317)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ไม่สามารถดำเนินกระบวนพิจารณาซ้ำได้คุณสามารถเข้าร่วมได้เว้นแต่จะมีอันตรายที่หลักฐานอาจสูญหายหรือถูกบิดเบือนได้ในกรณีที่เกิดความล่าช้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316(1))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หากมีข้อกังวลว่าจะไม่สามารถสืบพยานได้ในการพิจารณาคดี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คุณสามารถขอให้ศาลสืบพยานหรือขอให้อัยการสืบพยานในลักษณะนี้ได้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316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มีการยอมรับหลักฐานที่เป็นความคิดเห็นของผู้เชี่ยวชาญในกระบวนพิจารณาคุณสามารถมีส่วนร่วมในการสืบพยานของผู้เชี่ยวชาญและปรึกษาผู้เชี่ยวชาญเพื่อขอความคิดเห็นได้หากมีการยื่นความคิดเห็นเป็นลายลักษณ์อักษร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318)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คุณสามารถร้องขอให้รับฟังได้หากสิ่งนี้ถูกสละสิทธิ์ในการสอบสวนหรือการดำเนินคดี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คุณจะไม่ได้รับอนุญาตตามคำขอของคุณหากการร้องขอนี้ทำให้กระบวนพิจารณายาวนาน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315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คุณสามารถยื่นร้องเรียนคำตัดสินที่จะปฏิเสธที่จะเริ่มหรือยุติกระบวนพิจารณา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การสอบสวนหรือกระบวนพิจารณา</w:t>
      </w:r>
      <w:r>
        <w:rPr>
          <w:rFonts w:cs="Tahoma"/>
          <w:sz w:val="24"/>
          <w:szCs w:val="24"/>
          <w:cs/>
          <w:lang w:bidi="th-TH"/>
        </w:rPr>
        <w:t>)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306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1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ภายใน</w:t>
      </w:r>
      <w:r>
        <w:rPr>
          <w:rFonts w:cs="Tahoma"/>
          <w:sz w:val="24"/>
          <w:szCs w:val="24"/>
          <w:cs/>
          <w:lang w:bidi="th-TH"/>
        </w:rPr>
        <w:t xml:space="preserve"> 7 </w:t>
      </w:r>
      <w:r>
        <w:rPr>
          <w:rFonts w:cs="Angsana New"/>
          <w:sz w:val="24"/>
          <w:szCs w:val="24"/>
          <w:cs/>
          <w:lang w:bidi="th-TH"/>
        </w:rPr>
        <w:t>วันนับจากวันที่ตัดสิน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ดังนั้นคุณมีสิทธิ์ที่จะทบทวนแฟ้มคดีซึ่งอัยการสามารถจัดเตรียมให้คุณในรูปแบบอิเล็กทรอนิกส์ได้ด้วยเช่นกั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306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</w:t>
      </w:r>
      <w:r>
        <w:rPr>
          <w:rFonts w:cs="Angsana New"/>
          <w:sz w:val="24"/>
          <w:szCs w:val="24"/>
          <w:cs/>
          <w:lang w:bidi="th-TH"/>
        </w:rPr>
        <w:t>ข</w:t>
      </w:r>
      <w:r>
        <w:rPr>
          <w:rFonts w:cs="Tahoma"/>
          <w:sz w:val="24"/>
          <w:szCs w:val="24"/>
          <w:cs/>
          <w:lang w:bidi="th-TH"/>
        </w:rPr>
        <w:t>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คุณสามารถร้องเรียนเกี่ยวกับการเพิกเฉยของผู้มีอำนาจหากภายใน</w:t>
      </w:r>
      <w:r>
        <w:rPr>
          <w:rFonts w:cs="Tahoma"/>
          <w:sz w:val="24"/>
          <w:szCs w:val="24"/>
          <w:cs/>
          <w:lang w:bidi="th-TH"/>
        </w:rPr>
        <w:t xml:space="preserve"> 6 </w:t>
      </w:r>
      <w:r>
        <w:rPr>
          <w:rFonts w:cs="Angsana New"/>
          <w:sz w:val="24"/>
          <w:szCs w:val="24"/>
          <w:cs/>
          <w:lang w:bidi="th-TH"/>
        </w:rPr>
        <w:t>สัปดาห์หลังจากได้รับแจ้งการกระทำความผิดคุณไม่ได้รับแจ้งเกี่ยวกับการเริ่มต้นหรือการปฏิเสธที่จะเริ่มการสอบสวนหรือการปฏิเสธที่จะสอบสว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306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คุณสามารถขอให้ทำการสืบสวนหรือการสอบสวนได้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การร้องขอจะต้องทำภายใน</w:t>
      </w:r>
      <w:r>
        <w:rPr>
          <w:rFonts w:cs="Tahoma"/>
          <w:sz w:val="24"/>
          <w:szCs w:val="24"/>
          <w:cs/>
          <w:lang w:bidi="th-TH"/>
        </w:rPr>
        <w:t xml:space="preserve"> 3 </w:t>
      </w:r>
      <w:r>
        <w:rPr>
          <w:rFonts w:cs="Angsana New"/>
          <w:sz w:val="24"/>
          <w:szCs w:val="24"/>
          <w:cs/>
          <w:lang w:bidi="th-TH"/>
        </w:rPr>
        <w:t>วันหลังจากที่ผู้ต้องสงสัยได้รับทราบข้อมูลในกระบวนพิจารณาในที่สุด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321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5)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คุณสามารถยื่นเรื่องร้องเรียนเกี่ยวกับคำตัดสินและคำสั่งที่ปิดหนทางในการพิพากษาได้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เว้นแต่พระราชบัญญัติจะกำหนดไว้เป็นอย่างอื่น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ตามมาตรการป้องกันและหากระบุไว้ในพระราชบัญญัติ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459) </w:t>
      </w:r>
      <w:r>
        <w:rPr>
          <w:rFonts w:cs="Angsana New"/>
          <w:sz w:val="24"/>
          <w:szCs w:val="24"/>
          <w:cs/>
          <w:lang w:bidi="th-TH"/>
        </w:rPr>
        <w:t>นอกจากการร้องเรียนเกี่ยวกับคำตัดสินและคำสั่งแล้วคุณยังสามารถร้องเรียนเกี่ยวกับการกระทำที่ละเมิดสิทธิ์ของคุณ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302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663C68" w:rsidRPr="00CB42CC" w:rsidRDefault="00C109E2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rFonts w:cs="Tahoma"/>
          <w:sz w:val="24"/>
          <w:szCs w:val="24"/>
          <w:cs/>
          <w:lang w:bidi="th-TH"/>
        </w:rPr>
      </w:pPr>
      <w:bookmarkStart w:id="13" w:name="bookmark18"/>
      <w:r>
        <w:rPr>
          <w:rFonts w:cs="Angsana New"/>
          <w:sz w:val="24"/>
          <w:szCs w:val="24"/>
          <w:cs/>
          <w:lang w:bidi="th-TH"/>
        </w:rPr>
        <w:t>จำไว้ว่าคุณมีหน้าที่ต้อง</w:t>
      </w:r>
      <w:r>
        <w:rPr>
          <w:rFonts w:cs="Tahoma"/>
          <w:sz w:val="24"/>
          <w:szCs w:val="24"/>
          <w:cs/>
          <w:lang w:bidi="th-TH"/>
        </w:rPr>
        <w:t xml:space="preserve">: </w:t>
      </w:r>
      <w:bookmarkEnd w:id="13"/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ได้รับการตรวจพินิจและการตรวจสอบที่ไม่เกี่ยวข้องกับขั้นตอนการผ่าตัดหรือการสังเกตในสถานพยาบาลหากความสามารถในการลงโทษขึ้นอยู่กับสุขภาพของคุณ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192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663C68" w:rsidRPr="00CB42CC" w:rsidRDefault="00B6304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ระบุผู้รับ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เช่น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บุคคลหรือสถาบันพร้อมรายละเอียดที่อยู่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สำหรับการส่งหมายในประเทศหรือประเทศสมาชิกอื่นของสหภาพยุโรปเมื่อคุณไม่อยู่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หากคุณไม่ทำเช่นนั้นจดหมายจะถูกส่งไปยังที่อยู่ล่าสุดที่ทราบและ</w:t>
      </w:r>
      <w:r w:rsidR="00BD57EB">
        <w:rPr>
          <w:rFonts w:cs="Angsana New" w:hint="cs"/>
          <w:sz w:val="24"/>
          <w:szCs w:val="24"/>
          <w:cs/>
          <w:lang w:bidi="th-TH"/>
        </w:rPr>
        <w:t>จะ</w:t>
      </w:r>
      <w:bookmarkStart w:id="14" w:name="_GoBack"/>
      <w:bookmarkEnd w:id="14"/>
      <w:r>
        <w:rPr>
          <w:rFonts w:cs="Angsana New"/>
          <w:sz w:val="24"/>
          <w:szCs w:val="24"/>
          <w:cs/>
          <w:lang w:bidi="th-TH"/>
        </w:rPr>
        <w:t>ถือว่าได้รับหมายแล้ว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138)</w:t>
      </w:r>
    </w:p>
    <w:p w:rsidR="00663C68" w:rsidRPr="00CB42CC" w:rsidRDefault="00C109E2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ระบุที่อยู่ใหม่ของคุณเมื่อคุณเปลี่ยนถิ่นที่อยู่หรือภูมิลำเนารวมถึงกรณีที่ถูกจำคุกในอีกคดีหนึ่ง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การคุมขังก่อนการพิจารณาคดี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การกักขังเพื่อรับโทษ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หากคุณไม่ทำเช่นนั้นจดหมายจะถูกส่งไปยังที่อยู่ปัจจุบันของคุณ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รวมถึงตู้ไปรษณีย์ที่เลือกไว้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และถือว่าได้รับหมายแล้ว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139)</w:t>
      </w:r>
    </w:p>
    <w:p w:rsidR="00663C68" w:rsidRPr="00CB42CC" w:rsidRDefault="00B63045" w:rsidP="00A41A7E">
      <w:pPr>
        <w:pStyle w:val="Teksttreci40"/>
        <w:shd w:val="clear" w:color="auto" w:fill="auto"/>
        <w:spacing w:after="0" w:line="240" w:lineRule="auto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การสืบพยานโดยกงสุล</w:t>
      </w:r>
    </w:p>
    <w:p w:rsidR="00663C68" w:rsidRPr="00CB42CC" w:rsidRDefault="00B63045" w:rsidP="00A41A7E">
      <w:pPr>
        <w:pStyle w:val="Teksttreci0"/>
        <w:shd w:val="clear" w:color="auto" w:fill="auto"/>
        <w:spacing w:after="0" w:line="240" w:lineRule="auto"/>
        <w:ind w:left="80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หากคุณอยู่ต่างประเทศคุณอาจถูกสอบถาม</w:t>
      </w:r>
      <w:r>
        <w:rPr>
          <w:rFonts w:cs="Tahoma"/>
          <w:sz w:val="24"/>
          <w:szCs w:val="24"/>
          <w:cs/>
          <w:lang w:bidi="th-TH"/>
        </w:rPr>
        <w:t>/</w:t>
      </w:r>
      <w:r>
        <w:rPr>
          <w:rFonts w:cs="Angsana New"/>
          <w:sz w:val="24"/>
          <w:szCs w:val="24"/>
          <w:cs/>
          <w:lang w:bidi="th-TH"/>
        </w:rPr>
        <w:t>สืบพยานโดยกงสุล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การสืบพยานจะเกิดขึ้นได้ก็ต่อเมื่อคุณยินยอมเท่านั้น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ในกรณีเช่นนี้บทบัญญัติเกี่ยวกับหน้าที่ที่จะต้องปรากฏตัวในศาลและผลที่ตามมาหรือบทบัญญัติที่อนุญาตให้มีการสืบพยานโดยการประชุมทางวิดีโ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บทบัญญัติเกี่ยวกับการคุ้มครองผู้เสียหาย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บทบัญญัติเกี่ยวกับการมีส่วนร่วมในการสืบพยานของบุคคลอื่น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เช่น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แพทย์ผู้เชี่ยวชาญหรือนักจิตวิทยา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26(1)(2) </w:t>
      </w:r>
      <w:r>
        <w:rPr>
          <w:rFonts w:cs="Angsana New"/>
          <w:sz w:val="24"/>
          <w:szCs w:val="24"/>
          <w:cs/>
          <w:lang w:bidi="th-TH"/>
        </w:rPr>
        <w:t>ของพระราชบัญญัติวันที่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25 </w:t>
      </w:r>
      <w:r>
        <w:rPr>
          <w:rFonts w:cs="Angsana New"/>
          <w:sz w:val="24"/>
          <w:szCs w:val="24"/>
          <w:cs/>
          <w:lang w:bidi="th-TH"/>
        </w:rPr>
        <w:t>มิถุนายน</w:t>
      </w:r>
      <w:r>
        <w:rPr>
          <w:rFonts w:cs="Tahoma"/>
          <w:sz w:val="24"/>
          <w:szCs w:val="24"/>
          <w:cs/>
          <w:lang w:bidi="th-TH"/>
        </w:rPr>
        <w:t xml:space="preserve"> 2015) </w:t>
      </w:r>
      <w:r>
        <w:rPr>
          <w:rFonts w:cs="Angsana New"/>
          <w:sz w:val="24"/>
          <w:szCs w:val="24"/>
          <w:cs/>
          <w:lang w:bidi="th-TH"/>
        </w:rPr>
        <w:t>ไม่มีผลบังคับใช้</w:t>
      </w:r>
      <w:r>
        <w:rPr>
          <w:rFonts w:cs="Tahoma"/>
          <w:sz w:val="24"/>
          <w:szCs w:val="24"/>
          <w:cs/>
          <w:lang w:bidi="th-TH"/>
        </w:rPr>
        <w:t xml:space="preserve"> - </w:t>
      </w:r>
      <w:r>
        <w:rPr>
          <w:rFonts w:cs="Angsana New"/>
          <w:sz w:val="24"/>
          <w:szCs w:val="24"/>
          <w:cs/>
          <w:lang w:bidi="th-TH"/>
        </w:rPr>
        <w:t>กฎหมายกงสุล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วารสารกฎหมายปี</w:t>
      </w:r>
      <w:r>
        <w:rPr>
          <w:rFonts w:cs="Tahoma"/>
          <w:sz w:val="24"/>
          <w:szCs w:val="24"/>
          <w:cs/>
          <w:lang w:bidi="th-TH"/>
        </w:rPr>
        <w:t xml:space="preserve"> 2020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195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1086)</w:t>
      </w:r>
    </w:p>
    <w:p w:rsidR="00663C68" w:rsidRPr="00CB42CC" w:rsidRDefault="00B63045" w:rsidP="00A41A7E">
      <w:pPr>
        <w:pStyle w:val="Teksttreci40"/>
        <w:shd w:val="clear" w:color="auto" w:fill="auto"/>
        <w:spacing w:after="0" w:line="240" w:lineRule="auto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โปรดจำไว้ว่าหากดูเหมือนว่าคำแนะนำที่คุณได้รับไม่ชัดเจนหรือไม่สมบูรณ์คุณสามารถขอข้อมูลเพิ่มเติมโดยละเอียดเกี่ยวกับสิทธิและหน้าที่ของคุณจากผู้สอบสวนได้</w:t>
      </w:r>
    </w:p>
    <w:p w:rsidR="00663C68" w:rsidRPr="00CB42CC" w:rsidRDefault="00B63045" w:rsidP="00A41A7E">
      <w:pPr>
        <w:pStyle w:val="Teksttreci40"/>
        <w:shd w:val="clear" w:color="auto" w:fill="auto"/>
        <w:spacing w:after="0" w:line="240" w:lineRule="auto"/>
        <w:rPr>
          <w:rFonts w:cs="Angsana New"/>
          <w:sz w:val="24"/>
          <w:szCs w:val="24"/>
          <w:cs/>
          <w:lang w:bidi="th-TH"/>
        </w:rPr>
        <w:sectPr w:rsidR="00663C68" w:rsidRPr="00CB42CC">
          <w:headerReference w:type="default" r:id="rId9"/>
          <w:footnotePr>
            <w:numRestart w:val="eachPage"/>
          </w:footnotePr>
          <w:type w:val="continuous"/>
          <w:pgSz w:w="11905" w:h="16837"/>
          <w:pgMar w:top="1252" w:right="912" w:bottom="1053" w:left="946" w:header="0" w:footer="3" w:gutter="0"/>
          <w:cols w:space="720"/>
          <w:noEndnote/>
          <w:titlePg/>
          <w:docGrid w:linePitch="360"/>
        </w:sectPr>
      </w:pPr>
      <w:r>
        <w:rPr>
          <w:rFonts w:cs="Angsana New"/>
          <w:sz w:val="24"/>
          <w:szCs w:val="24"/>
          <w:cs/>
          <w:lang w:bidi="th-TH"/>
        </w:rPr>
        <w:t>คุณต้องระบุในแฟ้มคดีเพื่อยืนยันการรับคำแนะนำนี้</w:t>
      </w:r>
    </w:p>
    <w:p w:rsidR="00A41A7E" w:rsidRPr="00CB42CC" w:rsidRDefault="00A41A7E" w:rsidP="00A41A7E">
      <w:pPr>
        <w:pStyle w:val="Stopka1"/>
        <w:shd w:val="clear" w:color="auto" w:fill="auto"/>
        <w:spacing w:line="240" w:lineRule="auto"/>
        <w:ind w:left="20" w:right="200" w:firstLine="0"/>
        <w:rPr>
          <w:sz w:val="24"/>
          <w:szCs w:val="24"/>
          <w:lang w:val="en-US"/>
        </w:rPr>
      </w:pPr>
    </w:p>
    <w:tbl>
      <w:tblPr>
        <w:tblW w:w="4550" w:type="pct"/>
        <w:tblCellSpacing w:w="15" w:type="dxa"/>
        <w:tblLook w:val="04A0" w:firstRow="1" w:lastRow="0" w:firstColumn="1" w:lastColumn="0" w:noHBand="0" w:noVBand="1"/>
      </w:tblPr>
      <w:tblGrid>
        <w:gridCol w:w="199"/>
        <w:gridCol w:w="9026"/>
      </w:tblGrid>
      <w:tr w:rsidR="00A41A7E" w:rsidRPr="00CB42CC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CB42CC" w:rsidRDefault="00A41A7E" w:rsidP="00A41A7E">
            <w:pPr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imes New Roman"/>
                <w:cs/>
                <w:lang w:bidi="th-TH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CB42CC" w:rsidRDefault="00A41A7E" w:rsidP="00A41A7E">
            <w:pPr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Angsana New"/>
                <w:cs/>
                <w:lang w:bidi="th-TH"/>
              </w:rPr>
              <w:t>ข้าพเจ้ายืนยันว่าได้รับคำแนะนำแล้ว</w:t>
            </w:r>
          </w:p>
        </w:tc>
      </w:tr>
      <w:tr w:rsidR="00A41A7E" w:rsidRPr="00A41A7E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CB42CC" w:rsidRDefault="00A41A7E" w:rsidP="00A41A7E">
            <w:pPr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imes New Roman"/>
                <w:cs/>
                <w:lang w:bidi="th-TH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A41A7E" w:rsidRDefault="00A41A7E" w:rsidP="00A41A7E">
            <w:pPr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ahoma"/>
                <w:cs/>
                <w:lang w:bidi="th-TH"/>
              </w:rPr>
              <w:t xml:space="preserve">........................................................................ </w:t>
            </w:r>
          </w:p>
        </w:tc>
      </w:tr>
      <w:tr w:rsidR="00A41A7E" w:rsidRPr="00A41A7E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A41A7E" w:rsidRDefault="00A41A7E" w:rsidP="00A41A7E">
            <w:pPr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imes New Roman"/>
                <w:cs/>
                <w:lang w:bidi="th-TH"/>
              </w:rPr>
              <w:lastRenderedPageBreak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A41A7E" w:rsidRDefault="00A41A7E" w:rsidP="00A41A7E">
            <w:pPr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ahoma"/>
                <w:cs/>
                <w:lang w:bidi="th-TH"/>
              </w:rPr>
              <w:t>(</w:t>
            </w:r>
            <w:r>
              <w:rPr>
                <w:rFonts w:hAnsi="Times New Roman" w:cs="Angsana New"/>
                <w:cs/>
                <w:lang w:bidi="th-TH"/>
              </w:rPr>
              <w:t>วันที่</w:t>
            </w:r>
            <w:r>
              <w:rPr>
                <w:rFonts w:hAnsi="Times New Roman" w:cs="Tahoma"/>
                <w:cs/>
                <w:lang w:bidi="th-TH"/>
              </w:rPr>
              <w:t xml:space="preserve"> </w:t>
            </w:r>
            <w:r>
              <w:rPr>
                <w:rFonts w:hAnsi="Times New Roman" w:cs="Angsana New"/>
                <w:cs/>
                <w:lang w:bidi="th-TH"/>
              </w:rPr>
              <w:t>ลายเซ็น</w:t>
            </w:r>
            <w:r>
              <w:rPr>
                <w:rFonts w:hAnsi="Times New Roman" w:cs="Tahoma"/>
                <w:cs/>
                <w:lang w:bidi="th-TH"/>
              </w:rPr>
              <w:t>)</w:t>
            </w:r>
          </w:p>
        </w:tc>
      </w:tr>
    </w:tbl>
    <w:p w:rsidR="00A41A7E" w:rsidRPr="00A41A7E" w:rsidRDefault="00A41A7E" w:rsidP="00A41A7E">
      <w:pPr>
        <w:pStyle w:val="Stopka1"/>
        <w:shd w:val="clear" w:color="auto" w:fill="auto"/>
        <w:spacing w:line="240" w:lineRule="auto"/>
        <w:ind w:left="20" w:right="200" w:firstLine="0"/>
        <w:rPr>
          <w:rFonts w:cs="Tahoma"/>
          <w:sz w:val="24"/>
          <w:szCs w:val="24"/>
          <w:cs/>
          <w:lang w:bidi="th-TH"/>
        </w:rPr>
      </w:pPr>
    </w:p>
    <w:sectPr w:rsidR="00A41A7E" w:rsidRPr="00A41A7E">
      <w:type w:val="continuous"/>
      <w:pgSz w:w="11905" w:h="16837"/>
      <w:pgMar w:top="1252" w:right="912" w:bottom="1053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FFB" w:rsidRDefault="00BF2FFB">
      <w:pPr>
        <w:rPr>
          <w:rFonts w:cs="Tahoma"/>
          <w:cs/>
          <w:lang w:bidi="th-TH"/>
        </w:rPr>
      </w:pPr>
      <w:r>
        <w:separator/>
      </w:r>
    </w:p>
  </w:endnote>
  <w:endnote w:type="continuationSeparator" w:id="0">
    <w:p w:rsidR="00BF2FFB" w:rsidRDefault="00BF2FFB">
      <w:pPr>
        <w:rPr>
          <w:rFonts w:cs="Tahoma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FFB" w:rsidRDefault="00BF2FFB">
      <w:pPr>
        <w:rPr>
          <w:rFonts w:cs="Tahoma"/>
          <w:cs/>
          <w:lang w:bidi="th-TH"/>
        </w:rPr>
      </w:pPr>
      <w:r>
        <w:separator/>
      </w:r>
    </w:p>
  </w:footnote>
  <w:footnote w:type="continuationSeparator" w:id="0">
    <w:p w:rsidR="00BF2FFB" w:rsidRDefault="00BF2FFB">
      <w:pPr>
        <w:rPr>
          <w:rFonts w:cs="Tahoma"/>
          <w:cs/>
          <w:lang w:bidi="th-TH"/>
        </w:rPr>
      </w:pPr>
      <w:r>
        <w:continuationSeparator/>
      </w:r>
    </w:p>
  </w:footnote>
  <w:footnote w:id="1">
    <w:p w:rsidR="00A41A7E" w:rsidRPr="00CB42CC" w:rsidRDefault="00A41A7E" w:rsidP="00A41A7E">
      <w:pPr>
        <w:pStyle w:val="FootnoteText"/>
        <w:rPr>
          <w:rFonts w:cs="Tahoma"/>
          <w:cs/>
          <w:lang w:bidi="th-TH"/>
        </w:rPr>
      </w:pPr>
      <w:r>
        <w:rPr>
          <w:rStyle w:val="FootnoteReference"/>
        </w:rPr>
        <w:footnoteRef/>
      </w:r>
      <w:r>
        <w:rPr>
          <w:cs/>
          <w:lang w:bidi="th-TH"/>
        </w:rPr>
        <w:t>เว้นแต่จะมีการระบุพื้นฐานทางกฎหมายอื่นบทบัญญัติในวงเล็บหมายถึงมาตราที่เกี่ยวข้องของพระราชบัญญัติลงวันที่</w:t>
      </w:r>
      <w:r>
        <w:rPr>
          <w:rFonts w:cs="Tahoma"/>
          <w:cs/>
          <w:lang w:bidi="th-TH"/>
        </w:rPr>
        <w:t xml:space="preserve"> 6 </w:t>
      </w:r>
      <w:r>
        <w:rPr>
          <w:cs/>
          <w:lang w:bidi="th-TH"/>
        </w:rPr>
        <w:t>มิถุนายน</w:t>
      </w:r>
      <w:r>
        <w:rPr>
          <w:rFonts w:cs="Tahoma"/>
          <w:cs/>
          <w:lang w:bidi="th-TH"/>
        </w:rPr>
        <w:t xml:space="preserve"> 1997 - </w:t>
      </w:r>
      <w:r>
        <w:rPr>
          <w:cs/>
          <w:lang w:bidi="th-TH"/>
        </w:rPr>
        <w:t>ประมวลกฎหมายวิธีพิจารณาความอาญา</w:t>
      </w:r>
      <w:r>
        <w:rPr>
          <w:rFonts w:cs="Tahoma"/>
          <w:cs/>
          <w:lang w:bidi="th-TH"/>
        </w:rPr>
        <w:t xml:space="preserve"> (</w:t>
      </w:r>
      <w:r>
        <w:rPr>
          <w:cs/>
          <w:lang w:bidi="th-TH"/>
        </w:rPr>
        <w:t>วารสารกฎหมายปี</w:t>
      </w:r>
      <w:r>
        <w:rPr>
          <w:rFonts w:cs="Tahoma"/>
          <w:cs/>
          <w:lang w:bidi="th-TH"/>
        </w:rPr>
        <w:t xml:space="preserve"> 2020 </w:t>
      </w:r>
      <w:r>
        <w:rPr>
          <w:cs/>
          <w:lang w:bidi="th-TH"/>
        </w:rPr>
        <w:t>ข้อ</w:t>
      </w:r>
      <w:r>
        <w:rPr>
          <w:rFonts w:cs="Tahoma"/>
          <w:cs/>
          <w:lang w:bidi="th-TH"/>
        </w:rPr>
        <w:t xml:space="preserve"> 30 413 568 1086 </w:t>
      </w:r>
      <w:r>
        <w:rPr>
          <w:cs/>
          <w:lang w:bidi="th-TH"/>
        </w:rPr>
        <w:t>และ</w:t>
      </w:r>
      <w:r>
        <w:rPr>
          <w:rFonts w:cs="Tahoma"/>
          <w:cs/>
          <w:lang w:bidi="th-TH"/>
        </w:rPr>
        <w:t xml:space="preserve"> 1458)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68" w:rsidRDefault="00663C68">
    <w:pPr>
      <w:pStyle w:val="Nagweklubstopka0"/>
      <w:framePr w:w="12053" w:h="144" w:wrap="none" w:vAnchor="text" w:hAnchor="page" w:x="-73" w:y="1019"/>
      <w:shd w:val="clear" w:color="auto" w:fill="auto"/>
      <w:tabs>
        <w:tab w:val="center" w:pos="5986"/>
        <w:tab w:val="right" w:pos="10877"/>
      </w:tabs>
      <w:ind w:left="1022"/>
      <w:rPr>
        <w:rFonts w:cs="Tahoma"/>
        <w:cs/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EC3"/>
    <w:multiLevelType w:val="multilevel"/>
    <w:tmpl w:val="F64E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529F1"/>
    <w:multiLevelType w:val="multilevel"/>
    <w:tmpl w:val="6BE6D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00" w:hanging="1440"/>
      </w:pPr>
      <w:rPr>
        <w:rFonts w:hint="default"/>
      </w:rPr>
    </w:lvl>
  </w:abstractNum>
  <w:abstractNum w:abstractNumId="2">
    <w:nsid w:val="44CA3C1A"/>
    <w:multiLevelType w:val="multilevel"/>
    <w:tmpl w:val="DB3C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054A79"/>
    <w:multiLevelType w:val="hybridMultilevel"/>
    <w:tmpl w:val="EB0C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A1ABE"/>
    <w:multiLevelType w:val="multilevel"/>
    <w:tmpl w:val="347E18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CC10C2"/>
    <w:multiLevelType w:val="multilevel"/>
    <w:tmpl w:val="1A98A7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8"/>
    <w:rsid w:val="000C64D9"/>
    <w:rsid w:val="004571C7"/>
    <w:rsid w:val="00663C68"/>
    <w:rsid w:val="009A3460"/>
    <w:rsid w:val="00A108E1"/>
    <w:rsid w:val="00A41A7E"/>
    <w:rsid w:val="00B63045"/>
    <w:rsid w:val="00B93271"/>
    <w:rsid w:val="00BC6095"/>
    <w:rsid w:val="00BD57EB"/>
    <w:rsid w:val="00BF2FFB"/>
    <w:rsid w:val="00C109E2"/>
    <w:rsid w:val="00CB42CC"/>
    <w:rsid w:val="00D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7AE47-983B-4117-980D-7360B1D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Arial Unicode MS" w:hAnsi="Arial Unicode MS" w:cs="Arial Unicode MS"/>
        <w:sz w:val="24"/>
        <w:szCs w:val="24"/>
        <w:lang w:val="th-TH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Stopka">
    <w:name w:val="Stopka_"/>
    <w:basedOn w:val="DefaultParagraphFont"/>
    <w:link w:val="Stopka1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efaultParagraphFont"/>
    <w:link w:val="Nagwek1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efaultParagraphFont"/>
    <w:link w:val="Nagwek2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efaultParagraphFont"/>
    <w:link w:val="Nagwek3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efaultParagraphFont"/>
    <w:link w:val="Nagwek4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efaultParagraphFont"/>
    <w:link w:val="Teksttreci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Pr>
      <w:rFonts w:ascii="Tahoma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Pr>
      <w:rFonts w:ascii="Tahoma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efaultParagraphFont"/>
    <w:link w:val="Teksttreci2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efaultParagraphFont"/>
    <w:link w:val="Nagweklubstopka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efaultParagraphFont"/>
    <w:link w:val="Teksttreci3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DefaultParagraphFont"/>
    <w:link w:val="Teksttreci4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Stopka1">
    <w:name w:val="Stopka1"/>
    <w:basedOn w:val="Normal"/>
    <w:link w:val="Stopka"/>
    <w:pPr>
      <w:shd w:val="clear" w:color="auto" w:fill="FFFFFF"/>
      <w:spacing w:line="221" w:lineRule="exact"/>
      <w:ind w:hanging="280"/>
      <w:jc w:val="both"/>
    </w:pPr>
    <w:rPr>
      <w:rFonts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"/>
    <w:link w:val="Nagwek1"/>
    <w:pPr>
      <w:shd w:val="clear" w:color="auto" w:fill="FFFFFF"/>
      <w:spacing w:after="420" w:line="0" w:lineRule="atLeast"/>
      <w:jc w:val="center"/>
      <w:outlineLvl w:val="0"/>
    </w:pPr>
    <w:rPr>
      <w:rFonts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"/>
    <w:link w:val="Nagwek2"/>
    <w:pPr>
      <w:shd w:val="clear" w:color="auto" w:fill="FFFFFF"/>
      <w:spacing w:before="420" w:after="780" w:line="0" w:lineRule="atLeast"/>
      <w:jc w:val="center"/>
      <w:outlineLvl w:val="1"/>
    </w:pPr>
    <w:rPr>
      <w:rFonts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"/>
    <w:link w:val="Nagwek3"/>
    <w:pPr>
      <w:shd w:val="clear" w:color="auto" w:fill="FFFFFF"/>
      <w:spacing w:before="780" w:after="420" w:line="571" w:lineRule="exact"/>
      <w:jc w:val="center"/>
      <w:outlineLvl w:val="2"/>
    </w:pPr>
    <w:rPr>
      <w:rFonts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"/>
    <w:link w:val="Nagwek4"/>
    <w:pPr>
      <w:shd w:val="clear" w:color="auto" w:fill="FFFFFF"/>
      <w:spacing w:before="420" w:line="302" w:lineRule="exact"/>
      <w:jc w:val="center"/>
      <w:outlineLvl w:val="3"/>
    </w:pPr>
    <w:rPr>
      <w:rFonts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"/>
    <w:link w:val="Teksttreci"/>
    <w:pPr>
      <w:shd w:val="clear" w:color="auto" w:fill="FFFFFF"/>
      <w:spacing w:after="300" w:line="0" w:lineRule="atLeast"/>
      <w:ind w:hanging="360"/>
      <w:jc w:val="center"/>
    </w:pPr>
    <w:rPr>
      <w:rFonts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"/>
    <w:link w:val="Teksttreci2"/>
    <w:pPr>
      <w:shd w:val="clear" w:color="auto" w:fill="FFFFFF"/>
      <w:spacing w:after="360" w:line="202" w:lineRule="exact"/>
    </w:pPr>
    <w:rPr>
      <w:rFonts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"/>
    <w:link w:val="Nagweklubstopka"/>
    <w:pPr>
      <w:shd w:val="clear" w:color="auto" w:fill="FFFFFF"/>
    </w:pPr>
    <w:rPr>
      <w:rFonts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"/>
    <w:link w:val="Teksttreci3"/>
    <w:pPr>
      <w:shd w:val="clear" w:color="auto" w:fill="FFFFFF"/>
      <w:spacing w:before="360" w:after="360" w:line="0" w:lineRule="atLeast"/>
      <w:jc w:val="center"/>
    </w:pPr>
    <w:rPr>
      <w:rFonts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"/>
    <w:link w:val="Teksttreci4"/>
    <w:pPr>
      <w:shd w:val="clear" w:color="auto" w:fill="FFFFFF"/>
      <w:spacing w:after="120" w:line="0" w:lineRule="atLeast"/>
      <w:jc w:val="both"/>
    </w:pPr>
    <w:rPr>
      <w:rFonts w:eastAsia="Times New Roman" w:hAnsi="Times New Roman" w:cs="Times New Roman"/>
      <w:b/>
      <w:bCs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A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A7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A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D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BDA4-2D39-4A5D-976F-C4FCE694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>❦JM</cp:keywords>
  <cp:revision>6</cp:revision>
  <dcterms:created xsi:type="dcterms:W3CDTF">2020-10-13T09:52:00Z</dcterms:created>
  <dcterms:modified xsi:type="dcterms:W3CDTF">2020-12-07T09:11:00Z</dcterms:modified>
</cp:coreProperties>
</file>