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DC" w:rsidRPr="00EB3F87" w:rsidRDefault="00C171DC" w:rsidP="00C171DC">
      <w:pPr>
        <w:jc w:val="both"/>
        <w:rPr>
          <w:rFonts w:asciiTheme="majorHAnsi" w:hAnsiTheme="majorHAnsi"/>
          <w:color w:val="404040" w:themeColor="text1" w:themeTint="BF"/>
        </w:rPr>
      </w:pPr>
    </w:p>
    <w:p w:rsidR="00C171DC" w:rsidRPr="00EB3F87" w:rsidRDefault="00C171DC" w:rsidP="00C171DC">
      <w:pPr>
        <w:jc w:val="both"/>
        <w:rPr>
          <w:rFonts w:asciiTheme="majorHAnsi" w:hAnsiTheme="majorHAnsi"/>
          <w:color w:val="404040" w:themeColor="text1" w:themeTint="BF"/>
        </w:rPr>
      </w:pPr>
    </w:p>
    <w:p w:rsidR="00C171DC" w:rsidRPr="00EB3F87" w:rsidRDefault="00C171DC" w:rsidP="00C171DC">
      <w:pPr>
        <w:jc w:val="both"/>
        <w:rPr>
          <w:rFonts w:asciiTheme="majorHAnsi" w:hAnsiTheme="majorHAnsi"/>
          <w:color w:val="404040" w:themeColor="text1" w:themeTint="BF"/>
        </w:rPr>
      </w:pPr>
    </w:p>
    <w:p w:rsidR="00C171DC" w:rsidRPr="00EB3F87" w:rsidRDefault="00C171DC" w:rsidP="00C171DC">
      <w:pPr>
        <w:jc w:val="both"/>
        <w:rPr>
          <w:rFonts w:asciiTheme="majorHAnsi" w:hAnsiTheme="majorHAnsi"/>
          <w:color w:val="404040" w:themeColor="text1" w:themeTint="BF"/>
        </w:rPr>
      </w:pPr>
    </w:p>
    <w:p w:rsidR="00C171DC" w:rsidRPr="00EB3F87" w:rsidRDefault="00C171DC" w:rsidP="00C171DC">
      <w:pPr>
        <w:jc w:val="both"/>
        <w:rPr>
          <w:rFonts w:asciiTheme="majorHAnsi" w:hAnsiTheme="majorHAnsi"/>
          <w:color w:val="404040" w:themeColor="text1" w:themeTint="BF"/>
        </w:rPr>
      </w:pPr>
    </w:p>
    <w:p w:rsidR="00C171DC" w:rsidRPr="00EB3F87" w:rsidRDefault="00C171DC" w:rsidP="00C171DC">
      <w:pPr>
        <w:jc w:val="both"/>
        <w:rPr>
          <w:rFonts w:asciiTheme="majorHAnsi" w:hAnsiTheme="majorHAnsi"/>
          <w:color w:val="404040" w:themeColor="text1" w:themeTint="BF"/>
        </w:rPr>
      </w:pPr>
    </w:p>
    <w:p w:rsidR="00C171DC" w:rsidRPr="00EB3F87" w:rsidRDefault="00C171DC" w:rsidP="00C171DC">
      <w:pPr>
        <w:jc w:val="both"/>
        <w:rPr>
          <w:rFonts w:asciiTheme="majorHAnsi" w:hAnsiTheme="majorHAnsi"/>
          <w:color w:val="404040" w:themeColor="text1" w:themeTint="BF"/>
        </w:rPr>
      </w:pPr>
    </w:p>
    <w:p w:rsidR="00C171DC" w:rsidRPr="00EB3F87" w:rsidRDefault="00C171DC" w:rsidP="00403F99">
      <w:pPr>
        <w:jc w:val="center"/>
        <w:rPr>
          <w:rFonts w:asciiTheme="majorHAnsi" w:hAnsiTheme="majorHAnsi"/>
          <w:color w:val="404040" w:themeColor="text1" w:themeTint="BF"/>
        </w:rPr>
      </w:pPr>
    </w:p>
    <w:p w:rsidR="009A7D0C" w:rsidRPr="00EB3F87" w:rsidRDefault="00501FA3" w:rsidP="00501FA3">
      <w:pPr>
        <w:tabs>
          <w:tab w:val="left" w:pos="5970"/>
        </w:tabs>
        <w:spacing w:before="120" w:after="120" w:line="23" w:lineRule="atLeast"/>
        <w:jc w:val="both"/>
        <w:rPr>
          <w:rFonts w:asciiTheme="majorHAnsi" w:hAnsiTheme="majorHAnsi"/>
          <w:i/>
          <w:color w:val="404040" w:themeColor="text1" w:themeTint="BF"/>
        </w:rPr>
      </w:pPr>
      <w:r>
        <w:rPr>
          <w:rFonts w:asciiTheme="majorHAnsi" w:hAnsiTheme="majorHAnsi"/>
          <w:i/>
          <w:color w:val="404040" w:themeColor="text1" w:themeTint="BF"/>
        </w:rPr>
        <w:tab/>
      </w:r>
    </w:p>
    <w:p w:rsidR="000700DB" w:rsidRPr="00EB3F87" w:rsidRDefault="000700DB" w:rsidP="000700DB">
      <w:pPr>
        <w:spacing w:before="120" w:after="120" w:line="23" w:lineRule="atLeast"/>
        <w:jc w:val="both"/>
        <w:rPr>
          <w:rFonts w:asciiTheme="majorHAnsi" w:hAnsiTheme="majorHAnsi"/>
          <w:i/>
          <w:color w:val="404040" w:themeColor="text1" w:themeTint="BF"/>
        </w:rPr>
      </w:pPr>
      <w:r w:rsidRPr="00EB3F87">
        <w:rPr>
          <w:rFonts w:asciiTheme="majorHAnsi" w:hAnsiTheme="majorHAnsi"/>
          <w:i/>
          <w:color w:val="404040" w:themeColor="text1" w:themeTint="BF"/>
        </w:rPr>
        <w:t xml:space="preserve">Analiza dotyczy oszacowania wpływu handlowych konsekwencji </w:t>
      </w:r>
      <w:proofErr w:type="spellStart"/>
      <w:r w:rsidRPr="00EB3F87">
        <w:rPr>
          <w:rFonts w:asciiTheme="majorHAnsi" w:hAnsiTheme="majorHAnsi"/>
          <w:i/>
          <w:color w:val="404040" w:themeColor="text1" w:themeTint="BF"/>
        </w:rPr>
        <w:t>Brexitu</w:t>
      </w:r>
      <w:proofErr w:type="spellEnd"/>
      <w:r w:rsidRPr="00EB3F87">
        <w:rPr>
          <w:rFonts w:asciiTheme="majorHAnsi" w:hAnsiTheme="majorHAnsi"/>
          <w:i/>
          <w:color w:val="404040" w:themeColor="text1" w:themeTint="BF"/>
        </w:rPr>
        <w:t xml:space="preserve">, definiowanych jako nałożenie obustronnych taryf celnych w wymianie handlowej z Wielką Brytanią, na poszczególne państwa członkowskie Unii Europejskiej. Otrzymane wyniki wskazują, że mierzone długookresowym ubytkiem PKB koszty </w:t>
      </w:r>
      <w:proofErr w:type="spellStart"/>
      <w:r w:rsidRPr="00EB3F87">
        <w:rPr>
          <w:rFonts w:asciiTheme="majorHAnsi" w:hAnsiTheme="majorHAnsi"/>
          <w:i/>
          <w:color w:val="404040" w:themeColor="text1" w:themeTint="BF"/>
        </w:rPr>
        <w:t>Brexitu</w:t>
      </w:r>
      <w:proofErr w:type="spellEnd"/>
      <w:r w:rsidRPr="00EB3F87">
        <w:rPr>
          <w:rFonts w:asciiTheme="majorHAnsi" w:hAnsiTheme="majorHAnsi"/>
          <w:i/>
          <w:color w:val="404040" w:themeColor="text1" w:themeTint="BF"/>
        </w:rPr>
        <w:t xml:space="preserve"> dla Polski są „przeciętne” na tle innych państw UE. Wynika to z „przeciętnej” skali intensywności wymiany handlowej z Wielką Brytanią. Co więcej, podobna skala kosztów występuje w przypadku Niemiec – głównego partnera handlowego Polski. Stąd, silne powiązania handlowe gospodarki niemieckiej z Polską, przy jednocześnie relatywnie niewielkim powiązaniu Niemiec z gospodarką brytyjską skutkują stosunkowo mniejszymi negatywnymi skutkami pośrednimi w stosunku do krajów, które są mocno powiązane handlowo z gospodarkami posiadającymi silne bezpośrednie powiązania z Wielką Brytania.  </w:t>
      </w:r>
    </w:p>
    <w:p w:rsidR="000700DB" w:rsidRPr="00EB3F87" w:rsidRDefault="000700DB" w:rsidP="000700DB">
      <w:pPr>
        <w:pStyle w:val="Akapitzlist"/>
        <w:numPr>
          <w:ilvl w:val="0"/>
          <w:numId w:val="21"/>
        </w:numPr>
        <w:spacing w:before="120" w:after="120" w:line="23" w:lineRule="atLeast"/>
        <w:contextualSpacing w:val="0"/>
        <w:jc w:val="both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EB3F87">
        <w:rPr>
          <w:rFonts w:asciiTheme="majorHAnsi" w:hAnsiTheme="majorHAnsi"/>
          <w:b/>
          <w:color w:val="404040" w:themeColor="text1" w:themeTint="BF"/>
          <w:sz w:val="24"/>
          <w:szCs w:val="24"/>
        </w:rPr>
        <w:t>Metodyka badawcza</w:t>
      </w:r>
    </w:p>
    <w:p w:rsidR="000700DB" w:rsidRPr="00EB3F87" w:rsidRDefault="000700DB" w:rsidP="000700DB">
      <w:pPr>
        <w:spacing w:before="120" w:after="120" w:line="23" w:lineRule="atLeast"/>
        <w:jc w:val="both"/>
        <w:rPr>
          <w:rFonts w:asciiTheme="majorHAnsi" w:hAnsiTheme="majorHAnsi"/>
          <w:color w:val="404040" w:themeColor="text1" w:themeTint="BF"/>
        </w:rPr>
      </w:pPr>
      <w:r w:rsidRPr="00EB3F87">
        <w:rPr>
          <w:rFonts w:asciiTheme="majorHAnsi" w:hAnsiTheme="majorHAnsi"/>
          <w:color w:val="404040" w:themeColor="text1" w:themeTint="BF"/>
        </w:rPr>
        <w:t>W analizie wykorzystano globalny, obliczeniowy model równowagi ogólnej (CGE), dostarczany z bazą GTAP (</w:t>
      </w:r>
      <w:r w:rsidRPr="00EB3F87">
        <w:rPr>
          <w:rFonts w:asciiTheme="majorHAnsi" w:hAnsiTheme="majorHAnsi"/>
          <w:i/>
          <w:color w:val="404040" w:themeColor="text1" w:themeTint="BF"/>
        </w:rPr>
        <w:t>Global Trade Analysis Project</w:t>
      </w:r>
      <w:r w:rsidRPr="00EB3F87">
        <w:rPr>
          <w:rFonts w:asciiTheme="majorHAnsi" w:hAnsiTheme="majorHAnsi"/>
          <w:color w:val="404040" w:themeColor="text1" w:themeTint="BF"/>
        </w:rPr>
        <w:t>), uwzględniający wszystkie przepływy handlowe w gospodarce światowej. Wykorzystana w niniejszej analizie wersja modelu GTAP wyróżnia 32 regiony (por. Tabela 1) oraz 47 sektorów (por. Tabela 2) gospodarki. W wymiarze regionalnym osobno ujmowane jest wszystkie 28 państw członkowskich UE, kraje członkowskie EFTA</w:t>
      </w:r>
      <w:r w:rsidRPr="00EB3F87">
        <w:rPr>
          <w:rStyle w:val="Odwoanieprzypisudolnego"/>
          <w:rFonts w:asciiTheme="majorHAnsi" w:hAnsiTheme="majorHAnsi"/>
          <w:color w:val="404040" w:themeColor="text1" w:themeTint="BF"/>
        </w:rPr>
        <w:footnoteReference w:id="1"/>
      </w:r>
      <w:r w:rsidRPr="00EB3F87">
        <w:rPr>
          <w:rFonts w:asciiTheme="majorHAnsi" w:hAnsiTheme="majorHAnsi"/>
          <w:color w:val="404040" w:themeColor="text1" w:themeTint="BF"/>
        </w:rPr>
        <w:t>, a także reszta świata. Model ten jest kalibrowany do danych z bazy GTAP9 za 2011 r. i ma charakter statyczny. Oznacza to, że wyniki symulacji należy rozpatrywać w kategoriach długookresowych, tj. po zakończeniu wszystkich procesów dostosowawczych w gospodarce, które nie są obserwowane w modelu.</w:t>
      </w:r>
    </w:p>
    <w:p w:rsidR="000700DB" w:rsidRPr="00EB3F87" w:rsidRDefault="000700DB" w:rsidP="00461837">
      <w:pPr>
        <w:spacing w:before="120"/>
        <w:rPr>
          <w:rFonts w:asciiTheme="majorHAnsi" w:hAnsiTheme="majorHAnsi"/>
          <w:b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b/>
          <w:color w:val="404040" w:themeColor="text1" w:themeTint="BF"/>
          <w:sz w:val="22"/>
          <w:szCs w:val="22"/>
        </w:rPr>
        <w:t>Tabela 1. Regiony w modelu GTAP wyróżnione na potrzeby niniejszej analizy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1099"/>
        <w:gridCol w:w="673"/>
        <w:gridCol w:w="1398"/>
        <w:gridCol w:w="668"/>
        <w:gridCol w:w="1190"/>
        <w:gridCol w:w="785"/>
        <w:gridCol w:w="2451"/>
      </w:tblGrid>
      <w:tr w:rsidR="00EB3F87" w:rsidRPr="00EB3F87" w:rsidTr="007C6631"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Kod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Region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Kod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Region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Kod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Region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Kod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Region</w:t>
            </w:r>
          </w:p>
        </w:tc>
      </w:tr>
      <w:tr w:rsidR="00EB3F87" w:rsidRPr="00EB3F87" w:rsidTr="007C6631"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AUT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Austria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DEU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Niemcy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MLT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Malta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GBR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Wielka Brytania</w:t>
            </w:r>
          </w:p>
        </w:tc>
      </w:tr>
      <w:tr w:rsidR="00EB3F87" w:rsidRPr="00EB3F87" w:rsidTr="007C6631"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BEL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Belgia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GRC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Grecja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NLD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Holandia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BGR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Bułgaria</w:t>
            </w:r>
          </w:p>
        </w:tc>
      </w:tr>
      <w:tr w:rsidR="00EB3F87" w:rsidRPr="00EB3F87" w:rsidTr="007C6631"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CZE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Czechy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HUN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Węgry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POL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Polska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HRV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Chorwacja</w:t>
            </w:r>
          </w:p>
        </w:tc>
      </w:tr>
      <w:tr w:rsidR="00EB3F87" w:rsidRPr="00EB3F87" w:rsidTr="007C6631"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CYP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Cypr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IRL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Irlandia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PRT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Portugalia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ROM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Rumunia</w:t>
            </w:r>
          </w:p>
        </w:tc>
      </w:tr>
      <w:tr w:rsidR="00EB3F87" w:rsidRPr="00EB3F87" w:rsidTr="007C6631"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DNK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Dania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ITA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Włochy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SVK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Słowacja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NOR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Norwegia</w:t>
            </w:r>
          </w:p>
        </w:tc>
      </w:tr>
      <w:tr w:rsidR="00EB3F87" w:rsidRPr="00EB3F87" w:rsidTr="007C6631"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EST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Estonia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LUX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Luksemburg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SVN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Słowenia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CHE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Szwajcaria</w:t>
            </w:r>
          </w:p>
        </w:tc>
      </w:tr>
      <w:tr w:rsidR="00EB3F87" w:rsidRPr="00EB3F87" w:rsidTr="007C6631"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FIN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Finlandia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LVA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Łotwa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ESP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Hiszpania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XEF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Islandia + Liechtenstein</w:t>
            </w:r>
          </w:p>
        </w:tc>
      </w:tr>
      <w:tr w:rsidR="00EB3F87" w:rsidRPr="00EB3F87" w:rsidTr="007C6631"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FRA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Francja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LTU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Litwa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SWE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Szwecja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22"/>
                <w:szCs w:val="22"/>
              </w:rPr>
              <w:t>RWW</w:t>
            </w:r>
          </w:p>
        </w:tc>
        <w:tc>
          <w:tcPr>
            <w:tcW w:w="0" w:type="auto"/>
          </w:tcPr>
          <w:p w:rsidR="00A87EB1" w:rsidRPr="00EB3F87" w:rsidRDefault="00A87EB1" w:rsidP="002F09CE">
            <w:pPr>
              <w:jc w:val="center"/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22"/>
                <w:szCs w:val="22"/>
              </w:rPr>
              <w:t>Reszta świata</w:t>
            </w:r>
          </w:p>
        </w:tc>
      </w:tr>
    </w:tbl>
    <w:p w:rsidR="000700DB" w:rsidRPr="00EB3F87" w:rsidRDefault="000700DB" w:rsidP="00163ACB">
      <w:pPr>
        <w:spacing w:after="120" w:line="276" w:lineRule="auto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color w:val="404040" w:themeColor="text1" w:themeTint="BF"/>
          <w:sz w:val="22"/>
          <w:szCs w:val="22"/>
        </w:rPr>
        <w:t>Źródło: opracowanie własne.</w:t>
      </w:r>
    </w:p>
    <w:p w:rsidR="00A87EB1" w:rsidRPr="00EB3F87" w:rsidRDefault="00A87EB1" w:rsidP="00163ACB">
      <w:pPr>
        <w:spacing w:after="120" w:line="276" w:lineRule="auto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0700DB" w:rsidRPr="00EB3F87" w:rsidRDefault="000700DB" w:rsidP="00461837">
      <w:pPr>
        <w:spacing w:before="120"/>
        <w:rPr>
          <w:rFonts w:asciiTheme="majorHAnsi" w:hAnsiTheme="majorHAnsi"/>
          <w:b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b/>
          <w:color w:val="404040" w:themeColor="text1" w:themeTint="BF"/>
          <w:sz w:val="22"/>
          <w:szCs w:val="22"/>
        </w:rPr>
        <w:t>Tabela 2. Sektory w modelu GTAP wyróżnione na potrzeby niniejszej analizy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671"/>
      </w:tblGrid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Kod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jc w:val="center"/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Opis sektora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PDR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Ryż niełuskany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WHT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Pszenica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GRO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Pozostałe rośliny ziarniste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V_F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Warzywa i owoce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OSD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Nasiona oleiste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C_B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Trzcina i buraki cukrowe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PFB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Włókna roślinne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OCR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Pozostałe uprawy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CTL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Bydło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OAP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Pozostałe produkty zwierzęce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RMK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Mleko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WOL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Wełna, jedwab i pozostałe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FRS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Leśnictwo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FSH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Rybołówstwo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COL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Węgiel (górnictwo i wydobycie węgla kamiennego, węgla brunatnego i torfu)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CRU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Ropa naftowa (wydobycie ropy naftowej, działalność usługowa z wyłączeniem geodezji)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GAS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Podstawowa produkcja gazu (wydobycie gazu ziemnego, działalność usługowa z wyłączeniem geodezji)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OMN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Pozostałe górnictwo: rudy metali, uranu, kamienie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CMT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Wyroby mięsne z bydła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OMT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Pozostałe wyroby mięsne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VOL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Oleje roślinne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MIL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Mleko, nabiał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PCR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Ryż przetworzony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SGR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Cukier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OFD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Pozostałe produkty spożywcze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B_T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Napoje i wyroby tytoniowe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TEX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Tekstylia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WAP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Odzież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LEA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Wyroby skórzane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LUM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Wyroby drewniane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PPP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Papier (w tym publikowanie i drukowanie)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OIL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Produkty rafinacji ropy (produkty koksowania węgla, produkty rafinacji ropy naftowej, paliwa jądrowe)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CHM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Przemysł chemiczny (podstawowe chemikalia, gumy i tworzywa sztuczne, inne chemikalia)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NMM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Pozostałe minerały niemetaliczne (ceramika, żwir, beton)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ISI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Hutnictwo żelaza i stali (podstawowa produkcja i odlewanie)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NFM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Pozostałe metale nieżelazne (produkcja i odlewanie: miedź, cynk, ołów, złoto, srebro)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FMP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Wyroby metalowe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MVH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Pojazdy silnikowe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OTN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Pozostały sprzęt transportowy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EEQ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Sprzęt elektroniczny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OME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Pozostałe maszyny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OMF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 xml:space="preserve">Pozostałe przetwórstwo przemysłowe 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ELE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Energia elektryczna (produkcja i dystrybucja)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GDT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Produkcja i dystrybucja gazu; ciepło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CON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 xml:space="preserve">Budownictwo 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TRN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Transport (powietrzny, wodny i lądowy, biura podróży)</w:t>
            </w:r>
          </w:p>
        </w:tc>
      </w:tr>
      <w:tr w:rsidR="00EB3F87" w:rsidRPr="00EB3F87" w:rsidTr="002F09CE"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b/>
                <w:color w:val="404040" w:themeColor="text1" w:themeTint="BF"/>
                <w:sz w:val="19"/>
                <w:szCs w:val="19"/>
              </w:rPr>
              <w:t>SRV</w:t>
            </w:r>
          </w:p>
        </w:tc>
        <w:tc>
          <w:tcPr>
            <w:tcW w:w="0" w:type="auto"/>
          </w:tcPr>
          <w:p w:rsidR="000700DB" w:rsidRPr="00EB3F87" w:rsidRDefault="000700DB" w:rsidP="002F09CE">
            <w:pPr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</w:pPr>
            <w:r w:rsidRPr="00EB3F87">
              <w:rPr>
                <w:rFonts w:asciiTheme="majorHAnsi" w:hAnsiTheme="majorHAnsi"/>
                <w:color w:val="404040" w:themeColor="text1" w:themeTint="BF"/>
                <w:sz w:val="19"/>
                <w:szCs w:val="19"/>
              </w:rPr>
              <w:t>Usługi (dystrybucja wody, handel, hotele i restauracje, komunikacja, pośrednictwo finansowe, ubezpieczenia, nieruchomości, rekreacja, kultura i sport, administracja publiczna i obrona narodowa, bezpieczeństwo socjalne, zdrowie i opieka społeczna, ścieki, wywóz śmieci, usługi sanitarne, mieszkania)</w:t>
            </w:r>
          </w:p>
        </w:tc>
      </w:tr>
    </w:tbl>
    <w:p w:rsidR="000700DB" w:rsidRPr="00EB3F87" w:rsidRDefault="000700DB" w:rsidP="00163ACB">
      <w:pPr>
        <w:spacing w:after="120" w:line="276" w:lineRule="auto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color w:val="404040" w:themeColor="text1" w:themeTint="BF"/>
          <w:sz w:val="22"/>
          <w:szCs w:val="22"/>
        </w:rPr>
        <w:t>Źródło: opracowanie własne.</w:t>
      </w:r>
    </w:p>
    <w:p w:rsidR="000700DB" w:rsidRPr="00EB3F87" w:rsidRDefault="000700DB" w:rsidP="000700DB">
      <w:pPr>
        <w:rPr>
          <w:rFonts w:asciiTheme="majorHAnsi" w:hAnsiTheme="majorHAnsi"/>
          <w:color w:val="404040" w:themeColor="text1" w:themeTint="BF"/>
          <w:sz w:val="20"/>
          <w:szCs w:val="20"/>
        </w:rPr>
      </w:pPr>
    </w:p>
    <w:p w:rsidR="00A87EB1" w:rsidRPr="00EB3F87" w:rsidRDefault="00A87EB1" w:rsidP="000700DB">
      <w:pPr>
        <w:rPr>
          <w:rFonts w:asciiTheme="majorHAnsi" w:hAnsiTheme="majorHAnsi"/>
          <w:color w:val="404040" w:themeColor="text1" w:themeTint="BF"/>
          <w:sz w:val="20"/>
          <w:szCs w:val="20"/>
        </w:rPr>
      </w:pPr>
    </w:p>
    <w:p w:rsidR="000700DB" w:rsidRPr="00EB3F87" w:rsidRDefault="000700DB" w:rsidP="000700DB">
      <w:pPr>
        <w:rPr>
          <w:rFonts w:asciiTheme="majorHAnsi" w:hAnsiTheme="majorHAnsi"/>
          <w:color w:val="404040" w:themeColor="text1" w:themeTint="BF"/>
          <w:sz w:val="20"/>
          <w:szCs w:val="20"/>
        </w:rPr>
      </w:pPr>
    </w:p>
    <w:p w:rsidR="000700DB" w:rsidRPr="00EB3F87" w:rsidRDefault="000700DB" w:rsidP="000700DB">
      <w:pPr>
        <w:rPr>
          <w:rFonts w:asciiTheme="majorHAnsi" w:hAnsiTheme="majorHAnsi"/>
          <w:color w:val="404040" w:themeColor="text1" w:themeTint="BF"/>
          <w:sz w:val="20"/>
          <w:szCs w:val="20"/>
        </w:rPr>
      </w:pPr>
    </w:p>
    <w:p w:rsidR="000700DB" w:rsidRPr="00EB3F87" w:rsidRDefault="000700DB" w:rsidP="000700DB">
      <w:pPr>
        <w:pStyle w:val="Akapitzlist"/>
        <w:numPr>
          <w:ilvl w:val="0"/>
          <w:numId w:val="21"/>
        </w:numPr>
        <w:spacing w:before="120" w:after="120" w:line="23" w:lineRule="atLeast"/>
        <w:contextualSpacing w:val="0"/>
        <w:jc w:val="both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EB3F87">
        <w:rPr>
          <w:rFonts w:asciiTheme="majorHAnsi" w:hAnsiTheme="majorHAnsi"/>
          <w:b/>
          <w:color w:val="404040" w:themeColor="text1" w:themeTint="BF"/>
          <w:sz w:val="24"/>
          <w:szCs w:val="24"/>
        </w:rPr>
        <w:t>Symulowany scenariusz</w:t>
      </w:r>
    </w:p>
    <w:p w:rsidR="000700DB" w:rsidRPr="00EB3F87" w:rsidRDefault="000700DB" w:rsidP="000700DB">
      <w:pPr>
        <w:spacing w:before="120" w:after="120" w:line="23" w:lineRule="atLeast"/>
        <w:jc w:val="both"/>
        <w:rPr>
          <w:rFonts w:asciiTheme="majorHAnsi" w:hAnsiTheme="majorHAnsi"/>
          <w:color w:val="404040" w:themeColor="text1" w:themeTint="BF"/>
        </w:rPr>
      </w:pPr>
      <w:r w:rsidRPr="00EB3F87">
        <w:rPr>
          <w:rFonts w:asciiTheme="majorHAnsi" w:hAnsiTheme="majorHAnsi"/>
          <w:color w:val="404040" w:themeColor="text1" w:themeTint="BF"/>
        </w:rPr>
        <w:t xml:space="preserve">Mający na celu odzwierciedlenie handlowego kanału </w:t>
      </w:r>
      <w:proofErr w:type="spellStart"/>
      <w:r w:rsidRPr="00EB3F87">
        <w:rPr>
          <w:rFonts w:asciiTheme="majorHAnsi" w:hAnsiTheme="majorHAnsi"/>
          <w:color w:val="404040" w:themeColor="text1" w:themeTint="BF"/>
        </w:rPr>
        <w:t>Brexitu</w:t>
      </w:r>
      <w:proofErr w:type="spellEnd"/>
      <w:r w:rsidRPr="00EB3F87">
        <w:rPr>
          <w:rFonts w:asciiTheme="majorHAnsi" w:hAnsiTheme="majorHAnsi"/>
          <w:color w:val="404040" w:themeColor="text1" w:themeTint="BF"/>
        </w:rPr>
        <w:t xml:space="preserve"> oraz symulowany w modelu szok</w:t>
      </w:r>
      <w:r w:rsidRPr="00EB3F87">
        <w:rPr>
          <w:rStyle w:val="Odwoanieprzypisudolnego"/>
          <w:rFonts w:asciiTheme="majorHAnsi" w:hAnsiTheme="majorHAnsi"/>
          <w:color w:val="404040" w:themeColor="text1" w:themeTint="BF"/>
        </w:rPr>
        <w:footnoteReference w:id="2"/>
      </w:r>
      <w:r w:rsidRPr="00EB3F87">
        <w:rPr>
          <w:rFonts w:asciiTheme="majorHAnsi" w:hAnsiTheme="majorHAnsi"/>
          <w:color w:val="404040" w:themeColor="text1" w:themeTint="BF"/>
        </w:rPr>
        <w:t xml:space="preserve"> to nałożenie obustronnych, symetrycznych taryf celnych w wymianie handlowej pomiędzy Wielką Brytanią a wszystkimi krajami UE</w:t>
      </w:r>
      <w:r w:rsidRPr="00EB3F87">
        <w:rPr>
          <w:rStyle w:val="Odwoanieprzypisudolnego"/>
          <w:rFonts w:asciiTheme="majorHAnsi" w:hAnsiTheme="majorHAnsi"/>
          <w:color w:val="404040" w:themeColor="text1" w:themeTint="BF"/>
        </w:rPr>
        <w:footnoteReference w:id="3"/>
      </w:r>
      <w:r w:rsidRPr="00EB3F87">
        <w:rPr>
          <w:rFonts w:asciiTheme="majorHAnsi" w:hAnsiTheme="majorHAnsi"/>
          <w:color w:val="404040" w:themeColor="text1" w:themeTint="BF"/>
        </w:rPr>
        <w:t>, w wysokości średnich taryf celnych obowiązujących obecnie dla importu poszczególnych towarów z całego świata do Wielkiej Brytanii. W przypadku państw członkowskich EFTA wyjściowa wysokość taryf celnych w handlu z Wielką Brytanią dla niektórych wyrobów jest już wyższa od wspomnianych stawek „średnich”. Stąd, w konstrukcji symulacji założono, że zwiększenie ceł następuje jedynie dla tych produktów, dla których ich początkowy poziom znajduje się poniżej poziomu docelowego, ustalonego dla krajów UE. Przyjęto ponadto, że taryfy celne w handlu Wielkiej Brytanii z resztą świata pozostają bez zmian.</w:t>
      </w:r>
    </w:p>
    <w:p w:rsidR="000700DB" w:rsidRPr="00EB3F87" w:rsidRDefault="000700DB" w:rsidP="000700DB">
      <w:pPr>
        <w:pStyle w:val="Akapitzlist"/>
        <w:numPr>
          <w:ilvl w:val="0"/>
          <w:numId w:val="21"/>
        </w:numPr>
        <w:spacing w:before="120" w:after="120" w:line="23" w:lineRule="atLeast"/>
        <w:ind w:left="357" w:hanging="357"/>
        <w:contextualSpacing w:val="0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EB3F87">
        <w:rPr>
          <w:rFonts w:asciiTheme="majorHAnsi" w:hAnsiTheme="majorHAnsi"/>
          <w:b/>
          <w:color w:val="404040" w:themeColor="text1" w:themeTint="BF"/>
          <w:sz w:val="24"/>
          <w:szCs w:val="24"/>
        </w:rPr>
        <w:t>Wyniki makroekonomiczne</w:t>
      </w:r>
    </w:p>
    <w:p w:rsidR="000700DB" w:rsidRPr="00EB3F87" w:rsidRDefault="000700DB" w:rsidP="000700DB">
      <w:pPr>
        <w:spacing w:before="120" w:after="120" w:line="23" w:lineRule="atLeast"/>
        <w:jc w:val="both"/>
        <w:rPr>
          <w:rFonts w:asciiTheme="majorHAnsi" w:hAnsiTheme="majorHAnsi"/>
          <w:color w:val="404040" w:themeColor="text1" w:themeTint="BF"/>
        </w:rPr>
      </w:pPr>
      <w:r w:rsidRPr="00EB3F87">
        <w:rPr>
          <w:rFonts w:asciiTheme="majorHAnsi" w:hAnsiTheme="majorHAnsi"/>
          <w:color w:val="404040" w:themeColor="text1" w:themeTint="BF"/>
        </w:rPr>
        <w:t>Ubytek PKB w poszczególnych gospodarkach na skutek opisanej zmiany wysokości taryf celnych nie jest znaczny – nie przekracza 0,1% (por. Rysunek 1). Największą „ofiarą” staje się Wielka Brytania – wynika to z faktu, że cła zostają podniesione dla jej eksportu oraz importu ze wszystkich państw UE/EFTA, zaś w przypadku innych gospodarek wysokość ceł w bilateralnych relacjach handlowych z partnerami innymi niż Wielka Brytania pozostaje bez zmian. Najsilniejszy długookresowy spadek PKB odnotowują ponadto kraje, które łączą silne powiązania handlowe z gospodarką brytyjską: Irlandia, Belgia, Malta oraz Cypr. W tej „klasyfikacji” Polska znajduje się na jedenastym miejscu, z ubytkiem PKB równym nieco poniżej 0,01%. Niewielki wzrost PKB w pojedynczych przypadkach wynika ze wzrostu relatywnej konkurencyjności wskutek braku zmian stawek celnych w handlu z Wielką Brytanią (reszta świata), ich nieco mniejszego niż w przypadku pozostałych krajów UE wzrostu (Chorwacja), bądź silnych powiązań handlowych z krajami EFTA (Finlandia, Litwa, Łotwa). Kraje EFTA również doświadczają bowiem relatywnej poprawy konkurencyjności – wyjściowy poziom taryf celnych w ich wymianie handlowej z Wielką Brytanią dla części produktów jest już wyższy niż poziom docelowy dla krajów UE, stąd taryfy te nie ulegają zwiększeniu.</w:t>
      </w:r>
    </w:p>
    <w:p w:rsidR="000700DB" w:rsidRPr="00EB3F87" w:rsidRDefault="000700DB" w:rsidP="000700DB">
      <w:pPr>
        <w:spacing w:after="120"/>
        <w:jc w:val="both"/>
        <w:rPr>
          <w:rFonts w:asciiTheme="majorHAnsi" w:hAnsiTheme="majorHAnsi"/>
          <w:color w:val="404040" w:themeColor="text1" w:themeTint="BF"/>
        </w:rPr>
      </w:pPr>
    </w:p>
    <w:p w:rsidR="000700DB" w:rsidRPr="00EB3F87" w:rsidRDefault="000700DB" w:rsidP="000700DB">
      <w:pPr>
        <w:spacing w:after="120"/>
        <w:jc w:val="both"/>
        <w:rPr>
          <w:rFonts w:asciiTheme="majorHAnsi" w:hAnsiTheme="majorHAnsi"/>
          <w:color w:val="404040" w:themeColor="text1" w:themeTint="BF"/>
        </w:rPr>
      </w:pPr>
    </w:p>
    <w:p w:rsidR="000700DB" w:rsidRPr="00EB3F87" w:rsidRDefault="000700DB" w:rsidP="000700DB">
      <w:pPr>
        <w:spacing w:after="120"/>
        <w:jc w:val="both"/>
        <w:rPr>
          <w:rFonts w:asciiTheme="majorHAnsi" w:hAnsiTheme="majorHAnsi"/>
          <w:color w:val="404040" w:themeColor="text1" w:themeTint="BF"/>
        </w:rPr>
      </w:pPr>
    </w:p>
    <w:p w:rsidR="000700DB" w:rsidRPr="00EB3F87" w:rsidRDefault="000700DB" w:rsidP="000700DB">
      <w:pPr>
        <w:spacing w:after="120"/>
        <w:jc w:val="both"/>
        <w:rPr>
          <w:rFonts w:asciiTheme="majorHAnsi" w:hAnsiTheme="majorHAnsi"/>
          <w:color w:val="404040" w:themeColor="text1" w:themeTint="BF"/>
        </w:rPr>
      </w:pPr>
    </w:p>
    <w:p w:rsidR="000700DB" w:rsidRPr="00EB3F87" w:rsidRDefault="000700DB" w:rsidP="000700DB">
      <w:pPr>
        <w:spacing w:after="120"/>
        <w:jc w:val="both"/>
        <w:rPr>
          <w:rFonts w:asciiTheme="majorHAnsi" w:hAnsiTheme="majorHAnsi"/>
          <w:color w:val="404040" w:themeColor="text1" w:themeTint="BF"/>
        </w:rPr>
      </w:pPr>
    </w:p>
    <w:p w:rsidR="000700DB" w:rsidRPr="00EB3F87" w:rsidRDefault="000700DB" w:rsidP="000700DB">
      <w:pPr>
        <w:spacing w:after="120"/>
        <w:jc w:val="both"/>
        <w:rPr>
          <w:rFonts w:asciiTheme="majorHAnsi" w:hAnsiTheme="majorHAnsi"/>
          <w:color w:val="404040" w:themeColor="text1" w:themeTint="BF"/>
        </w:rPr>
      </w:pPr>
    </w:p>
    <w:p w:rsidR="000700DB" w:rsidRPr="00EB3F87" w:rsidRDefault="000700DB" w:rsidP="000700DB">
      <w:pPr>
        <w:spacing w:after="120"/>
        <w:jc w:val="both"/>
        <w:rPr>
          <w:rFonts w:asciiTheme="majorHAnsi" w:hAnsiTheme="majorHAnsi"/>
          <w:color w:val="404040" w:themeColor="text1" w:themeTint="BF"/>
        </w:rPr>
      </w:pPr>
    </w:p>
    <w:p w:rsidR="000700DB" w:rsidRPr="00EB3F87" w:rsidRDefault="000700DB" w:rsidP="000700DB">
      <w:pPr>
        <w:spacing w:after="120"/>
        <w:jc w:val="both"/>
        <w:rPr>
          <w:rFonts w:asciiTheme="majorHAnsi" w:hAnsiTheme="majorHAnsi"/>
          <w:color w:val="404040" w:themeColor="text1" w:themeTint="BF"/>
        </w:rPr>
      </w:pPr>
    </w:p>
    <w:p w:rsidR="000700DB" w:rsidRPr="00EB3F87" w:rsidRDefault="000700DB" w:rsidP="00461837">
      <w:pPr>
        <w:spacing w:before="120"/>
        <w:rPr>
          <w:rFonts w:asciiTheme="majorHAnsi" w:hAnsiTheme="majorHAnsi"/>
          <w:b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b/>
          <w:color w:val="404040" w:themeColor="text1" w:themeTint="BF"/>
          <w:sz w:val="22"/>
          <w:szCs w:val="22"/>
        </w:rPr>
        <w:t>Rysunek 1. Zmiany PKB w poszczególnych krajach/regionach</w:t>
      </w:r>
    </w:p>
    <w:p w:rsidR="000700DB" w:rsidRPr="00EB3F87" w:rsidRDefault="000700DB" w:rsidP="000700DB">
      <w:pPr>
        <w:rPr>
          <w:rFonts w:asciiTheme="majorHAnsi" w:hAnsiTheme="majorHAnsi"/>
          <w:b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noProof/>
          <w:color w:val="404040" w:themeColor="text1" w:themeTint="BF"/>
          <w:sz w:val="22"/>
          <w:szCs w:val="22"/>
          <w:lang w:eastAsia="pl-PL"/>
        </w:rPr>
        <w:drawing>
          <wp:inline distT="0" distB="0" distL="0" distR="0" wp14:anchorId="1871066E" wp14:editId="43106634">
            <wp:extent cx="5760720" cy="3459791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DB" w:rsidRPr="00EB3F87" w:rsidRDefault="000700DB" w:rsidP="000700DB">
      <w:pPr>
        <w:spacing w:after="120" w:line="276" w:lineRule="auto"/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color w:val="404040" w:themeColor="text1" w:themeTint="BF"/>
          <w:sz w:val="22"/>
          <w:szCs w:val="22"/>
        </w:rPr>
        <w:t>Źródło: opracowanie własne.</w:t>
      </w:r>
    </w:p>
    <w:p w:rsidR="000700DB" w:rsidRPr="00EB3F87" w:rsidRDefault="000700DB" w:rsidP="000700DB">
      <w:pPr>
        <w:spacing w:before="120" w:after="120" w:line="276" w:lineRule="auto"/>
        <w:jc w:val="both"/>
        <w:rPr>
          <w:rFonts w:asciiTheme="majorHAnsi" w:hAnsiTheme="majorHAnsi"/>
          <w:color w:val="404040" w:themeColor="text1" w:themeTint="BF"/>
        </w:rPr>
      </w:pPr>
      <w:r w:rsidRPr="00EB3F87">
        <w:rPr>
          <w:rFonts w:asciiTheme="majorHAnsi" w:hAnsiTheme="majorHAnsi"/>
          <w:color w:val="404040" w:themeColor="text1" w:themeTint="BF"/>
        </w:rPr>
        <w:t>Kolejne rysunki ilustrują ujemną zależność zmian PKB w poszczególnych krajach od udziału eksportu do Wielkiej Brytanii w ich całkowitym eksporcie</w:t>
      </w:r>
      <w:r w:rsidRPr="00EB3F87">
        <w:rPr>
          <w:rStyle w:val="Odwoanieprzypisudolnego"/>
          <w:rFonts w:asciiTheme="majorHAnsi" w:hAnsiTheme="majorHAnsi"/>
          <w:color w:val="404040" w:themeColor="text1" w:themeTint="BF"/>
        </w:rPr>
        <w:footnoteReference w:id="4"/>
      </w:r>
      <w:r w:rsidRPr="00EB3F87">
        <w:rPr>
          <w:rFonts w:asciiTheme="majorHAnsi" w:hAnsiTheme="majorHAnsi"/>
          <w:color w:val="404040" w:themeColor="text1" w:themeTint="BF"/>
        </w:rPr>
        <w:t xml:space="preserve"> (Rysunek 2), a także od udziału eksportu do Wielkiej Brytanii w ich całkowitej produkcji krajowej (Rysunek 3). Zależności te pozwalają wyjaśnić stratę PKB otrzymaną w przypadku Polski. Jej „przeciętna” wysokość wynika z „przeciętnego” udziału eksportu do Wielkiej Brytanii w całkowitym polskim eksporcie (6,3%), jak również z jego „przeciętnego” udziału w całkowitej produkcji globalnej Polski (0,7%). Bardzo zbliżone wyniki odnotowuje główny partner handlowy Polski, czyli Niemcy</w:t>
      </w:r>
      <w:r w:rsidRPr="00EB3F87">
        <w:rPr>
          <w:rStyle w:val="Odwoanieprzypisudolnego"/>
          <w:rFonts w:asciiTheme="majorHAnsi" w:hAnsiTheme="majorHAnsi"/>
          <w:color w:val="404040" w:themeColor="text1" w:themeTint="BF"/>
        </w:rPr>
        <w:footnoteReference w:id="5"/>
      </w:r>
      <w:r w:rsidRPr="00EB3F87">
        <w:rPr>
          <w:rFonts w:asciiTheme="majorHAnsi" w:hAnsiTheme="majorHAnsi"/>
          <w:color w:val="404040" w:themeColor="text1" w:themeTint="BF"/>
        </w:rPr>
        <w:t>.</w:t>
      </w:r>
    </w:p>
    <w:p w:rsidR="000700DB" w:rsidRPr="00EB3F87" w:rsidRDefault="000700DB" w:rsidP="000700DB">
      <w:pPr>
        <w:spacing w:after="120"/>
        <w:jc w:val="both"/>
        <w:rPr>
          <w:rFonts w:asciiTheme="majorHAnsi" w:hAnsiTheme="majorHAnsi"/>
          <w:color w:val="404040" w:themeColor="text1" w:themeTint="BF"/>
        </w:rPr>
      </w:pPr>
    </w:p>
    <w:p w:rsidR="000700DB" w:rsidRPr="00EB3F87" w:rsidRDefault="000700DB" w:rsidP="000700DB">
      <w:pPr>
        <w:spacing w:after="120"/>
        <w:jc w:val="both"/>
        <w:rPr>
          <w:rFonts w:asciiTheme="majorHAnsi" w:hAnsiTheme="majorHAnsi"/>
          <w:color w:val="404040" w:themeColor="text1" w:themeTint="BF"/>
        </w:rPr>
      </w:pPr>
    </w:p>
    <w:p w:rsidR="000700DB" w:rsidRPr="00EB3F87" w:rsidRDefault="000700DB" w:rsidP="000700DB">
      <w:pPr>
        <w:spacing w:after="120"/>
        <w:jc w:val="both"/>
        <w:rPr>
          <w:rFonts w:asciiTheme="majorHAnsi" w:hAnsiTheme="majorHAnsi"/>
          <w:color w:val="404040" w:themeColor="text1" w:themeTint="BF"/>
        </w:rPr>
      </w:pPr>
    </w:p>
    <w:p w:rsidR="000700DB" w:rsidRPr="00EB3F87" w:rsidRDefault="000700DB" w:rsidP="000700DB">
      <w:pPr>
        <w:spacing w:after="120"/>
        <w:jc w:val="both"/>
        <w:rPr>
          <w:rFonts w:asciiTheme="majorHAnsi" w:hAnsiTheme="majorHAnsi"/>
          <w:color w:val="404040" w:themeColor="text1" w:themeTint="BF"/>
        </w:rPr>
      </w:pPr>
    </w:p>
    <w:p w:rsidR="000700DB" w:rsidRPr="00EB3F87" w:rsidRDefault="000700DB" w:rsidP="000700DB">
      <w:pPr>
        <w:spacing w:after="120"/>
        <w:jc w:val="both"/>
        <w:rPr>
          <w:rFonts w:asciiTheme="majorHAnsi" w:hAnsiTheme="majorHAnsi"/>
          <w:color w:val="404040" w:themeColor="text1" w:themeTint="BF"/>
        </w:rPr>
      </w:pPr>
    </w:p>
    <w:p w:rsidR="000700DB" w:rsidRPr="00EB3F87" w:rsidRDefault="000700DB" w:rsidP="000700DB">
      <w:pPr>
        <w:spacing w:after="120"/>
        <w:jc w:val="both"/>
        <w:rPr>
          <w:rFonts w:asciiTheme="majorHAnsi" w:hAnsiTheme="majorHAnsi"/>
          <w:color w:val="404040" w:themeColor="text1" w:themeTint="BF"/>
        </w:rPr>
      </w:pPr>
    </w:p>
    <w:p w:rsidR="000700DB" w:rsidRPr="00EB3F87" w:rsidRDefault="000700DB" w:rsidP="00461837">
      <w:pPr>
        <w:spacing w:before="120"/>
        <w:jc w:val="both"/>
        <w:rPr>
          <w:rFonts w:asciiTheme="majorHAnsi" w:hAnsiTheme="majorHAnsi"/>
          <w:b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b/>
          <w:color w:val="404040" w:themeColor="text1" w:themeTint="BF"/>
          <w:sz w:val="22"/>
          <w:szCs w:val="22"/>
        </w:rPr>
        <w:t>Rysunek 2. Zależność zmian PKB w poszczególnych krajach/regionach od udziału eksportu do Wielkiej Brytanii w ich całkowitym eksporcie</w:t>
      </w:r>
    </w:p>
    <w:p w:rsidR="000700DB" w:rsidRPr="00EB3F87" w:rsidRDefault="000700DB" w:rsidP="000700DB">
      <w:pPr>
        <w:jc w:val="both"/>
        <w:rPr>
          <w:rFonts w:asciiTheme="majorHAnsi" w:hAnsiTheme="majorHAnsi"/>
          <w:b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noProof/>
          <w:color w:val="404040" w:themeColor="text1" w:themeTint="BF"/>
          <w:sz w:val="22"/>
          <w:szCs w:val="22"/>
          <w:lang w:eastAsia="pl-PL"/>
        </w:rPr>
        <w:drawing>
          <wp:inline distT="0" distB="0" distL="0" distR="0" wp14:anchorId="60088AEE" wp14:editId="42C6C6AB">
            <wp:extent cx="4572000" cy="27432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DB" w:rsidRDefault="000700DB" w:rsidP="00163ACB">
      <w:pPr>
        <w:spacing w:after="120" w:line="276" w:lineRule="auto"/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color w:val="404040" w:themeColor="text1" w:themeTint="BF"/>
          <w:sz w:val="22"/>
          <w:szCs w:val="22"/>
        </w:rPr>
        <w:t>Źródło: opracowanie własne.</w:t>
      </w:r>
    </w:p>
    <w:p w:rsidR="00501FA3" w:rsidRPr="00EB3F87" w:rsidRDefault="00501FA3" w:rsidP="00163ACB">
      <w:pPr>
        <w:spacing w:after="120" w:line="276" w:lineRule="auto"/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0700DB" w:rsidRPr="00EB3F87" w:rsidRDefault="000700DB" w:rsidP="00461837">
      <w:pPr>
        <w:spacing w:before="120"/>
        <w:jc w:val="both"/>
        <w:rPr>
          <w:rFonts w:asciiTheme="majorHAnsi" w:hAnsiTheme="majorHAnsi"/>
          <w:b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b/>
          <w:color w:val="404040" w:themeColor="text1" w:themeTint="BF"/>
          <w:sz w:val="22"/>
          <w:szCs w:val="22"/>
        </w:rPr>
        <w:t>Rysunek 3. Zależność zmian PKB w poszczególnych krajach/regionach od udziału eksportu do Wielkiej Brytanii w ich całkowitej produkcji krajowej</w:t>
      </w:r>
    </w:p>
    <w:p w:rsidR="000700DB" w:rsidRPr="00EB3F87" w:rsidRDefault="000700DB" w:rsidP="000700DB">
      <w:pPr>
        <w:jc w:val="both"/>
        <w:rPr>
          <w:rFonts w:asciiTheme="majorHAnsi" w:hAnsiTheme="majorHAnsi"/>
          <w:b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noProof/>
          <w:color w:val="404040" w:themeColor="text1" w:themeTint="BF"/>
          <w:sz w:val="22"/>
          <w:szCs w:val="22"/>
          <w:lang w:eastAsia="pl-PL"/>
        </w:rPr>
        <w:drawing>
          <wp:inline distT="0" distB="0" distL="0" distR="0" wp14:anchorId="5EC071C6" wp14:editId="17D9A91A">
            <wp:extent cx="4572000" cy="27432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DB" w:rsidRPr="00EB3F87" w:rsidRDefault="000700DB" w:rsidP="00163ACB">
      <w:pPr>
        <w:spacing w:after="120" w:line="276" w:lineRule="auto"/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color w:val="404040" w:themeColor="text1" w:themeTint="BF"/>
          <w:sz w:val="22"/>
          <w:szCs w:val="22"/>
        </w:rPr>
        <w:t>Źródło: opracowanie własne.</w:t>
      </w:r>
    </w:p>
    <w:p w:rsidR="000700DB" w:rsidRPr="00EB3F87" w:rsidRDefault="000700DB" w:rsidP="000700DB">
      <w:pPr>
        <w:spacing w:before="120" w:after="120" w:line="276" w:lineRule="auto"/>
        <w:jc w:val="both"/>
        <w:rPr>
          <w:rFonts w:asciiTheme="majorHAnsi" w:hAnsiTheme="majorHAnsi"/>
          <w:color w:val="404040" w:themeColor="text1" w:themeTint="BF"/>
        </w:rPr>
      </w:pPr>
      <w:r w:rsidRPr="00EB3F87">
        <w:rPr>
          <w:rFonts w:asciiTheme="majorHAnsi" w:hAnsiTheme="majorHAnsi"/>
          <w:color w:val="404040" w:themeColor="text1" w:themeTint="BF"/>
        </w:rPr>
        <w:t xml:space="preserve">W związku z faktem, że zgodnie z otrzymanymi wynikami Niemcy nie należą do największych „przegranych” nałożenia taryf celnych wskutek </w:t>
      </w:r>
      <w:proofErr w:type="spellStart"/>
      <w:r w:rsidRPr="00EB3F87">
        <w:rPr>
          <w:rFonts w:asciiTheme="majorHAnsi" w:hAnsiTheme="majorHAnsi"/>
          <w:color w:val="404040" w:themeColor="text1" w:themeTint="BF"/>
        </w:rPr>
        <w:t>Brexitu</w:t>
      </w:r>
      <w:proofErr w:type="spellEnd"/>
      <w:r w:rsidRPr="00EB3F87">
        <w:rPr>
          <w:rFonts w:asciiTheme="majorHAnsi" w:hAnsiTheme="majorHAnsi"/>
          <w:color w:val="404040" w:themeColor="text1" w:themeTint="BF"/>
        </w:rPr>
        <w:t xml:space="preserve">, silne powiązania handlowe tej gospodarki z Polską implikują relatywnie niższe negatywne skutki pośrednie dla polskiej gospodarki, związane z reakcją jej największych partnerów handlowych na symulowane nałożenie taryf celnych. Tezę taką wspiera nieznacznie dodatnia zależność </w:t>
      </w:r>
      <w:r w:rsidRPr="00EB3F87">
        <w:rPr>
          <w:rFonts w:asciiTheme="majorHAnsi" w:hAnsiTheme="majorHAnsi"/>
          <w:color w:val="404040" w:themeColor="text1" w:themeTint="BF"/>
        </w:rPr>
        <w:lastRenderedPageBreak/>
        <w:t>pomiędzy zmianami PKB w poszczególnych krajach a intensywnością wymiany handlowej z Niemcami (por. Rysunek 4).</w:t>
      </w:r>
    </w:p>
    <w:p w:rsidR="000700DB" w:rsidRPr="00EB3F87" w:rsidRDefault="000700DB" w:rsidP="000700DB">
      <w:pPr>
        <w:spacing w:after="120"/>
        <w:jc w:val="both"/>
        <w:rPr>
          <w:rFonts w:asciiTheme="majorHAnsi" w:hAnsiTheme="majorHAnsi"/>
          <w:color w:val="404040" w:themeColor="text1" w:themeTint="BF"/>
        </w:rPr>
      </w:pPr>
    </w:p>
    <w:p w:rsidR="000700DB" w:rsidRPr="00EB3F87" w:rsidRDefault="000700DB" w:rsidP="00461837">
      <w:pPr>
        <w:spacing w:before="120"/>
        <w:jc w:val="both"/>
        <w:rPr>
          <w:rFonts w:asciiTheme="majorHAnsi" w:hAnsiTheme="majorHAnsi"/>
          <w:b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b/>
          <w:color w:val="404040" w:themeColor="text1" w:themeTint="BF"/>
          <w:sz w:val="22"/>
          <w:szCs w:val="22"/>
        </w:rPr>
        <w:t>Rysunek 4. Zależność zmian PKB w poszczególnych krajach/regionach od udziału eksportu do Niemiec w ich całkowitej produkcji krajowej</w:t>
      </w:r>
    </w:p>
    <w:p w:rsidR="000700DB" w:rsidRPr="00EB3F87" w:rsidRDefault="000700DB" w:rsidP="000700DB">
      <w:pPr>
        <w:jc w:val="both"/>
        <w:rPr>
          <w:rFonts w:asciiTheme="majorHAnsi" w:hAnsiTheme="majorHAnsi"/>
          <w:noProof/>
          <w:color w:val="404040" w:themeColor="text1" w:themeTint="BF"/>
          <w:sz w:val="22"/>
          <w:szCs w:val="22"/>
          <w:lang w:eastAsia="pl-PL"/>
        </w:rPr>
      </w:pPr>
      <w:r w:rsidRPr="00EB3F87">
        <w:rPr>
          <w:rFonts w:asciiTheme="majorHAnsi" w:hAnsiTheme="majorHAnsi"/>
          <w:noProof/>
          <w:color w:val="404040" w:themeColor="text1" w:themeTint="BF"/>
          <w:sz w:val="22"/>
          <w:szCs w:val="22"/>
          <w:lang w:eastAsia="pl-PL"/>
        </w:rPr>
        <w:drawing>
          <wp:inline distT="0" distB="0" distL="0" distR="0" wp14:anchorId="0D5D187E" wp14:editId="47816381">
            <wp:extent cx="4572000" cy="27432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DB" w:rsidRDefault="000700DB" w:rsidP="00163ACB">
      <w:pPr>
        <w:spacing w:after="120" w:line="276" w:lineRule="auto"/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color w:val="404040" w:themeColor="text1" w:themeTint="BF"/>
          <w:sz w:val="22"/>
          <w:szCs w:val="22"/>
        </w:rPr>
        <w:t>Źródło: opracowanie własne.</w:t>
      </w:r>
    </w:p>
    <w:p w:rsidR="00501FA3" w:rsidRPr="00EB3F87" w:rsidRDefault="00501FA3" w:rsidP="00163ACB">
      <w:pPr>
        <w:spacing w:after="120" w:line="276" w:lineRule="auto"/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0700DB" w:rsidRPr="00EB3F87" w:rsidRDefault="000700DB" w:rsidP="000700DB">
      <w:pPr>
        <w:pStyle w:val="Akapitzlist"/>
        <w:numPr>
          <w:ilvl w:val="0"/>
          <w:numId w:val="21"/>
        </w:numPr>
        <w:spacing w:before="120" w:after="120" w:line="23" w:lineRule="atLeast"/>
        <w:contextualSpacing w:val="0"/>
        <w:jc w:val="both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EB3F87">
        <w:rPr>
          <w:rFonts w:asciiTheme="majorHAnsi" w:hAnsiTheme="majorHAnsi"/>
          <w:b/>
          <w:color w:val="404040" w:themeColor="text1" w:themeTint="BF"/>
          <w:sz w:val="24"/>
          <w:szCs w:val="24"/>
        </w:rPr>
        <w:t>Wyniki sektorowe dla Polski</w:t>
      </w:r>
    </w:p>
    <w:p w:rsidR="000700DB" w:rsidRDefault="000700DB" w:rsidP="000700DB">
      <w:pPr>
        <w:spacing w:before="120" w:after="120" w:line="23" w:lineRule="atLeast"/>
        <w:jc w:val="both"/>
        <w:rPr>
          <w:rFonts w:asciiTheme="majorHAnsi" w:hAnsiTheme="majorHAnsi"/>
          <w:color w:val="404040" w:themeColor="text1" w:themeTint="BF"/>
        </w:rPr>
      </w:pPr>
      <w:r w:rsidRPr="00EB3F87">
        <w:rPr>
          <w:rFonts w:asciiTheme="majorHAnsi" w:hAnsiTheme="majorHAnsi"/>
          <w:color w:val="404040" w:themeColor="text1" w:themeTint="BF"/>
        </w:rPr>
        <w:t xml:space="preserve">Rysunek 5 prezentuje zmiany wolumenów produkcji w poszczególnych branżach polskiej gospodarki na skutek symulowanych zmian stawek celnych, stanowiących odzwierciedlenie handlowych konsekwencji </w:t>
      </w:r>
      <w:proofErr w:type="spellStart"/>
      <w:r w:rsidRPr="00EB3F87">
        <w:rPr>
          <w:rFonts w:asciiTheme="majorHAnsi" w:hAnsiTheme="majorHAnsi"/>
          <w:color w:val="404040" w:themeColor="text1" w:themeTint="BF"/>
        </w:rPr>
        <w:t>Brexitu</w:t>
      </w:r>
      <w:proofErr w:type="spellEnd"/>
      <w:r w:rsidRPr="00EB3F87">
        <w:rPr>
          <w:rFonts w:asciiTheme="majorHAnsi" w:hAnsiTheme="majorHAnsi"/>
          <w:color w:val="404040" w:themeColor="text1" w:themeTint="BF"/>
        </w:rPr>
        <w:t xml:space="preserve">. Zmiany produkcji w Polsce wahają się od -0,86% dla </w:t>
      </w:r>
      <w:r w:rsidRPr="00EB3F87">
        <w:rPr>
          <w:rFonts w:asciiTheme="majorHAnsi" w:hAnsiTheme="majorHAnsi"/>
          <w:i/>
          <w:color w:val="404040" w:themeColor="text1" w:themeTint="BF"/>
        </w:rPr>
        <w:t>Pozostałych</w:t>
      </w:r>
      <w:r w:rsidRPr="00EB3F87">
        <w:rPr>
          <w:rFonts w:asciiTheme="majorHAnsi" w:hAnsiTheme="majorHAnsi"/>
          <w:color w:val="404040" w:themeColor="text1" w:themeTint="BF"/>
        </w:rPr>
        <w:t xml:space="preserve"> </w:t>
      </w:r>
      <w:r w:rsidRPr="00EB3F87">
        <w:rPr>
          <w:rFonts w:asciiTheme="majorHAnsi" w:hAnsiTheme="majorHAnsi"/>
          <w:i/>
          <w:color w:val="404040" w:themeColor="text1" w:themeTint="BF"/>
        </w:rPr>
        <w:t>metali nieżelaznych</w:t>
      </w:r>
      <w:r w:rsidRPr="00EB3F87">
        <w:rPr>
          <w:rFonts w:asciiTheme="majorHAnsi" w:hAnsiTheme="majorHAnsi"/>
          <w:color w:val="404040" w:themeColor="text1" w:themeTint="BF"/>
        </w:rPr>
        <w:t xml:space="preserve"> (</w:t>
      </w:r>
      <w:proofErr w:type="spellStart"/>
      <w:r w:rsidRPr="00EB3F87">
        <w:rPr>
          <w:rFonts w:asciiTheme="majorHAnsi" w:hAnsiTheme="majorHAnsi"/>
          <w:color w:val="404040" w:themeColor="text1" w:themeTint="BF"/>
        </w:rPr>
        <w:t>nfm</w:t>
      </w:r>
      <w:proofErr w:type="spellEnd"/>
      <w:r w:rsidRPr="00EB3F87">
        <w:rPr>
          <w:rFonts w:asciiTheme="majorHAnsi" w:hAnsiTheme="majorHAnsi"/>
          <w:color w:val="404040" w:themeColor="text1" w:themeTint="BF"/>
        </w:rPr>
        <w:t xml:space="preserve">) do 0,31% dla </w:t>
      </w:r>
      <w:r w:rsidRPr="00EB3F87">
        <w:rPr>
          <w:rFonts w:asciiTheme="majorHAnsi" w:hAnsiTheme="majorHAnsi"/>
          <w:i/>
          <w:color w:val="404040" w:themeColor="text1" w:themeTint="BF"/>
        </w:rPr>
        <w:t>Sprzętu elektronicznego</w:t>
      </w:r>
      <w:r w:rsidRPr="00EB3F87">
        <w:rPr>
          <w:rFonts w:asciiTheme="majorHAnsi" w:hAnsiTheme="majorHAnsi"/>
          <w:color w:val="404040" w:themeColor="text1" w:themeTint="BF"/>
        </w:rPr>
        <w:t xml:space="preserve"> (</w:t>
      </w:r>
      <w:proofErr w:type="spellStart"/>
      <w:r w:rsidRPr="00EB3F87">
        <w:rPr>
          <w:rFonts w:asciiTheme="majorHAnsi" w:hAnsiTheme="majorHAnsi"/>
          <w:color w:val="404040" w:themeColor="text1" w:themeTint="BF"/>
        </w:rPr>
        <w:t>eeq</w:t>
      </w:r>
      <w:proofErr w:type="spellEnd"/>
      <w:r w:rsidRPr="00EB3F87">
        <w:rPr>
          <w:rFonts w:asciiTheme="majorHAnsi" w:hAnsiTheme="majorHAnsi"/>
          <w:color w:val="404040" w:themeColor="text1" w:themeTint="BF"/>
        </w:rPr>
        <w:t>).</w:t>
      </w:r>
    </w:p>
    <w:p w:rsidR="00501FA3" w:rsidRDefault="00501FA3" w:rsidP="000700DB">
      <w:pPr>
        <w:spacing w:before="120" w:after="120" w:line="23" w:lineRule="atLeast"/>
        <w:jc w:val="both"/>
        <w:rPr>
          <w:rFonts w:asciiTheme="majorHAnsi" w:hAnsiTheme="majorHAnsi"/>
          <w:color w:val="404040" w:themeColor="text1" w:themeTint="BF"/>
        </w:rPr>
      </w:pPr>
    </w:p>
    <w:p w:rsidR="00501FA3" w:rsidRDefault="00501FA3" w:rsidP="000700DB">
      <w:pPr>
        <w:spacing w:before="120" w:after="120" w:line="23" w:lineRule="atLeast"/>
        <w:jc w:val="both"/>
        <w:rPr>
          <w:rFonts w:asciiTheme="majorHAnsi" w:hAnsiTheme="majorHAnsi"/>
          <w:color w:val="404040" w:themeColor="text1" w:themeTint="BF"/>
        </w:rPr>
      </w:pPr>
    </w:p>
    <w:p w:rsidR="00501FA3" w:rsidRDefault="00501FA3" w:rsidP="000700DB">
      <w:pPr>
        <w:spacing w:before="120" w:after="120" w:line="23" w:lineRule="atLeast"/>
        <w:jc w:val="both"/>
        <w:rPr>
          <w:rFonts w:asciiTheme="majorHAnsi" w:hAnsiTheme="majorHAnsi"/>
          <w:color w:val="404040" w:themeColor="text1" w:themeTint="BF"/>
        </w:rPr>
      </w:pPr>
    </w:p>
    <w:p w:rsidR="00501FA3" w:rsidRDefault="00501FA3" w:rsidP="000700DB">
      <w:pPr>
        <w:spacing w:before="120" w:after="120" w:line="23" w:lineRule="atLeast"/>
        <w:jc w:val="both"/>
        <w:rPr>
          <w:rFonts w:asciiTheme="majorHAnsi" w:hAnsiTheme="majorHAnsi"/>
          <w:color w:val="404040" w:themeColor="text1" w:themeTint="BF"/>
        </w:rPr>
      </w:pPr>
    </w:p>
    <w:p w:rsidR="00501FA3" w:rsidRDefault="00501FA3" w:rsidP="000700DB">
      <w:pPr>
        <w:spacing w:before="120" w:after="120" w:line="23" w:lineRule="atLeast"/>
        <w:jc w:val="both"/>
        <w:rPr>
          <w:rFonts w:asciiTheme="majorHAnsi" w:hAnsiTheme="majorHAnsi"/>
          <w:color w:val="404040" w:themeColor="text1" w:themeTint="BF"/>
        </w:rPr>
      </w:pPr>
    </w:p>
    <w:p w:rsidR="00501FA3" w:rsidRDefault="00501FA3" w:rsidP="000700DB">
      <w:pPr>
        <w:spacing w:before="120" w:after="120" w:line="23" w:lineRule="atLeast"/>
        <w:jc w:val="both"/>
        <w:rPr>
          <w:rFonts w:asciiTheme="majorHAnsi" w:hAnsiTheme="majorHAnsi"/>
          <w:color w:val="404040" w:themeColor="text1" w:themeTint="BF"/>
        </w:rPr>
      </w:pPr>
    </w:p>
    <w:p w:rsidR="00501FA3" w:rsidRDefault="00501FA3" w:rsidP="000700DB">
      <w:pPr>
        <w:spacing w:before="120" w:after="120" w:line="23" w:lineRule="atLeast"/>
        <w:jc w:val="both"/>
        <w:rPr>
          <w:rFonts w:asciiTheme="majorHAnsi" w:hAnsiTheme="majorHAnsi"/>
          <w:color w:val="404040" w:themeColor="text1" w:themeTint="BF"/>
        </w:rPr>
      </w:pPr>
    </w:p>
    <w:p w:rsidR="00501FA3" w:rsidRDefault="00501FA3" w:rsidP="000700DB">
      <w:pPr>
        <w:spacing w:before="120" w:after="120" w:line="23" w:lineRule="atLeast"/>
        <w:jc w:val="both"/>
        <w:rPr>
          <w:rFonts w:asciiTheme="majorHAnsi" w:hAnsiTheme="majorHAnsi"/>
          <w:color w:val="404040" w:themeColor="text1" w:themeTint="BF"/>
        </w:rPr>
      </w:pPr>
    </w:p>
    <w:p w:rsidR="00501FA3" w:rsidRDefault="00501FA3" w:rsidP="000700DB">
      <w:pPr>
        <w:spacing w:before="120" w:after="120" w:line="23" w:lineRule="atLeast"/>
        <w:jc w:val="both"/>
        <w:rPr>
          <w:rFonts w:asciiTheme="majorHAnsi" w:hAnsiTheme="majorHAnsi"/>
          <w:color w:val="404040" w:themeColor="text1" w:themeTint="BF"/>
        </w:rPr>
      </w:pPr>
    </w:p>
    <w:p w:rsidR="00501FA3" w:rsidRDefault="00501FA3" w:rsidP="000700DB">
      <w:pPr>
        <w:spacing w:before="120" w:after="120" w:line="23" w:lineRule="atLeast"/>
        <w:jc w:val="both"/>
        <w:rPr>
          <w:rFonts w:asciiTheme="majorHAnsi" w:hAnsiTheme="majorHAnsi"/>
          <w:color w:val="404040" w:themeColor="text1" w:themeTint="BF"/>
        </w:rPr>
      </w:pPr>
    </w:p>
    <w:p w:rsidR="00501FA3" w:rsidRDefault="00501FA3" w:rsidP="000700DB">
      <w:pPr>
        <w:spacing w:before="120" w:after="120" w:line="23" w:lineRule="atLeast"/>
        <w:jc w:val="both"/>
        <w:rPr>
          <w:rFonts w:asciiTheme="majorHAnsi" w:hAnsiTheme="majorHAnsi"/>
          <w:color w:val="404040" w:themeColor="text1" w:themeTint="BF"/>
        </w:rPr>
      </w:pPr>
    </w:p>
    <w:p w:rsidR="00501FA3" w:rsidRPr="00EB3F87" w:rsidRDefault="00501FA3" w:rsidP="000700DB">
      <w:pPr>
        <w:spacing w:before="120" w:after="120" w:line="23" w:lineRule="atLeast"/>
        <w:jc w:val="both"/>
        <w:rPr>
          <w:rFonts w:asciiTheme="majorHAnsi" w:hAnsiTheme="majorHAnsi"/>
          <w:b/>
          <w:color w:val="404040" w:themeColor="text1" w:themeTint="BF"/>
        </w:rPr>
      </w:pPr>
    </w:p>
    <w:p w:rsidR="000700DB" w:rsidRPr="00EB3F87" w:rsidRDefault="000700DB" w:rsidP="00461837">
      <w:pPr>
        <w:spacing w:before="120"/>
        <w:jc w:val="both"/>
        <w:rPr>
          <w:rFonts w:asciiTheme="majorHAnsi" w:hAnsiTheme="majorHAnsi"/>
          <w:b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b/>
          <w:color w:val="404040" w:themeColor="text1" w:themeTint="BF"/>
          <w:sz w:val="22"/>
          <w:szCs w:val="22"/>
        </w:rPr>
        <w:lastRenderedPageBreak/>
        <w:t>Rysunek 5. Zmiany wolumenu produkcji w poszczególnych sektorach polskiej gospodarki</w:t>
      </w:r>
    </w:p>
    <w:p w:rsidR="000700DB" w:rsidRPr="00EB3F87" w:rsidRDefault="000700DB" w:rsidP="000700DB">
      <w:pPr>
        <w:jc w:val="both"/>
        <w:rPr>
          <w:rFonts w:asciiTheme="majorHAnsi" w:hAnsiTheme="majorHAnsi"/>
          <w:b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noProof/>
          <w:color w:val="404040" w:themeColor="text1" w:themeTint="BF"/>
          <w:sz w:val="22"/>
          <w:szCs w:val="22"/>
          <w:lang w:eastAsia="pl-PL"/>
        </w:rPr>
        <w:drawing>
          <wp:inline distT="0" distB="0" distL="0" distR="0" wp14:anchorId="7F92FC89" wp14:editId="44EF1878">
            <wp:extent cx="5760720" cy="345504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DB" w:rsidRPr="00EB3F87" w:rsidRDefault="000700DB" w:rsidP="00163ACB">
      <w:pPr>
        <w:spacing w:after="120" w:line="276" w:lineRule="auto"/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color w:val="404040" w:themeColor="text1" w:themeTint="BF"/>
          <w:sz w:val="22"/>
          <w:szCs w:val="22"/>
        </w:rPr>
        <w:t>Źródło: opracowanie własne.</w:t>
      </w:r>
    </w:p>
    <w:p w:rsidR="000700DB" w:rsidRPr="00EB3F87" w:rsidRDefault="000700DB" w:rsidP="000700DB">
      <w:pPr>
        <w:spacing w:before="120" w:after="120" w:line="276" w:lineRule="auto"/>
        <w:jc w:val="both"/>
        <w:rPr>
          <w:rFonts w:asciiTheme="majorHAnsi" w:hAnsiTheme="majorHAnsi"/>
          <w:color w:val="404040" w:themeColor="text1" w:themeTint="BF"/>
        </w:rPr>
      </w:pPr>
      <w:r w:rsidRPr="00EB3F87">
        <w:rPr>
          <w:rFonts w:asciiTheme="majorHAnsi" w:hAnsiTheme="majorHAnsi"/>
          <w:color w:val="404040" w:themeColor="text1" w:themeTint="BF"/>
        </w:rPr>
        <w:t>Kluczową rolę w kształtowaniu sektorowych zmian wolumenów produkcji odgrywają takie czynniki jak udział eksportu do Wielkiej Brytanii w całkowitym polskim eksporcie oraz w całkowitej polskiej produkcji danego wyrobu. Branże nieeksportujące do Wielkiej Brytanii są w stanie zwiększyć swój wolumen produkcji dzięki przepływom pracy i kapitału z gałęzi doświadczających spadku konkurencyjności eksportu oraz, w konsekwencji, zmniejszenia rozmiarów produkcji. Istotne są ponadto międzysektorowe powiązania poszczególnych branż polskiej gospodarki, w wyniku których sektory gospodarki niepowiązane handlowo z Wielka Brytanią, lecz poprzez popyt pośredni silnie powiązane z gałęziami nastawionymi na eksport tamże, również mogą doświadczać silnego zmniejszenia wolumenu produkcji.</w:t>
      </w:r>
    </w:p>
    <w:p w:rsidR="000700DB" w:rsidRDefault="000700DB" w:rsidP="000700DB">
      <w:pPr>
        <w:spacing w:before="120" w:after="120" w:line="276" w:lineRule="auto"/>
        <w:jc w:val="both"/>
        <w:rPr>
          <w:rFonts w:asciiTheme="majorHAnsi" w:hAnsiTheme="majorHAnsi"/>
          <w:color w:val="404040" w:themeColor="text1" w:themeTint="BF"/>
        </w:rPr>
      </w:pPr>
      <w:r w:rsidRPr="00EB3F87">
        <w:rPr>
          <w:rFonts w:asciiTheme="majorHAnsi" w:hAnsiTheme="majorHAnsi"/>
          <w:color w:val="404040" w:themeColor="text1" w:themeTint="BF"/>
        </w:rPr>
        <w:t xml:space="preserve">Sektorowy wzorzec zmian produkcji wynika natomiast w bardzo niewielkim stopniu z wysokości taryf celnych napotkanych przez polskie eksport do Wielkiej Brytanii (por. Rysunek 6). </w:t>
      </w:r>
    </w:p>
    <w:p w:rsidR="00501FA3" w:rsidRDefault="00501FA3" w:rsidP="000700DB">
      <w:pPr>
        <w:spacing w:before="120" w:after="120" w:line="276" w:lineRule="auto"/>
        <w:jc w:val="both"/>
        <w:rPr>
          <w:rFonts w:asciiTheme="majorHAnsi" w:hAnsiTheme="majorHAnsi"/>
          <w:color w:val="404040" w:themeColor="text1" w:themeTint="BF"/>
        </w:rPr>
      </w:pPr>
    </w:p>
    <w:p w:rsidR="00501FA3" w:rsidRDefault="00501FA3" w:rsidP="000700DB">
      <w:pPr>
        <w:spacing w:before="120" w:after="120" w:line="276" w:lineRule="auto"/>
        <w:jc w:val="both"/>
        <w:rPr>
          <w:rFonts w:asciiTheme="majorHAnsi" w:hAnsiTheme="majorHAnsi"/>
          <w:color w:val="404040" w:themeColor="text1" w:themeTint="BF"/>
        </w:rPr>
      </w:pPr>
    </w:p>
    <w:p w:rsidR="00501FA3" w:rsidRDefault="00501FA3" w:rsidP="000700DB">
      <w:pPr>
        <w:spacing w:before="120" w:after="120" w:line="276" w:lineRule="auto"/>
        <w:jc w:val="both"/>
        <w:rPr>
          <w:rFonts w:asciiTheme="majorHAnsi" w:hAnsiTheme="majorHAnsi"/>
          <w:color w:val="404040" w:themeColor="text1" w:themeTint="BF"/>
        </w:rPr>
      </w:pPr>
    </w:p>
    <w:p w:rsidR="00501FA3" w:rsidRDefault="00501FA3" w:rsidP="000700DB">
      <w:pPr>
        <w:spacing w:before="120" w:after="120" w:line="276" w:lineRule="auto"/>
        <w:jc w:val="both"/>
        <w:rPr>
          <w:rFonts w:asciiTheme="majorHAnsi" w:hAnsiTheme="majorHAnsi"/>
          <w:color w:val="404040" w:themeColor="text1" w:themeTint="BF"/>
        </w:rPr>
      </w:pPr>
    </w:p>
    <w:p w:rsidR="00501FA3" w:rsidRDefault="00501FA3" w:rsidP="000700DB">
      <w:pPr>
        <w:spacing w:before="120" w:after="120" w:line="276" w:lineRule="auto"/>
        <w:jc w:val="both"/>
        <w:rPr>
          <w:rFonts w:asciiTheme="majorHAnsi" w:hAnsiTheme="majorHAnsi"/>
          <w:color w:val="404040" w:themeColor="text1" w:themeTint="BF"/>
        </w:rPr>
      </w:pPr>
    </w:p>
    <w:p w:rsidR="00501FA3" w:rsidRDefault="00501FA3" w:rsidP="000700DB">
      <w:pPr>
        <w:spacing w:before="120" w:after="120" w:line="276" w:lineRule="auto"/>
        <w:jc w:val="both"/>
        <w:rPr>
          <w:rFonts w:asciiTheme="majorHAnsi" w:hAnsiTheme="majorHAnsi"/>
          <w:color w:val="404040" w:themeColor="text1" w:themeTint="BF"/>
        </w:rPr>
      </w:pPr>
    </w:p>
    <w:p w:rsidR="00501FA3" w:rsidRPr="00EB3F87" w:rsidRDefault="00501FA3" w:rsidP="000700DB">
      <w:pPr>
        <w:spacing w:before="120" w:after="120" w:line="276" w:lineRule="auto"/>
        <w:jc w:val="both"/>
        <w:rPr>
          <w:rFonts w:asciiTheme="majorHAnsi" w:hAnsiTheme="majorHAnsi"/>
          <w:color w:val="404040" w:themeColor="text1" w:themeTint="BF"/>
        </w:rPr>
      </w:pPr>
    </w:p>
    <w:p w:rsidR="000700DB" w:rsidRPr="00EB3F87" w:rsidRDefault="000700DB" w:rsidP="00461837">
      <w:pPr>
        <w:spacing w:before="120"/>
        <w:jc w:val="both"/>
        <w:rPr>
          <w:rFonts w:asciiTheme="majorHAnsi" w:hAnsiTheme="majorHAnsi"/>
          <w:b/>
          <w:noProof/>
          <w:color w:val="404040" w:themeColor="text1" w:themeTint="BF"/>
          <w:sz w:val="22"/>
          <w:szCs w:val="22"/>
          <w:lang w:eastAsia="pl-PL"/>
        </w:rPr>
      </w:pPr>
      <w:r w:rsidRPr="00EB3F87">
        <w:rPr>
          <w:rFonts w:asciiTheme="majorHAnsi" w:hAnsiTheme="majorHAnsi"/>
          <w:b/>
          <w:color w:val="404040" w:themeColor="text1" w:themeTint="BF"/>
          <w:sz w:val="22"/>
          <w:szCs w:val="22"/>
        </w:rPr>
        <w:lastRenderedPageBreak/>
        <w:t>Rysunek 6. Zależność zmian wolumenu produkcji w poszczególnych sektorach polskiej gospodarki od wysokoś</w:t>
      </w:r>
      <w:r w:rsidRPr="00EB3F87">
        <w:rPr>
          <w:rFonts w:asciiTheme="majorHAnsi" w:hAnsiTheme="majorHAnsi"/>
          <w:b/>
          <w:noProof/>
          <w:color w:val="404040" w:themeColor="text1" w:themeTint="BF"/>
          <w:sz w:val="22"/>
          <w:szCs w:val="22"/>
          <w:lang w:eastAsia="pl-PL"/>
        </w:rPr>
        <w:t>ci stawek celnych w eksporcie do Wielkiej Brytanii</w:t>
      </w:r>
    </w:p>
    <w:p w:rsidR="000700DB" w:rsidRPr="00EB3F87" w:rsidRDefault="000700DB" w:rsidP="000700DB">
      <w:pPr>
        <w:jc w:val="both"/>
        <w:rPr>
          <w:rFonts w:asciiTheme="majorHAnsi" w:hAnsiTheme="majorHAnsi"/>
          <w:b/>
          <w:noProof/>
          <w:color w:val="404040" w:themeColor="text1" w:themeTint="BF"/>
          <w:sz w:val="22"/>
          <w:szCs w:val="22"/>
          <w:lang w:eastAsia="pl-PL"/>
        </w:rPr>
      </w:pPr>
      <w:r w:rsidRPr="00EB3F87">
        <w:rPr>
          <w:rFonts w:asciiTheme="majorHAnsi" w:hAnsiTheme="majorHAnsi"/>
          <w:noProof/>
          <w:color w:val="404040" w:themeColor="text1" w:themeTint="BF"/>
          <w:sz w:val="22"/>
          <w:szCs w:val="22"/>
          <w:lang w:eastAsia="pl-PL"/>
        </w:rPr>
        <w:drawing>
          <wp:inline distT="0" distB="0" distL="0" distR="0" wp14:anchorId="7D2B9652" wp14:editId="0C32D448">
            <wp:extent cx="4572000" cy="27432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DB" w:rsidRPr="00EB3F87" w:rsidRDefault="000700DB" w:rsidP="00163ACB">
      <w:pPr>
        <w:spacing w:after="120" w:line="276" w:lineRule="auto"/>
        <w:jc w:val="both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EB3F87">
        <w:rPr>
          <w:rFonts w:asciiTheme="majorHAnsi" w:hAnsiTheme="majorHAnsi"/>
          <w:color w:val="404040" w:themeColor="text1" w:themeTint="BF"/>
          <w:sz w:val="22"/>
          <w:szCs w:val="22"/>
        </w:rPr>
        <w:t>Źródło: opracowanie własne.</w:t>
      </w:r>
    </w:p>
    <w:p w:rsidR="000700DB" w:rsidRPr="00EB3F87" w:rsidRDefault="00093DC8" w:rsidP="000700DB">
      <w:pPr>
        <w:jc w:val="both"/>
        <w:rPr>
          <w:rFonts w:asciiTheme="majorHAnsi" w:hAnsiTheme="majorHAnsi"/>
          <w:color w:val="404040" w:themeColor="text1" w:themeTint="BF"/>
        </w:rPr>
      </w:pPr>
      <w:r w:rsidRPr="00EB3F87">
        <w:rPr>
          <w:rFonts w:asciiTheme="majorHAnsi" w:hAnsiTheme="majorHAnsi"/>
          <w:color w:val="404040" w:themeColor="text1" w:themeTint="BF"/>
        </w:rPr>
        <w:t xml:space="preserve">Warto zauważyć, że szacowana przez MF skala ubytku PKB wskutek </w:t>
      </w:r>
      <w:proofErr w:type="spellStart"/>
      <w:r w:rsidRPr="00EB3F87">
        <w:rPr>
          <w:rFonts w:asciiTheme="majorHAnsi" w:hAnsiTheme="majorHAnsi"/>
          <w:color w:val="404040" w:themeColor="text1" w:themeTint="BF"/>
        </w:rPr>
        <w:t>Brexitu</w:t>
      </w:r>
      <w:proofErr w:type="spellEnd"/>
      <w:r w:rsidRPr="00EB3F87">
        <w:rPr>
          <w:rFonts w:asciiTheme="majorHAnsi" w:hAnsiTheme="majorHAnsi"/>
          <w:color w:val="404040" w:themeColor="text1" w:themeTint="BF"/>
        </w:rPr>
        <w:t xml:space="preserve"> jest wyraźnie mniejsza niż w innych wspomnianych badaniach. Wynika to z symulowania wyłącznie zmian taryf celnych, przy założeniu stałości barier pozataryfowych. Jak wskazuje literatura, bariery pozataryfowe odgrywają obecnie o wiele istotniejsza rolę w handlu międzynarodowym niż same taryfy celne.</w:t>
      </w:r>
    </w:p>
    <w:p w:rsidR="000700DB" w:rsidRPr="00EB3F87" w:rsidRDefault="000700DB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461837" w:rsidRPr="00EB3F87" w:rsidRDefault="00461837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093DC8" w:rsidRPr="00EB3F87" w:rsidRDefault="00093DC8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0700DB" w:rsidRPr="00EB3F87" w:rsidRDefault="000700DB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0700DB" w:rsidRPr="00EB3F87" w:rsidRDefault="000700DB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093DC8" w:rsidRDefault="00093DC8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501FA3" w:rsidRDefault="00501FA3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501FA3" w:rsidRDefault="00501FA3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501FA3" w:rsidRDefault="00501FA3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  <w:bookmarkStart w:id="0" w:name="_GoBack"/>
      <w:bookmarkEnd w:id="0"/>
    </w:p>
    <w:p w:rsidR="00501FA3" w:rsidRDefault="00501FA3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501FA3" w:rsidRDefault="00501FA3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501FA3" w:rsidRDefault="00501FA3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501FA3" w:rsidRDefault="00501FA3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501FA3" w:rsidRDefault="00501FA3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501FA3" w:rsidRDefault="00501FA3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501FA3" w:rsidRDefault="00501FA3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501FA3" w:rsidRDefault="00501FA3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501FA3" w:rsidRDefault="00501FA3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501FA3" w:rsidRDefault="00501FA3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501FA3" w:rsidRDefault="00501FA3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501FA3" w:rsidRDefault="00501FA3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0700DB" w:rsidRPr="00EB3F87" w:rsidRDefault="000700DB" w:rsidP="000700DB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0700DB" w:rsidRPr="00EB3F87" w:rsidRDefault="000700DB" w:rsidP="000700DB">
      <w:pPr>
        <w:jc w:val="both"/>
        <w:rPr>
          <w:rFonts w:asciiTheme="majorHAnsi" w:hAnsiTheme="majorHAnsi"/>
          <w:b/>
          <w:color w:val="404040" w:themeColor="text1" w:themeTint="BF"/>
        </w:rPr>
      </w:pPr>
      <w:r w:rsidRPr="00EB3F87">
        <w:rPr>
          <w:rFonts w:asciiTheme="majorHAnsi" w:hAnsiTheme="majorHAnsi"/>
          <w:color w:val="404040" w:themeColor="text1" w:themeTint="BF"/>
          <w:u w:val="single"/>
        </w:rPr>
        <w:t>Opracowanie:</w:t>
      </w:r>
      <w:r w:rsidRPr="00EB3F87">
        <w:rPr>
          <w:rFonts w:asciiTheme="majorHAnsi" w:hAnsiTheme="majorHAnsi"/>
          <w:color w:val="404040" w:themeColor="text1" w:themeTint="BF"/>
        </w:rPr>
        <w:t xml:space="preserve"> Michał Antoszewski – Główny Specjalista, Departament Polityki Makroekonomicznej.</w:t>
      </w:r>
    </w:p>
    <w:sectPr w:rsidR="000700DB" w:rsidRPr="00EB3F87" w:rsidSect="00C024CE">
      <w:footerReference w:type="default" r:id="rId14"/>
      <w:headerReference w:type="first" r:id="rId15"/>
      <w:footerReference w:type="first" r:id="rId16"/>
      <w:pgSz w:w="11900" w:h="16840"/>
      <w:pgMar w:top="1701" w:right="1134" w:bottom="1701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81" w:rsidRDefault="005A4781">
      <w:r>
        <w:separator/>
      </w:r>
    </w:p>
  </w:endnote>
  <w:endnote w:type="continuationSeparator" w:id="0">
    <w:p w:rsidR="005A4781" w:rsidRDefault="005A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DC" w:rsidRDefault="00C171DC" w:rsidP="00C171DC">
    <w:pPr>
      <w:pStyle w:val="Stopka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fldChar w:fldCharType="begin"/>
    </w:r>
    <w:r>
      <w:rPr>
        <w:rFonts w:ascii="Arial" w:hAnsi="Arial" w:cs="Arial"/>
        <w:color w:val="808080"/>
        <w:sz w:val="16"/>
        <w:szCs w:val="16"/>
      </w:rPr>
      <w:instrText xml:space="preserve"> PAGE   \* MERGEFORMAT </w:instrText>
    </w:r>
    <w:r>
      <w:rPr>
        <w:rFonts w:ascii="Arial" w:hAnsi="Arial" w:cs="Arial"/>
        <w:color w:val="808080"/>
        <w:sz w:val="16"/>
        <w:szCs w:val="16"/>
      </w:rPr>
      <w:fldChar w:fldCharType="separate"/>
    </w:r>
    <w:r w:rsidR="00501FA3">
      <w:rPr>
        <w:rFonts w:ascii="Arial" w:hAnsi="Arial" w:cs="Arial"/>
        <w:noProof/>
        <w:color w:val="808080"/>
        <w:sz w:val="16"/>
        <w:szCs w:val="16"/>
      </w:rPr>
      <w:t>8</w:t>
    </w:r>
    <w:r>
      <w:rPr>
        <w:rFonts w:ascii="Arial" w:hAnsi="Arial" w:cs="Arial"/>
        <w:color w:val="808080"/>
        <w:sz w:val="16"/>
        <w:szCs w:val="16"/>
      </w:rPr>
      <w:fldChar w:fldCharType="end"/>
    </w:r>
  </w:p>
  <w:p w:rsidR="00C171DC" w:rsidRPr="006C13FF" w:rsidRDefault="00C171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DC" w:rsidRDefault="00C171DC" w:rsidP="0069268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A75809" wp14:editId="704B113E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DEF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HxPPdY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  <w:p w:rsidR="00C171DC" w:rsidRPr="00692681" w:rsidRDefault="00C171DC" w:rsidP="00692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81" w:rsidRDefault="005A4781">
      <w:r>
        <w:separator/>
      </w:r>
    </w:p>
  </w:footnote>
  <w:footnote w:type="continuationSeparator" w:id="0">
    <w:p w:rsidR="005A4781" w:rsidRDefault="005A4781">
      <w:r>
        <w:continuationSeparator/>
      </w:r>
    </w:p>
  </w:footnote>
  <w:footnote w:id="1">
    <w:p w:rsidR="000700DB" w:rsidRPr="000700DB" w:rsidRDefault="000700DB" w:rsidP="000700DB">
      <w:pPr>
        <w:pStyle w:val="Tekstprzypisudolnego"/>
        <w:jc w:val="both"/>
        <w:rPr>
          <w:rFonts w:asciiTheme="majorHAnsi" w:hAnsiTheme="majorHAnsi"/>
        </w:rPr>
      </w:pPr>
      <w:r w:rsidRPr="000700DB">
        <w:rPr>
          <w:rStyle w:val="Odwoanieprzypisudolnego"/>
          <w:rFonts w:asciiTheme="majorHAnsi" w:hAnsiTheme="majorHAnsi"/>
        </w:rPr>
        <w:footnoteRef/>
      </w:r>
      <w:r w:rsidRPr="000700DB">
        <w:rPr>
          <w:rFonts w:asciiTheme="majorHAnsi" w:hAnsiTheme="majorHAnsi"/>
        </w:rPr>
        <w:t xml:space="preserve"> Islandia oraz Liechtenstein ujęte są wspólnie jako jeden region. Wynika to z ograniczeń bazy GTAP, która łączy te kraje nawet w najbardziej </w:t>
      </w:r>
      <w:proofErr w:type="spellStart"/>
      <w:r w:rsidRPr="000700DB">
        <w:rPr>
          <w:rFonts w:asciiTheme="majorHAnsi" w:hAnsiTheme="majorHAnsi"/>
        </w:rPr>
        <w:t>zdezagregowanym</w:t>
      </w:r>
      <w:proofErr w:type="spellEnd"/>
      <w:r w:rsidRPr="000700DB">
        <w:rPr>
          <w:rFonts w:asciiTheme="majorHAnsi" w:hAnsiTheme="majorHAnsi"/>
        </w:rPr>
        <w:t xml:space="preserve"> wariancie.</w:t>
      </w:r>
    </w:p>
  </w:footnote>
  <w:footnote w:id="2">
    <w:p w:rsidR="000700DB" w:rsidRPr="000700DB" w:rsidRDefault="000700DB" w:rsidP="000700DB">
      <w:pPr>
        <w:pStyle w:val="Tekstprzypisudolnego"/>
        <w:jc w:val="both"/>
        <w:rPr>
          <w:rFonts w:asciiTheme="majorHAnsi" w:hAnsiTheme="majorHAnsi"/>
        </w:rPr>
      </w:pPr>
      <w:r w:rsidRPr="000700DB">
        <w:rPr>
          <w:rStyle w:val="Odwoanieprzypisudolnego"/>
          <w:rFonts w:asciiTheme="majorHAnsi" w:hAnsiTheme="majorHAnsi"/>
        </w:rPr>
        <w:footnoteRef/>
      </w:r>
      <w:r w:rsidRPr="000700DB">
        <w:rPr>
          <w:rFonts w:asciiTheme="majorHAnsi" w:hAnsiTheme="majorHAnsi"/>
        </w:rPr>
        <w:t xml:space="preserve"> Kształt symulacji uzgodniono z Departamentem Innowacji w Ministerstwie Przedsiębiorczości i Technologii.</w:t>
      </w:r>
    </w:p>
  </w:footnote>
  <w:footnote w:id="3">
    <w:p w:rsidR="000700DB" w:rsidRPr="000700DB" w:rsidRDefault="000700DB" w:rsidP="000700DB">
      <w:pPr>
        <w:pStyle w:val="Tekstprzypisudolnego"/>
        <w:jc w:val="both"/>
        <w:rPr>
          <w:rFonts w:asciiTheme="majorHAnsi" w:hAnsiTheme="majorHAnsi"/>
        </w:rPr>
      </w:pPr>
      <w:r w:rsidRPr="000700DB">
        <w:rPr>
          <w:rStyle w:val="Odwoanieprzypisudolnego"/>
          <w:rFonts w:asciiTheme="majorHAnsi" w:hAnsiTheme="majorHAnsi"/>
        </w:rPr>
        <w:footnoteRef/>
      </w:r>
      <w:r w:rsidRPr="000700DB">
        <w:rPr>
          <w:rFonts w:asciiTheme="majorHAnsi" w:hAnsiTheme="majorHAnsi"/>
        </w:rPr>
        <w:t xml:space="preserve"> Z racji faktu, że państwa członkowskie UE łączy unia celna, taryfy te są w chwili obecnej równe zeru. W ujęciu modelowym pewien wyjątek stanowi Chorwacja – kraj, który w roku bazowym modelu, tj. 2011 r., nie był jeszcze członkiem Unii. Z tego względu, bazowa kalibracja modelu obejmuje niezerowe, kilkuprocentowe cła w handlu Chorwacji z krajami UE, lecz jedynie dla 3 spośród 47 wyróżnionych produktów. W rezultacie, osiągnięcie zakładanego w symulacji docelowego poziomu stawek celnych wymaga w tych pojedynczych przypadkach ich relatywnie mniejszego wzrostu.</w:t>
      </w:r>
    </w:p>
  </w:footnote>
  <w:footnote w:id="4">
    <w:p w:rsidR="000700DB" w:rsidRPr="000700DB" w:rsidRDefault="000700DB" w:rsidP="000700DB">
      <w:pPr>
        <w:pStyle w:val="Tekstprzypisudolnego"/>
        <w:jc w:val="both"/>
        <w:rPr>
          <w:rFonts w:asciiTheme="majorHAnsi" w:hAnsiTheme="majorHAnsi"/>
        </w:rPr>
      </w:pPr>
      <w:r w:rsidRPr="000700DB">
        <w:rPr>
          <w:rStyle w:val="Odwoanieprzypisudolnego"/>
          <w:rFonts w:asciiTheme="majorHAnsi" w:hAnsiTheme="majorHAnsi"/>
        </w:rPr>
        <w:footnoteRef/>
      </w:r>
      <w:r w:rsidRPr="000700DB">
        <w:rPr>
          <w:rFonts w:asciiTheme="majorHAnsi" w:hAnsiTheme="majorHAnsi"/>
        </w:rPr>
        <w:t xml:space="preserve"> Norwegia odznacza się największym udziałem eksportu do Wielkiej Brytanii spośród wszystkich rozpatrywanych krajów/regionów, lecz jednym z najniższych ubytków PKB w konsekwencji wzrostu taryf celnych. Wiąże się to z faktem, że wyjściowy poziom istotnej części taryf celnych w wymianie handlowej Norwegii z Wielka Brytanią jest już na tyle wysoki, że nie podlega dalszemu wzrostowi w ramach symulacji, co prowadzi do relatywnego wzrostu konkurencyjności względem państw członkowskich UE.</w:t>
      </w:r>
    </w:p>
  </w:footnote>
  <w:footnote w:id="5">
    <w:p w:rsidR="000700DB" w:rsidRPr="000700DB" w:rsidRDefault="000700DB" w:rsidP="000700DB">
      <w:pPr>
        <w:pStyle w:val="Tekstprzypisudolnego"/>
        <w:jc w:val="both"/>
        <w:rPr>
          <w:rFonts w:asciiTheme="majorHAnsi" w:hAnsiTheme="majorHAnsi"/>
        </w:rPr>
      </w:pPr>
      <w:r w:rsidRPr="000700DB">
        <w:rPr>
          <w:rStyle w:val="Odwoanieprzypisudolnego"/>
          <w:rFonts w:asciiTheme="majorHAnsi" w:hAnsiTheme="majorHAnsi"/>
        </w:rPr>
        <w:footnoteRef/>
      </w:r>
      <w:r w:rsidRPr="000700DB">
        <w:rPr>
          <w:rFonts w:asciiTheme="majorHAnsi" w:hAnsiTheme="majorHAnsi"/>
        </w:rPr>
        <w:t xml:space="preserve"> Zgodnie z danymi Eurostatu, w 2016 r. udziały eksportu do Wielkiej Brytanii w eksporcie ogółem dla Polski i Niemiec wyniosły odpowiednio 5,2% oraz 5,7%.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DC" w:rsidRDefault="00C171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A09720" wp14:editId="500F60F7">
              <wp:simplePos x="0" y="0"/>
              <wp:positionH relativeFrom="column">
                <wp:posOffset>4445</wp:posOffset>
              </wp:positionH>
              <wp:positionV relativeFrom="paragraph">
                <wp:posOffset>1503309</wp:posOffset>
              </wp:positionV>
              <wp:extent cx="5965825" cy="723900"/>
              <wp:effectExtent l="0" t="0" r="15875" b="0"/>
              <wp:wrapNone/>
              <wp:docPr id="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582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1DC" w:rsidRDefault="009A7D0C" w:rsidP="009A7D0C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Analiza</w:t>
                          </w:r>
                          <w:r w:rsidRPr="009A7D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skutków obustronnego nałoż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enia/zwiększenia taryf celnych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br/>
                          </w:r>
                          <w:r w:rsidRPr="009A7D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w handlu zagranicznym Wielkiej Brytanii z krajami UE/EFTA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br/>
                          </w:r>
                          <w:r w:rsidRPr="009A7D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na skutek </w:t>
                          </w:r>
                          <w:proofErr w:type="spellStart"/>
                          <w:r w:rsidRPr="009A7D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Brexitu</w:t>
                          </w:r>
                          <w:proofErr w:type="spellEnd"/>
                        </w:p>
                        <w:p w:rsidR="00C171DC" w:rsidRPr="00683818" w:rsidRDefault="00C171DC" w:rsidP="001E1B5F">
                          <w:pPr>
                            <w:jc w:val="center"/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09720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.35pt;margin-top:118.35pt;width:469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" filled="f" stroked="f">
              <v:textbox inset="0,0,0,0">
                <w:txbxContent>
                  <w:p w:rsidR="00C171DC" w:rsidRDefault="009A7D0C" w:rsidP="009A7D0C">
                    <w:pPr>
                      <w:spacing w:line="276" w:lineRule="auto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Analiza</w:t>
                    </w:r>
                    <w:r w:rsidRPr="009A7D0C">
                      <w:rPr>
                        <w:b/>
                        <w:bCs/>
                        <w:sz w:val="28"/>
                        <w:szCs w:val="28"/>
                      </w:rPr>
                      <w:t xml:space="preserve"> skutków obustronnego nałoż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enia/zwiększenia taryf celnych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br/>
                    </w:r>
                    <w:r w:rsidRPr="009A7D0C">
                      <w:rPr>
                        <w:b/>
                        <w:bCs/>
                        <w:sz w:val="28"/>
                        <w:szCs w:val="28"/>
                      </w:rPr>
                      <w:t xml:space="preserve">w handlu zagranicznym Wielkiej Brytanii z krajami UE/EFTA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br/>
                    </w:r>
                    <w:r w:rsidRPr="009A7D0C">
                      <w:rPr>
                        <w:b/>
                        <w:bCs/>
                        <w:sz w:val="28"/>
                        <w:szCs w:val="28"/>
                      </w:rPr>
                      <w:t xml:space="preserve">na skutek </w:t>
                    </w:r>
                    <w:proofErr w:type="spellStart"/>
                    <w:r w:rsidRPr="009A7D0C">
                      <w:rPr>
                        <w:b/>
                        <w:bCs/>
                        <w:sz w:val="28"/>
                        <w:szCs w:val="28"/>
                      </w:rPr>
                      <w:t>Brexitu</w:t>
                    </w:r>
                    <w:proofErr w:type="spellEnd"/>
                  </w:p>
                  <w:p w:rsidR="00C171DC" w:rsidRPr="00683818" w:rsidRDefault="00C171DC" w:rsidP="001E1B5F">
                    <w:pPr>
                      <w:jc w:val="center"/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F45E3" wp14:editId="05B56A38">
              <wp:simplePos x="0" y="0"/>
              <wp:positionH relativeFrom="column">
                <wp:posOffset>347345</wp:posOffset>
              </wp:positionH>
              <wp:positionV relativeFrom="paragraph">
                <wp:posOffset>1407160</wp:posOffset>
              </wp:positionV>
              <wp:extent cx="3181350" cy="240030"/>
              <wp:effectExtent l="4445" t="0" r="0" b="63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1DC" w:rsidRPr="00683818" w:rsidRDefault="00C171DC" w:rsidP="00C171DC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" w:name="ezdSprawaZna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F45E3" id="Text Box 8" o:spid="_x0000_s1027" type="#_x0000_t202" style="position:absolute;margin-left:27.35pt;margin-top:110.8pt;width:250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eEsQIAALA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" filled="f" stroked="f">
              <v:textbox inset="0,0,0,0">
                <w:txbxContent>
                  <w:p w:rsidR="00C171DC" w:rsidRPr="00683818" w:rsidRDefault="00C171DC" w:rsidP="00C171DC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2" w:name="ezdSprawaZnak"/>
                    <w:bookmarkEnd w:id="2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8F232E" wp14:editId="52455C26">
              <wp:simplePos x="0" y="0"/>
              <wp:positionH relativeFrom="column">
                <wp:posOffset>1270</wp:posOffset>
              </wp:positionH>
              <wp:positionV relativeFrom="paragraph">
                <wp:posOffset>2506345</wp:posOffset>
              </wp:positionV>
              <wp:extent cx="5965825" cy="146050"/>
              <wp:effectExtent l="1270" t="127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58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1DC" w:rsidRPr="00683818" w:rsidRDefault="00C171DC" w:rsidP="00C171DC">
                          <w:pPr>
                            <w:jc w:val="center"/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8F232E" id="Text Box 7" o:spid="_x0000_s1028" type="#_x0000_t202" style="position:absolute;margin-left:.1pt;margin-top:197.35pt;width:469.7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dIswIAALA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" filled="f" stroked="f">
              <v:textbox inset="0,0,0,0">
                <w:txbxContent>
                  <w:p w:rsidR="00C171DC" w:rsidRPr="00683818" w:rsidRDefault="00C171DC" w:rsidP="00C171DC">
                    <w:pPr>
                      <w:jc w:val="center"/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ECFFBC" wp14:editId="241BB8A6">
              <wp:simplePos x="0" y="0"/>
              <wp:positionH relativeFrom="column">
                <wp:posOffset>-8890</wp:posOffset>
              </wp:positionH>
              <wp:positionV relativeFrom="paragraph">
                <wp:posOffset>799465</wp:posOffset>
              </wp:positionV>
              <wp:extent cx="3337560" cy="426720"/>
              <wp:effectExtent l="635" t="0" r="0" b="254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1DC" w:rsidRPr="009B765A" w:rsidRDefault="00AE208F" w:rsidP="00C171DC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 w:rsidRPr="00AE208F">
                            <w:rPr>
                              <w:rFonts w:ascii="Times New Roman" w:hAnsi="Times New Roman"/>
                              <w:b/>
                              <w:noProof/>
                              <w:szCs w:val="22"/>
                              <w:lang w:eastAsia="pl-PL"/>
                            </w:rPr>
                            <w:drawing>
                              <wp:inline distT="0" distB="0" distL="0" distR="0" wp14:anchorId="4421ADE3" wp14:editId="66C0DC76">
                                <wp:extent cx="3145790" cy="40259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5790" cy="402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CFFBC" id="Text Box 9" o:spid="_x0000_s1029" type="#_x0000_t202" style="position:absolute;margin-left:-.7pt;margin-top:62.95pt;width:262.8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" filled="f" stroked="f">
              <v:textbox inset="0,0,0,0">
                <w:txbxContent>
                  <w:p w:rsidR="00C171DC" w:rsidRPr="009B765A" w:rsidRDefault="00AE208F" w:rsidP="00C171DC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 w:rsidRPr="00AE208F">
                      <w:rPr>
                        <w:rFonts w:ascii="Times New Roman" w:hAnsi="Times New Roman"/>
                        <w:b/>
                        <w:noProof/>
                        <w:szCs w:val="22"/>
                        <w:lang w:eastAsia="pl-PL"/>
                      </w:rPr>
                      <w:drawing>
                        <wp:inline distT="0" distB="0" distL="0" distR="0" wp14:anchorId="4421ADE3" wp14:editId="66C0DC76">
                          <wp:extent cx="3145790" cy="40259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5790" cy="402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56877A9D" wp14:editId="2677CFB9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744220" cy="707390"/>
          <wp:effectExtent l="0" t="0" r="0" b="0"/>
          <wp:wrapNone/>
          <wp:docPr id="8" name="Picture 0" descr="M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BEB"/>
    <w:multiLevelType w:val="multilevel"/>
    <w:tmpl w:val="B444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995B56"/>
    <w:multiLevelType w:val="hybridMultilevel"/>
    <w:tmpl w:val="582ACB22"/>
    <w:lvl w:ilvl="0" w:tplc="62163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C6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8D290">
      <w:start w:val="19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48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4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C6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A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4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D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253E9A"/>
    <w:multiLevelType w:val="hybridMultilevel"/>
    <w:tmpl w:val="B9AA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D5258"/>
    <w:multiLevelType w:val="hybridMultilevel"/>
    <w:tmpl w:val="B044B1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716FD"/>
    <w:multiLevelType w:val="hybridMultilevel"/>
    <w:tmpl w:val="0CF0B3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DC6207"/>
    <w:multiLevelType w:val="hybridMultilevel"/>
    <w:tmpl w:val="61182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D35C2"/>
    <w:multiLevelType w:val="hybridMultilevel"/>
    <w:tmpl w:val="1E642C40"/>
    <w:lvl w:ilvl="0" w:tplc="62163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14A11"/>
    <w:multiLevelType w:val="hybridMultilevel"/>
    <w:tmpl w:val="DBBA1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CED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AA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00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0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20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43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E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1505A4"/>
    <w:multiLevelType w:val="multilevel"/>
    <w:tmpl w:val="B444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BC3326"/>
    <w:multiLevelType w:val="hybridMultilevel"/>
    <w:tmpl w:val="CC9856E0"/>
    <w:lvl w:ilvl="0" w:tplc="62163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E107E"/>
    <w:multiLevelType w:val="hybridMultilevel"/>
    <w:tmpl w:val="B8A41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12DCD"/>
    <w:multiLevelType w:val="hybridMultilevel"/>
    <w:tmpl w:val="C1324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6800"/>
    <w:multiLevelType w:val="hybridMultilevel"/>
    <w:tmpl w:val="5866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F2F84"/>
    <w:multiLevelType w:val="hybridMultilevel"/>
    <w:tmpl w:val="2A4A9C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0C302FA"/>
    <w:multiLevelType w:val="hybridMultilevel"/>
    <w:tmpl w:val="C422D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32A89"/>
    <w:multiLevelType w:val="hybridMultilevel"/>
    <w:tmpl w:val="DD6AC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97771"/>
    <w:multiLevelType w:val="hybridMultilevel"/>
    <w:tmpl w:val="157C974C"/>
    <w:lvl w:ilvl="0" w:tplc="62163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C6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9C48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4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C6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A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4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D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09B2E4C"/>
    <w:multiLevelType w:val="hybridMultilevel"/>
    <w:tmpl w:val="880CBC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53057"/>
    <w:multiLevelType w:val="hybridMultilevel"/>
    <w:tmpl w:val="77E85CA8"/>
    <w:lvl w:ilvl="0" w:tplc="62163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B33CE"/>
    <w:multiLevelType w:val="hybridMultilevel"/>
    <w:tmpl w:val="2A6CD3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F517E"/>
    <w:multiLevelType w:val="hybridMultilevel"/>
    <w:tmpl w:val="4574F7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15"/>
  </w:num>
  <w:num w:numId="7">
    <w:abstractNumId w:val="10"/>
  </w:num>
  <w:num w:numId="8">
    <w:abstractNumId w:val="19"/>
  </w:num>
  <w:num w:numId="9">
    <w:abstractNumId w:val="17"/>
  </w:num>
  <w:num w:numId="10">
    <w:abstractNumId w:val="20"/>
  </w:num>
  <w:num w:numId="11">
    <w:abstractNumId w:val="1"/>
  </w:num>
  <w:num w:numId="12">
    <w:abstractNumId w:val="16"/>
  </w:num>
  <w:num w:numId="13">
    <w:abstractNumId w:val="11"/>
  </w:num>
  <w:num w:numId="14">
    <w:abstractNumId w:val="18"/>
  </w:num>
  <w:num w:numId="15">
    <w:abstractNumId w:val="9"/>
  </w:num>
  <w:num w:numId="16">
    <w:abstractNumId w:val="6"/>
  </w:num>
  <w:num w:numId="17">
    <w:abstractNumId w:val="8"/>
  </w:num>
  <w:num w:numId="18">
    <w:abstractNumId w:val="0"/>
  </w:num>
  <w:num w:numId="19">
    <w:abstractNumId w:val="13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CB"/>
    <w:rsid w:val="000059B3"/>
    <w:rsid w:val="00011FEC"/>
    <w:rsid w:val="00025E35"/>
    <w:rsid w:val="00043C79"/>
    <w:rsid w:val="00056698"/>
    <w:rsid w:val="00060081"/>
    <w:rsid w:val="00060540"/>
    <w:rsid w:val="000700DB"/>
    <w:rsid w:val="00093DC8"/>
    <w:rsid w:val="000B224C"/>
    <w:rsid w:val="000B7DBC"/>
    <w:rsid w:val="000D7BB3"/>
    <w:rsid w:val="0011247A"/>
    <w:rsid w:val="0011290E"/>
    <w:rsid w:val="00124691"/>
    <w:rsid w:val="00132D41"/>
    <w:rsid w:val="001465EC"/>
    <w:rsid w:val="00147839"/>
    <w:rsid w:val="0016180C"/>
    <w:rsid w:val="00162ED0"/>
    <w:rsid w:val="00163ACB"/>
    <w:rsid w:val="00163C7A"/>
    <w:rsid w:val="00164627"/>
    <w:rsid w:val="00186CC7"/>
    <w:rsid w:val="001A5854"/>
    <w:rsid w:val="001D0A46"/>
    <w:rsid w:val="001D3CC9"/>
    <w:rsid w:val="001E1B5F"/>
    <w:rsid w:val="001E1F8B"/>
    <w:rsid w:val="001E47BE"/>
    <w:rsid w:val="00205526"/>
    <w:rsid w:val="00210F7E"/>
    <w:rsid w:val="00247EBF"/>
    <w:rsid w:val="00251EA8"/>
    <w:rsid w:val="002608CB"/>
    <w:rsid w:val="0027583D"/>
    <w:rsid w:val="002A3BF0"/>
    <w:rsid w:val="002A7C71"/>
    <w:rsid w:val="002C6D2F"/>
    <w:rsid w:val="002D02F6"/>
    <w:rsid w:val="002D450A"/>
    <w:rsid w:val="002F1013"/>
    <w:rsid w:val="00310D41"/>
    <w:rsid w:val="0033548A"/>
    <w:rsid w:val="00381377"/>
    <w:rsid w:val="00381397"/>
    <w:rsid w:val="003918C6"/>
    <w:rsid w:val="003938E2"/>
    <w:rsid w:val="003A0332"/>
    <w:rsid w:val="003D2481"/>
    <w:rsid w:val="003D483B"/>
    <w:rsid w:val="00403F99"/>
    <w:rsid w:val="00434CD3"/>
    <w:rsid w:val="00440BB3"/>
    <w:rsid w:val="00441739"/>
    <w:rsid w:val="00442C9E"/>
    <w:rsid w:val="004573CC"/>
    <w:rsid w:val="00461837"/>
    <w:rsid w:val="00473768"/>
    <w:rsid w:val="00475B4E"/>
    <w:rsid w:val="0048794D"/>
    <w:rsid w:val="00490F4C"/>
    <w:rsid w:val="00492987"/>
    <w:rsid w:val="004A4690"/>
    <w:rsid w:val="004B038E"/>
    <w:rsid w:val="004B2AD6"/>
    <w:rsid w:val="004C4E52"/>
    <w:rsid w:val="004D17AB"/>
    <w:rsid w:val="004E5633"/>
    <w:rsid w:val="004F17D9"/>
    <w:rsid w:val="004F7119"/>
    <w:rsid w:val="00501FA3"/>
    <w:rsid w:val="00504185"/>
    <w:rsid w:val="00504781"/>
    <w:rsid w:val="00507922"/>
    <w:rsid w:val="005109CD"/>
    <w:rsid w:val="00511438"/>
    <w:rsid w:val="00520670"/>
    <w:rsid w:val="0052172E"/>
    <w:rsid w:val="005223BC"/>
    <w:rsid w:val="00551990"/>
    <w:rsid w:val="005734EC"/>
    <w:rsid w:val="005759D6"/>
    <w:rsid w:val="005A1F33"/>
    <w:rsid w:val="005A4781"/>
    <w:rsid w:val="005A79C9"/>
    <w:rsid w:val="005B3991"/>
    <w:rsid w:val="005E3207"/>
    <w:rsid w:val="005F37BF"/>
    <w:rsid w:val="005F409A"/>
    <w:rsid w:val="005F652B"/>
    <w:rsid w:val="00604285"/>
    <w:rsid w:val="00604BEB"/>
    <w:rsid w:val="006100A4"/>
    <w:rsid w:val="006136D0"/>
    <w:rsid w:val="0062562A"/>
    <w:rsid w:val="00630219"/>
    <w:rsid w:val="00630A2F"/>
    <w:rsid w:val="00635D1F"/>
    <w:rsid w:val="006555C4"/>
    <w:rsid w:val="00665A3F"/>
    <w:rsid w:val="00666E9C"/>
    <w:rsid w:val="0067637C"/>
    <w:rsid w:val="00680F33"/>
    <w:rsid w:val="006860C6"/>
    <w:rsid w:val="00692681"/>
    <w:rsid w:val="006A2A5A"/>
    <w:rsid w:val="006B5ADA"/>
    <w:rsid w:val="0073149E"/>
    <w:rsid w:val="00741703"/>
    <w:rsid w:val="00762297"/>
    <w:rsid w:val="00783BA6"/>
    <w:rsid w:val="007E555A"/>
    <w:rsid w:val="007F7FC8"/>
    <w:rsid w:val="00803A0F"/>
    <w:rsid w:val="00813A6E"/>
    <w:rsid w:val="00816218"/>
    <w:rsid w:val="00825E34"/>
    <w:rsid w:val="00834A1E"/>
    <w:rsid w:val="00840A18"/>
    <w:rsid w:val="008459A6"/>
    <w:rsid w:val="00852E38"/>
    <w:rsid w:val="00853836"/>
    <w:rsid w:val="0085405C"/>
    <w:rsid w:val="008A0E47"/>
    <w:rsid w:val="008B1309"/>
    <w:rsid w:val="008B1619"/>
    <w:rsid w:val="008C2CBB"/>
    <w:rsid w:val="008D5440"/>
    <w:rsid w:val="008D6201"/>
    <w:rsid w:val="009046D3"/>
    <w:rsid w:val="00905BED"/>
    <w:rsid w:val="00912B9B"/>
    <w:rsid w:val="00913E4A"/>
    <w:rsid w:val="00922B87"/>
    <w:rsid w:val="00925AD4"/>
    <w:rsid w:val="009301E2"/>
    <w:rsid w:val="00930B4F"/>
    <w:rsid w:val="0093183A"/>
    <w:rsid w:val="00937352"/>
    <w:rsid w:val="00940F84"/>
    <w:rsid w:val="0098700E"/>
    <w:rsid w:val="009A7D0C"/>
    <w:rsid w:val="009B61B2"/>
    <w:rsid w:val="009B759A"/>
    <w:rsid w:val="009D05F7"/>
    <w:rsid w:val="009E2708"/>
    <w:rsid w:val="00A03181"/>
    <w:rsid w:val="00A302EE"/>
    <w:rsid w:val="00A41C18"/>
    <w:rsid w:val="00A6676D"/>
    <w:rsid w:val="00A81F22"/>
    <w:rsid w:val="00A86245"/>
    <w:rsid w:val="00A86AE4"/>
    <w:rsid w:val="00A87EB1"/>
    <w:rsid w:val="00AC68C2"/>
    <w:rsid w:val="00AC6B61"/>
    <w:rsid w:val="00AD2C44"/>
    <w:rsid w:val="00AE208F"/>
    <w:rsid w:val="00AE563B"/>
    <w:rsid w:val="00AF273A"/>
    <w:rsid w:val="00B04BCB"/>
    <w:rsid w:val="00B101C6"/>
    <w:rsid w:val="00B130A4"/>
    <w:rsid w:val="00B135B3"/>
    <w:rsid w:val="00B2122D"/>
    <w:rsid w:val="00B276CC"/>
    <w:rsid w:val="00B51057"/>
    <w:rsid w:val="00B75765"/>
    <w:rsid w:val="00B84885"/>
    <w:rsid w:val="00B928A2"/>
    <w:rsid w:val="00B93E1A"/>
    <w:rsid w:val="00BC1460"/>
    <w:rsid w:val="00BD07DF"/>
    <w:rsid w:val="00BF0A0C"/>
    <w:rsid w:val="00C024CE"/>
    <w:rsid w:val="00C11A4A"/>
    <w:rsid w:val="00C171DC"/>
    <w:rsid w:val="00C30FCC"/>
    <w:rsid w:val="00C3145E"/>
    <w:rsid w:val="00C33D7D"/>
    <w:rsid w:val="00C40E7F"/>
    <w:rsid w:val="00C470A3"/>
    <w:rsid w:val="00C54CD8"/>
    <w:rsid w:val="00C610D5"/>
    <w:rsid w:val="00C614E5"/>
    <w:rsid w:val="00C92DD0"/>
    <w:rsid w:val="00C95FA6"/>
    <w:rsid w:val="00CA0FD1"/>
    <w:rsid w:val="00CA36ED"/>
    <w:rsid w:val="00CB150E"/>
    <w:rsid w:val="00CC1197"/>
    <w:rsid w:val="00CC67E7"/>
    <w:rsid w:val="00CC7CE8"/>
    <w:rsid w:val="00CE5BF2"/>
    <w:rsid w:val="00CF5072"/>
    <w:rsid w:val="00D02574"/>
    <w:rsid w:val="00D20450"/>
    <w:rsid w:val="00D2330E"/>
    <w:rsid w:val="00D27575"/>
    <w:rsid w:val="00D40A97"/>
    <w:rsid w:val="00D45D57"/>
    <w:rsid w:val="00D46116"/>
    <w:rsid w:val="00D80759"/>
    <w:rsid w:val="00D83F22"/>
    <w:rsid w:val="00D862DE"/>
    <w:rsid w:val="00D97769"/>
    <w:rsid w:val="00DA4931"/>
    <w:rsid w:val="00DB114E"/>
    <w:rsid w:val="00DB261B"/>
    <w:rsid w:val="00DC12A9"/>
    <w:rsid w:val="00DD3D4C"/>
    <w:rsid w:val="00DF501E"/>
    <w:rsid w:val="00DF7972"/>
    <w:rsid w:val="00E01311"/>
    <w:rsid w:val="00E07FD3"/>
    <w:rsid w:val="00E142DE"/>
    <w:rsid w:val="00E158B2"/>
    <w:rsid w:val="00E15F79"/>
    <w:rsid w:val="00E17A4D"/>
    <w:rsid w:val="00E24DD3"/>
    <w:rsid w:val="00E36832"/>
    <w:rsid w:val="00E36F66"/>
    <w:rsid w:val="00E404D9"/>
    <w:rsid w:val="00E53960"/>
    <w:rsid w:val="00E71834"/>
    <w:rsid w:val="00E83919"/>
    <w:rsid w:val="00EB3F87"/>
    <w:rsid w:val="00EC34F9"/>
    <w:rsid w:val="00EE1F52"/>
    <w:rsid w:val="00EE284B"/>
    <w:rsid w:val="00EE7BA7"/>
    <w:rsid w:val="00F030B9"/>
    <w:rsid w:val="00F16A15"/>
    <w:rsid w:val="00F473FF"/>
    <w:rsid w:val="00F51834"/>
    <w:rsid w:val="00F63605"/>
    <w:rsid w:val="00F80365"/>
    <w:rsid w:val="00F86CBA"/>
    <w:rsid w:val="00F95446"/>
    <w:rsid w:val="00FA10BA"/>
    <w:rsid w:val="00FC4ED5"/>
    <w:rsid w:val="00FC541C"/>
    <w:rsid w:val="00FD0F71"/>
    <w:rsid w:val="00FE20D6"/>
    <w:rsid w:val="00FE5B1D"/>
    <w:rsid w:val="00FF4F79"/>
    <w:rsid w:val="00FF7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B2D35D-EC0A-45C5-B67D-B53B78BF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5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A3F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A3F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A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6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62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627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4A46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163C7A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C6B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oje%20dokumenty\Szablony\ok\Serwer\mf_notatka_w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DD4C-9C6C-47F7-822A-C0F4F1D1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mf_notatka_wew</Template>
  <TotalTime>2</TotalTime>
  <Pages>8</Pages>
  <Words>1485</Words>
  <Characters>8914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Finansów</Company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Antoszewski Michał</dc:creator>
  <cp:lastModifiedBy>Szczypińska Agnieszka</cp:lastModifiedBy>
  <cp:revision>3</cp:revision>
  <cp:lastPrinted>2019-02-15T12:37:00Z</cp:lastPrinted>
  <dcterms:created xsi:type="dcterms:W3CDTF">2019-02-26T10:06:00Z</dcterms:created>
  <dcterms:modified xsi:type="dcterms:W3CDTF">2019-02-26T10:08:00Z</dcterms:modified>
</cp:coreProperties>
</file>