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3.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67F" w:rsidRDefault="00D3667F" w:rsidP="00D3667F">
      <w:pPr>
        <w:pStyle w:val="Tekstpodstawowy21"/>
        <w:tabs>
          <w:tab w:val="clear" w:pos="927"/>
        </w:tabs>
        <w:jc w:val="right"/>
        <w:rPr>
          <w:sz w:val="24"/>
          <w:szCs w:val="24"/>
        </w:rPr>
      </w:pPr>
      <w:r>
        <w:rPr>
          <w:sz w:val="24"/>
          <w:szCs w:val="24"/>
        </w:rPr>
        <w:t>Warszawa</w:t>
      </w:r>
      <w:r w:rsidR="00256A55">
        <w:rPr>
          <w:sz w:val="24"/>
          <w:szCs w:val="24"/>
        </w:rPr>
        <w:t xml:space="preserve">, </w:t>
      </w:r>
      <w:r w:rsidR="00256A55">
        <w:rPr>
          <w:sz w:val="24"/>
          <w:szCs w:val="24"/>
        </w:rPr>
        <w:t>14</w:t>
      </w:r>
      <w:r w:rsidR="00256A55">
        <w:rPr>
          <w:sz w:val="24"/>
          <w:szCs w:val="24"/>
        </w:rPr>
        <w:t xml:space="preserve"> </w:t>
      </w:r>
      <w:r>
        <w:rPr>
          <w:sz w:val="24"/>
          <w:szCs w:val="24"/>
        </w:rPr>
        <w:t>marca 201</w:t>
      </w:r>
      <w:r w:rsidR="00847E89">
        <w:rPr>
          <w:sz w:val="24"/>
          <w:szCs w:val="24"/>
        </w:rPr>
        <w:t xml:space="preserve">9 </w:t>
      </w:r>
      <w:r>
        <w:rPr>
          <w:sz w:val="24"/>
          <w:szCs w:val="24"/>
        </w:rPr>
        <w:t>r.</w:t>
      </w:r>
    </w:p>
    <w:p w:rsidR="00D3667F" w:rsidRDefault="00B90247" w:rsidP="00D3667F">
      <w:pPr>
        <w:ind w:right="4252"/>
        <w:jc w:val="center"/>
        <w:rPr>
          <w:b/>
        </w:rPr>
      </w:pPr>
      <w:r>
        <w:rPr>
          <w:noProof/>
        </w:rPr>
        <w:drawing>
          <wp:inline distT="0" distB="0" distL="0" distR="0" wp14:anchorId="0269CAB2" wp14:editId="2F91C9DC">
            <wp:extent cx="342900" cy="33528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335280"/>
                    </a:xfrm>
                    <a:prstGeom prst="rect">
                      <a:avLst/>
                    </a:prstGeom>
                    <a:noFill/>
                    <a:ln>
                      <a:noFill/>
                    </a:ln>
                  </pic:spPr>
                </pic:pic>
              </a:graphicData>
            </a:graphic>
          </wp:inline>
        </w:drawing>
      </w:r>
    </w:p>
    <w:p w:rsidR="00D3667F" w:rsidRDefault="00D3667F" w:rsidP="00D3667F">
      <w:pPr>
        <w:pStyle w:val="Legenda"/>
        <w:outlineLvl w:val="0"/>
        <w:rPr>
          <w:rFonts w:ascii="Times New Roman" w:hAnsi="Times New Roman"/>
          <w:szCs w:val="24"/>
        </w:rPr>
      </w:pPr>
      <w:r>
        <w:rPr>
          <w:rFonts w:ascii="Times New Roman" w:hAnsi="Times New Roman"/>
          <w:szCs w:val="24"/>
        </w:rPr>
        <w:t>Przewodniczący</w:t>
      </w:r>
    </w:p>
    <w:p w:rsidR="00D3667F" w:rsidRDefault="00D3667F" w:rsidP="00D3667F">
      <w:pPr>
        <w:ind w:right="4252"/>
        <w:jc w:val="center"/>
        <w:outlineLvl w:val="0"/>
      </w:pPr>
      <w:r>
        <w:rPr>
          <w:b/>
          <w:smallCaps/>
        </w:rPr>
        <w:t>Głównej Komisji Orzekającej</w:t>
      </w:r>
    </w:p>
    <w:p w:rsidR="00D3667F" w:rsidRDefault="00D3667F" w:rsidP="00D3667F">
      <w:pPr>
        <w:ind w:right="4252"/>
        <w:jc w:val="center"/>
        <w:outlineLvl w:val="0"/>
      </w:pPr>
      <w:r>
        <w:t xml:space="preserve">w Sprawach o Naruszenie Dyscypliny </w:t>
      </w:r>
    </w:p>
    <w:p w:rsidR="00D3667F" w:rsidRDefault="00D3667F" w:rsidP="00D3667F">
      <w:pPr>
        <w:ind w:right="4252"/>
        <w:jc w:val="center"/>
        <w:outlineLvl w:val="0"/>
      </w:pPr>
      <w:r>
        <w:t>Finansów Publicznych</w:t>
      </w:r>
    </w:p>
    <w:p w:rsidR="00D3667F" w:rsidRDefault="00D3667F" w:rsidP="00D3667F">
      <w:pPr>
        <w:ind w:right="4252"/>
        <w:jc w:val="center"/>
        <w:rPr>
          <w:b/>
        </w:rPr>
      </w:pPr>
    </w:p>
    <w:p w:rsidR="00D3667F" w:rsidRDefault="003D4FF4" w:rsidP="00D3667F">
      <w:pPr>
        <w:ind w:right="4252"/>
        <w:jc w:val="center"/>
        <w:rPr>
          <w:b/>
        </w:rPr>
      </w:pPr>
      <w:r>
        <w:rPr>
          <w:b/>
        </w:rPr>
        <w:t>BDF1.4812.1.201</w:t>
      </w:r>
      <w:r w:rsidR="00847E89">
        <w:rPr>
          <w:b/>
        </w:rPr>
        <w:t>9</w:t>
      </w:r>
    </w:p>
    <w:p w:rsidR="00D3667F" w:rsidRDefault="00D3667F" w:rsidP="00D3667F">
      <w:pPr>
        <w:pStyle w:val="Tekstpodstawowy21"/>
        <w:spacing w:line="360" w:lineRule="auto"/>
        <w:rPr>
          <w:b/>
          <w:sz w:val="24"/>
          <w:szCs w:val="24"/>
        </w:rPr>
      </w:pPr>
    </w:p>
    <w:p w:rsidR="00256A55" w:rsidRPr="00256A55" w:rsidRDefault="00256A55" w:rsidP="00256A55">
      <w:pPr>
        <w:pStyle w:val="Tekstpodstawowy21"/>
        <w:spacing w:after="0" w:line="360" w:lineRule="auto"/>
        <w:ind w:firstLine="5245"/>
        <w:jc w:val="center"/>
        <w:rPr>
          <w:sz w:val="24"/>
          <w:szCs w:val="24"/>
        </w:rPr>
      </w:pPr>
      <w:r w:rsidRPr="00256A55">
        <w:rPr>
          <w:sz w:val="24"/>
          <w:szCs w:val="24"/>
        </w:rPr>
        <w:t>MINISTER FINANSÓW</w:t>
      </w:r>
    </w:p>
    <w:p w:rsidR="00256A55" w:rsidRPr="00301831" w:rsidRDefault="00256A55" w:rsidP="00256A55">
      <w:pPr>
        <w:pStyle w:val="Tekstpodstawowy21"/>
        <w:spacing w:after="120" w:line="360" w:lineRule="auto"/>
        <w:ind w:firstLine="5245"/>
        <w:jc w:val="center"/>
        <w:rPr>
          <w:b/>
          <w:sz w:val="24"/>
          <w:szCs w:val="24"/>
        </w:rPr>
      </w:pPr>
      <w:r w:rsidRPr="00301831">
        <w:rPr>
          <w:b/>
          <w:sz w:val="24"/>
          <w:szCs w:val="24"/>
        </w:rPr>
        <w:t>dr hab. Teresa Czerwińska</w:t>
      </w:r>
    </w:p>
    <w:p w:rsidR="00BF227A" w:rsidRDefault="00135E0F" w:rsidP="00256A55">
      <w:pPr>
        <w:pStyle w:val="Tekstpodstawowy21"/>
        <w:spacing w:before="240" w:line="360" w:lineRule="auto"/>
        <w:ind w:firstLine="5245"/>
        <w:jc w:val="center"/>
        <w:rPr>
          <w:sz w:val="24"/>
          <w:szCs w:val="24"/>
        </w:rPr>
      </w:pPr>
      <w:r w:rsidRPr="00135E0F">
        <w:rPr>
          <w:sz w:val="24"/>
          <w:szCs w:val="24"/>
        </w:rPr>
        <w:t>ZATWIERDZAM</w:t>
      </w:r>
    </w:p>
    <w:p w:rsidR="00135E0F" w:rsidRPr="00135E0F" w:rsidRDefault="00135E0F" w:rsidP="004D4971">
      <w:pPr>
        <w:pStyle w:val="Tekstpodstawowy21"/>
        <w:spacing w:line="360" w:lineRule="auto"/>
        <w:rPr>
          <w:sz w:val="24"/>
          <w:szCs w:val="24"/>
        </w:rPr>
      </w:pPr>
    </w:p>
    <w:p w:rsidR="00D3667F" w:rsidRDefault="00D3667F" w:rsidP="00D3667F">
      <w:pPr>
        <w:pStyle w:val="Tekstpodstawowy21"/>
        <w:spacing w:line="360" w:lineRule="auto"/>
        <w:jc w:val="center"/>
        <w:rPr>
          <w:b/>
          <w:sz w:val="24"/>
          <w:szCs w:val="24"/>
        </w:rPr>
      </w:pPr>
      <w:r>
        <w:rPr>
          <w:b/>
          <w:sz w:val="24"/>
          <w:szCs w:val="24"/>
        </w:rPr>
        <w:t xml:space="preserve">Sprawozdanie </w:t>
      </w:r>
      <w:r>
        <w:rPr>
          <w:b/>
          <w:sz w:val="24"/>
          <w:szCs w:val="24"/>
        </w:rPr>
        <w:br/>
        <w:t>z działalności Głównej Komisji Orzekającej w Sprawach o Naruszenie Dyscypliny Finansów Publicznych</w:t>
      </w:r>
      <w:r>
        <w:rPr>
          <w:b/>
          <w:sz w:val="24"/>
          <w:szCs w:val="24"/>
        </w:rPr>
        <w:br/>
        <w:t xml:space="preserve">oraz zbiorcze sprawozdanie z działalności komisji orzekających </w:t>
      </w:r>
      <w:r>
        <w:rPr>
          <w:b/>
          <w:sz w:val="24"/>
          <w:szCs w:val="24"/>
        </w:rPr>
        <w:br/>
      </w:r>
      <w:r w:rsidRPr="00E939D5">
        <w:rPr>
          <w:b/>
          <w:sz w:val="24"/>
          <w:szCs w:val="24"/>
        </w:rPr>
        <w:t>pierwszej instancji w 201</w:t>
      </w:r>
      <w:r w:rsidR="00847E89">
        <w:rPr>
          <w:b/>
          <w:sz w:val="24"/>
          <w:szCs w:val="24"/>
        </w:rPr>
        <w:t>8</w:t>
      </w:r>
      <w:r w:rsidRPr="00E939D5">
        <w:rPr>
          <w:b/>
          <w:sz w:val="24"/>
          <w:szCs w:val="24"/>
        </w:rPr>
        <w:t> r.</w:t>
      </w:r>
    </w:p>
    <w:p w:rsidR="00D3667F" w:rsidRDefault="00D3667F" w:rsidP="00D3667F">
      <w:pPr>
        <w:pStyle w:val="Tekstpodstawowy21"/>
        <w:spacing w:line="360" w:lineRule="auto"/>
        <w:jc w:val="center"/>
        <w:rPr>
          <w:b/>
          <w:sz w:val="24"/>
          <w:szCs w:val="24"/>
        </w:rPr>
      </w:pPr>
    </w:p>
    <w:p w:rsidR="00D3667F" w:rsidRPr="00E6719F" w:rsidRDefault="00D3667F" w:rsidP="00E6719F">
      <w:pPr>
        <w:pStyle w:val="akapit"/>
        <w:spacing w:line="360" w:lineRule="atLeast"/>
        <w:jc w:val="both"/>
        <w:rPr>
          <w:rFonts w:ascii="Times New Roman" w:hAnsi="Times New Roman"/>
          <w:b w:val="0"/>
          <w:bCs/>
          <w:sz w:val="24"/>
          <w:szCs w:val="24"/>
        </w:rPr>
      </w:pPr>
      <w:r w:rsidRPr="00E6719F">
        <w:rPr>
          <w:rFonts w:ascii="Times New Roman" w:hAnsi="Times New Roman"/>
          <w:b w:val="0"/>
          <w:bCs/>
          <w:sz w:val="24"/>
          <w:szCs w:val="24"/>
        </w:rPr>
        <w:t>Wykonując dyspozycję art. 192 ust. 2 ustawy z dnia 17 grudnia 2004</w:t>
      </w:r>
      <w:r w:rsidR="00301831">
        <w:rPr>
          <w:rFonts w:ascii="Times New Roman" w:hAnsi="Times New Roman"/>
          <w:b w:val="0"/>
          <w:bCs/>
          <w:sz w:val="24"/>
          <w:szCs w:val="24"/>
        </w:rPr>
        <w:t xml:space="preserve"> r. o </w:t>
      </w:r>
      <w:r w:rsidRPr="00E6719F">
        <w:rPr>
          <w:rFonts w:ascii="Times New Roman" w:hAnsi="Times New Roman"/>
          <w:b w:val="0"/>
          <w:bCs/>
          <w:sz w:val="24"/>
          <w:szCs w:val="24"/>
        </w:rPr>
        <w:t xml:space="preserve">odpowiedzialności za naruszenie dyscypliny finansów publicznych </w:t>
      </w:r>
      <w:r w:rsidR="00300371" w:rsidRPr="00300371">
        <w:rPr>
          <w:rFonts w:ascii="Times New Roman" w:hAnsi="Times New Roman"/>
          <w:b w:val="0"/>
          <w:bCs/>
          <w:sz w:val="24"/>
          <w:szCs w:val="24"/>
        </w:rPr>
        <w:t>(Dz. U. z 201</w:t>
      </w:r>
      <w:r w:rsidR="008B72A7">
        <w:rPr>
          <w:rFonts w:ascii="Times New Roman" w:hAnsi="Times New Roman"/>
          <w:b w:val="0"/>
          <w:bCs/>
          <w:sz w:val="24"/>
          <w:szCs w:val="24"/>
        </w:rPr>
        <w:t>8</w:t>
      </w:r>
      <w:r w:rsidR="00300371" w:rsidRPr="00300371">
        <w:rPr>
          <w:rFonts w:ascii="Times New Roman" w:hAnsi="Times New Roman"/>
          <w:b w:val="0"/>
          <w:bCs/>
          <w:sz w:val="24"/>
          <w:szCs w:val="24"/>
        </w:rPr>
        <w:t xml:space="preserve"> r. poz. 1</w:t>
      </w:r>
      <w:r w:rsidR="008B72A7" w:rsidRPr="008B72A7">
        <w:rPr>
          <w:rFonts w:ascii="Times New Roman" w:hAnsi="Times New Roman"/>
          <w:b w:val="0"/>
          <w:bCs/>
          <w:sz w:val="24"/>
          <w:szCs w:val="24"/>
        </w:rPr>
        <w:t>1458</w:t>
      </w:r>
      <w:r w:rsidR="00300371" w:rsidRPr="00300371">
        <w:rPr>
          <w:rFonts w:ascii="Times New Roman" w:hAnsi="Times New Roman"/>
          <w:b w:val="0"/>
          <w:bCs/>
          <w:sz w:val="24"/>
          <w:szCs w:val="24"/>
        </w:rPr>
        <w:t xml:space="preserve"> z późn. zm.)</w:t>
      </w:r>
      <w:r w:rsidRPr="00E6719F">
        <w:rPr>
          <w:rFonts w:ascii="Times New Roman" w:hAnsi="Times New Roman"/>
          <w:b w:val="0"/>
          <w:bCs/>
          <w:sz w:val="24"/>
          <w:szCs w:val="24"/>
        </w:rPr>
        <w:t>, przedkładam sprawozdanie z działalnośc</w:t>
      </w:r>
      <w:r w:rsidR="00301831">
        <w:rPr>
          <w:rFonts w:ascii="Times New Roman" w:hAnsi="Times New Roman"/>
          <w:b w:val="0"/>
          <w:bCs/>
          <w:sz w:val="24"/>
          <w:szCs w:val="24"/>
        </w:rPr>
        <w:t xml:space="preserve">i Głównej Komisji Orzekającej w </w:t>
      </w:r>
      <w:r w:rsidRPr="00E6719F">
        <w:rPr>
          <w:rFonts w:ascii="Times New Roman" w:hAnsi="Times New Roman"/>
          <w:b w:val="0"/>
          <w:bCs/>
          <w:sz w:val="24"/>
          <w:szCs w:val="24"/>
        </w:rPr>
        <w:t>Sprawach o</w:t>
      </w:r>
      <w:r w:rsidR="00BE1CAA">
        <w:rPr>
          <w:rFonts w:ascii="Times New Roman" w:hAnsi="Times New Roman"/>
          <w:b w:val="0"/>
          <w:bCs/>
          <w:sz w:val="24"/>
          <w:szCs w:val="24"/>
        </w:rPr>
        <w:t> </w:t>
      </w:r>
      <w:r w:rsidRPr="00E6719F">
        <w:rPr>
          <w:rFonts w:ascii="Times New Roman" w:hAnsi="Times New Roman"/>
          <w:b w:val="0"/>
          <w:bCs/>
          <w:sz w:val="24"/>
          <w:szCs w:val="24"/>
        </w:rPr>
        <w:t>Naruszenie Dyscypliny Finansów Publicznych oraz</w:t>
      </w:r>
      <w:r w:rsidR="00301831">
        <w:rPr>
          <w:rFonts w:ascii="Times New Roman" w:hAnsi="Times New Roman"/>
          <w:b w:val="0"/>
          <w:bCs/>
          <w:sz w:val="24"/>
          <w:szCs w:val="24"/>
        </w:rPr>
        <w:t xml:space="preserve"> zbiorcze sprawozdanie z </w:t>
      </w:r>
      <w:r w:rsidRPr="00E6719F">
        <w:rPr>
          <w:rFonts w:ascii="Times New Roman" w:hAnsi="Times New Roman"/>
          <w:b w:val="0"/>
          <w:bCs/>
          <w:sz w:val="24"/>
          <w:szCs w:val="24"/>
        </w:rPr>
        <w:t>działalności komisji orzekających w sprawach o naruszenie dyscypliny finansów publicznych pierwszej instancji w roku 201</w:t>
      </w:r>
      <w:r w:rsidR="00847E89">
        <w:rPr>
          <w:rFonts w:ascii="Times New Roman" w:hAnsi="Times New Roman"/>
          <w:b w:val="0"/>
          <w:bCs/>
          <w:sz w:val="24"/>
          <w:szCs w:val="24"/>
        </w:rPr>
        <w:t>8</w:t>
      </w:r>
      <w:r w:rsidRPr="00E6719F">
        <w:rPr>
          <w:rFonts w:ascii="Times New Roman" w:hAnsi="Times New Roman"/>
          <w:b w:val="0"/>
          <w:bCs/>
          <w:sz w:val="24"/>
          <w:szCs w:val="24"/>
        </w:rPr>
        <w:t>, z</w:t>
      </w:r>
      <w:r w:rsidR="00E6719F">
        <w:rPr>
          <w:rFonts w:ascii="Times New Roman" w:hAnsi="Times New Roman"/>
          <w:b w:val="0"/>
          <w:bCs/>
          <w:sz w:val="24"/>
          <w:szCs w:val="24"/>
        </w:rPr>
        <w:t xml:space="preserve"> uprzejmą</w:t>
      </w:r>
      <w:r w:rsidRPr="00E6719F">
        <w:rPr>
          <w:rFonts w:ascii="Times New Roman" w:hAnsi="Times New Roman"/>
          <w:b w:val="0"/>
          <w:bCs/>
          <w:sz w:val="24"/>
          <w:szCs w:val="24"/>
        </w:rPr>
        <w:t xml:space="preserve"> prośbą o zatwierdzenie.</w:t>
      </w:r>
    </w:p>
    <w:p w:rsidR="00301831" w:rsidRDefault="00301831" w:rsidP="00301831">
      <w:pPr>
        <w:pStyle w:val="Tekstpodstawowy21"/>
        <w:spacing w:after="60"/>
        <w:ind w:firstLine="4678"/>
        <w:jc w:val="center"/>
        <w:outlineLvl w:val="0"/>
        <w:rPr>
          <w:sz w:val="24"/>
          <w:szCs w:val="24"/>
        </w:rPr>
      </w:pPr>
    </w:p>
    <w:p w:rsidR="00301831" w:rsidRDefault="00301831" w:rsidP="00301831">
      <w:pPr>
        <w:pStyle w:val="Tekstpodstawowy21"/>
        <w:spacing w:after="60"/>
        <w:ind w:firstLine="4678"/>
        <w:jc w:val="center"/>
        <w:outlineLvl w:val="0"/>
        <w:rPr>
          <w:sz w:val="24"/>
          <w:szCs w:val="24"/>
        </w:rPr>
      </w:pPr>
    </w:p>
    <w:p w:rsidR="00301831" w:rsidRPr="00301831" w:rsidRDefault="00301831" w:rsidP="00301831">
      <w:pPr>
        <w:pStyle w:val="Tekstpodstawowy21"/>
        <w:spacing w:after="60"/>
        <w:ind w:firstLine="4678"/>
        <w:jc w:val="center"/>
        <w:outlineLvl w:val="0"/>
        <w:rPr>
          <w:sz w:val="24"/>
          <w:szCs w:val="24"/>
        </w:rPr>
      </w:pPr>
      <w:r w:rsidRPr="00301831">
        <w:rPr>
          <w:sz w:val="24"/>
          <w:szCs w:val="24"/>
        </w:rPr>
        <w:t xml:space="preserve">PRZEWODNICZĄCY </w:t>
      </w:r>
    </w:p>
    <w:p w:rsidR="00D3667F" w:rsidRPr="00301831" w:rsidRDefault="00301831" w:rsidP="00301831">
      <w:pPr>
        <w:pStyle w:val="Tekstpodstawowy21"/>
        <w:spacing w:after="60"/>
        <w:ind w:firstLine="4536"/>
        <w:jc w:val="center"/>
        <w:outlineLvl w:val="0"/>
        <w:rPr>
          <w:sz w:val="24"/>
          <w:szCs w:val="24"/>
        </w:rPr>
      </w:pPr>
      <w:r w:rsidRPr="00301831">
        <w:rPr>
          <w:sz w:val="24"/>
          <w:szCs w:val="24"/>
        </w:rPr>
        <w:t>GŁÓWNEJ KOMISJI ORZEKAJĄCEJ</w:t>
      </w:r>
    </w:p>
    <w:p w:rsidR="003124DF" w:rsidRPr="00301831" w:rsidRDefault="00301831" w:rsidP="00301831">
      <w:pPr>
        <w:pStyle w:val="Tekstpodstawowy21"/>
        <w:spacing w:before="120" w:after="60"/>
        <w:ind w:firstLine="4536"/>
        <w:jc w:val="center"/>
        <w:outlineLvl w:val="0"/>
        <w:rPr>
          <w:b/>
          <w:sz w:val="24"/>
          <w:szCs w:val="24"/>
        </w:rPr>
      </w:pPr>
      <w:r w:rsidRPr="00301831">
        <w:rPr>
          <w:b/>
          <w:sz w:val="24"/>
          <w:szCs w:val="24"/>
        </w:rPr>
        <w:t>Mariusz Jerzy Golecki</w:t>
      </w:r>
      <w:bookmarkStart w:id="0" w:name="_GoBack"/>
      <w:bookmarkEnd w:id="0"/>
    </w:p>
    <w:p w:rsidR="00301831" w:rsidRDefault="00301831" w:rsidP="00301831">
      <w:pPr>
        <w:pStyle w:val="Tekstpodstawowy21"/>
        <w:spacing w:before="120" w:after="120" w:line="360" w:lineRule="auto"/>
        <w:outlineLvl w:val="0"/>
        <w:rPr>
          <w:sz w:val="24"/>
          <w:szCs w:val="24"/>
        </w:rPr>
      </w:pPr>
    </w:p>
    <w:p w:rsidR="00301831" w:rsidRDefault="00301831" w:rsidP="00301831">
      <w:pPr>
        <w:pStyle w:val="Tekstpodstawowy21"/>
        <w:spacing w:before="120" w:after="120" w:line="360" w:lineRule="auto"/>
        <w:outlineLvl w:val="0"/>
        <w:rPr>
          <w:sz w:val="24"/>
          <w:szCs w:val="24"/>
        </w:rPr>
      </w:pPr>
    </w:p>
    <w:p w:rsidR="00301831" w:rsidRDefault="00301831" w:rsidP="00301831">
      <w:pPr>
        <w:pStyle w:val="Tekstpodstawowy21"/>
        <w:spacing w:before="120" w:after="120" w:line="360" w:lineRule="auto"/>
        <w:outlineLvl w:val="0"/>
        <w:rPr>
          <w:sz w:val="24"/>
          <w:szCs w:val="24"/>
        </w:rPr>
      </w:pPr>
    </w:p>
    <w:p w:rsidR="00301831" w:rsidRDefault="00301831" w:rsidP="00301831">
      <w:pPr>
        <w:pStyle w:val="Tekstpodstawowy21"/>
        <w:spacing w:before="120" w:after="120" w:line="360" w:lineRule="auto"/>
        <w:outlineLvl w:val="0"/>
        <w:rPr>
          <w:b/>
          <w:sz w:val="24"/>
          <w:szCs w:val="24"/>
        </w:rPr>
        <w:sectPr w:rsidR="00301831" w:rsidSect="003124DF">
          <w:headerReference w:type="even" r:id="rId12"/>
          <w:headerReference w:type="default" r:id="rId13"/>
          <w:footerReference w:type="default" r:id="rId14"/>
          <w:headerReference w:type="first" r:id="rId15"/>
          <w:footerReference w:type="first" r:id="rId16"/>
          <w:pgSz w:w="11907" w:h="16840" w:code="9"/>
          <w:pgMar w:top="1089" w:right="1418" w:bottom="953" w:left="1418" w:header="709" w:footer="709" w:gutter="0"/>
          <w:cols w:space="708"/>
          <w:titlePg/>
        </w:sectPr>
      </w:pPr>
    </w:p>
    <w:p w:rsidR="00D3667F" w:rsidRPr="00C93E12" w:rsidRDefault="00D3667F" w:rsidP="00417AF1">
      <w:pPr>
        <w:pStyle w:val="Tekstpodstawowy21"/>
        <w:spacing w:before="120" w:after="120" w:line="360" w:lineRule="auto"/>
        <w:jc w:val="center"/>
        <w:outlineLvl w:val="0"/>
        <w:rPr>
          <w:b/>
        </w:rPr>
      </w:pPr>
      <w:r w:rsidRPr="00C93E12">
        <w:rPr>
          <w:b/>
        </w:rPr>
        <w:lastRenderedPageBreak/>
        <w:t>I</w:t>
      </w:r>
    </w:p>
    <w:p w:rsidR="00D3667F" w:rsidRPr="00C93E12" w:rsidRDefault="00D3667F" w:rsidP="00BE13C3">
      <w:pPr>
        <w:pStyle w:val="Tekstpodstawowy21"/>
        <w:spacing w:before="480" w:after="480" w:line="360" w:lineRule="auto"/>
        <w:jc w:val="center"/>
        <w:rPr>
          <w:b/>
          <w:sz w:val="24"/>
          <w:szCs w:val="24"/>
        </w:rPr>
      </w:pPr>
      <w:r w:rsidRPr="00C93E12">
        <w:rPr>
          <w:b/>
          <w:sz w:val="24"/>
          <w:szCs w:val="24"/>
        </w:rPr>
        <w:t xml:space="preserve">Działalność </w:t>
      </w:r>
      <w:r w:rsidR="00C93E12">
        <w:rPr>
          <w:b/>
          <w:sz w:val="24"/>
          <w:szCs w:val="24"/>
        </w:rPr>
        <w:br/>
      </w:r>
      <w:r w:rsidRPr="00C93E12">
        <w:rPr>
          <w:b/>
          <w:sz w:val="24"/>
          <w:szCs w:val="24"/>
        </w:rPr>
        <w:t xml:space="preserve">Głównej Komisji Orzekającej </w:t>
      </w:r>
      <w:r w:rsidR="00C93E12">
        <w:rPr>
          <w:b/>
          <w:sz w:val="24"/>
          <w:szCs w:val="24"/>
        </w:rPr>
        <w:br/>
      </w:r>
      <w:r w:rsidRPr="00C93E12">
        <w:rPr>
          <w:b/>
          <w:sz w:val="24"/>
          <w:szCs w:val="24"/>
        </w:rPr>
        <w:t xml:space="preserve">w Sprawach o Naruszenie Dyscypliny Finansów Publicznych </w:t>
      </w:r>
      <w:r w:rsidR="00C93E12">
        <w:rPr>
          <w:b/>
          <w:sz w:val="24"/>
          <w:szCs w:val="24"/>
        </w:rPr>
        <w:br/>
      </w:r>
      <w:r w:rsidRPr="00C93E12">
        <w:rPr>
          <w:b/>
          <w:sz w:val="24"/>
          <w:szCs w:val="24"/>
        </w:rPr>
        <w:t>w 201</w:t>
      </w:r>
      <w:r w:rsidR="00847E89">
        <w:rPr>
          <w:b/>
          <w:sz w:val="24"/>
          <w:szCs w:val="24"/>
        </w:rPr>
        <w:t>8</w:t>
      </w:r>
      <w:r w:rsidRPr="00C93E12">
        <w:rPr>
          <w:b/>
          <w:sz w:val="24"/>
          <w:szCs w:val="24"/>
        </w:rPr>
        <w:t xml:space="preserve"> r.</w:t>
      </w:r>
    </w:p>
    <w:p w:rsidR="00812C01" w:rsidRDefault="00812C01" w:rsidP="00B009AD">
      <w:pPr>
        <w:pStyle w:val="Tekstpodstawowy"/>
        <w:numPr>
          <w:ilvl w:val="1"/>
          <w:numId w:val="9"/>
        </w:numPr>
        <w:tabs>
          <w:tab w:val="clear" w:pos="1786"/>
          <w:tab w:val="num" w:pos="284"/>
        </w:tabs>
        <w:spacing w:after="120" w:line="360" w:lineRule="auto"/>
        <w:ind w:left="499" w:hanging="499"/>
        <w:rPr>
          <w:b/>
        </w:rPr>
      </w:pPr>
      <w:r>
        <w:rPr>
          <w:b/>
        </w:rPr>
        <w:t>Informacje podstawowe</w:t>
      </w:r>
    </w:p>
    <w:p w:rsidR="00812C01" w:rsidRDefault="00D3667F" w:rsidP="00BA1D31">
      <w:pPr>
        <w:pStyle w:val="akapit"/>
        <w:numPr>
          <w:ilvl w:val="0"/>
          <w:numId w:val="30"/>
        </w:numPr>
        <w:tabs>
          <w:tab w:val="clear" w:pos="720"/>
          <w:tab w:val="num" w:pos="0"/>
        </w:tabs>
        <w:spacing w:line="360" w:lineRule="auto"/>
        <w:ind w:left="295" w:hanging="357"/>
        <w:jc w:val="both"/>
        <w:rPr>
          <w:rFonts w:ascii="Times New Roman" w:hAnsi="Times New Roman"/>
          <w:b w:val="0"/>
          <w:bCs/>
          <w:sz w:val="24"/>
          <w:szCs w:val="24"/>
        </w:rPr>
      </w:pPr>
      <w:r>
        <w:rPr>
          <w:rFonts w:ascii="Times New Roman" w:hAnsi="Times New Roman"/>
          <w:b w:val="0"/>
          <w:bCs/>
          <w:sz w:val="24"/>
          <w:szCs w:val="24"/>
        </w:rPr>
        <w:t>Główna Komisja Orzekająca w Sprawach o Naruszenie Dyscypliny Finansów Publicznych (</w:t>
      </w:r>
      <w:r w:rsidR="00417AF1">
        <w:rPr>
          <w:rFonts w:ascii="Times New Roman" w:hAnsi="Times New Roman"/>
          <w:b w:val="0"/>
          <w:bCs/>
          <w:sz w:val="24"/>
          <w:szCs w:val="24"/>
        </w:rPr>
        <w:t xml:space="preserve">zwana </w:t>
      </w:r>
      <w:r>
        <w:rPr>
          <w:rFonts w:ascii="Times New Roman" w:hAnsi="Times New Roman"/>
          <w:b w:val="0"/>
          <w:bCs/>
          <w:sz w:val="24"/>
          <w:szCs w:val="24"/>
        </w:rPr>
        <w:t xml:space="preserve">dalej GKO) jest organem drugiej instancji orzekającym w sprawach o naruszenie dyscypliny finansów </w:t>
      </w:r>
      <w:r w:rsidRPr="00E939D5">
        <w:rPr>
          <w:rFonts w:ascii="Times New Roman" w:hAnsi="Times New Roman"/>
          <w:b w:val="0"/>
          <w:bCs/>
          <w:sz w:val="24"/>
          <w:szCs w:val="24"/>
        </w:rPr>
        <w:t xml:space="preserve">publicznych (art. 42 ust. 2 </w:t>
      </w:r>
      <w:r w:rsidRPr="0097154B">
        <w:rPr>
          <w:rFonts w:ascii="Times New Roman" w:hAnsi="Times New Roman"/>
          <w:b w:val="0"/>
          <w:bCs/>
          <w:sz w:val="24"/>
          <w:szCs w:val="24"/>
        </w:rPr>
        <w:t xml:space="preserve">ustawy z </w:t>
      </w:r>
      <w:r w:rsidR="000F26C3">
        <w:rPr>
          <w:rFonts w:ascii="Times New Roman" w:hAnsi="Times New Roman"/>
          <w:b w:val="0"/>
          <w:bCs/>
          <w:sz w:val="24"/>
          <w:szCs w:val="24"/>
        </w:rPr>
        <w:t>dnia 17 grudnia 2004 r. o </w:t>
      </w:r>
      <w:r w:rsidRPr="0097154B">
        <w:rPr>
          <w:rFonts w:ascii="Times New Roman" w:hAnsi="Times New Roman"/>
          <w:b w:val="0"/>
          <w:bCs/>
          <w:sz w:val="24"/>
          <w:szCs w:val="24"/>
        </w:rPr>
        <w:t xml:space="preserve">odpowiedzialności za naruszenie dyscypliny finansów publicznych - </w:t>
      </w:r>
      <w:r w:rsidR="00300371" w:rsidRPr="00300371">
        <w:rPr>
          <w:rFonts w:ascii="Times New Roman" w:hAnsi="Times New Roman"/>
          <w:b w:val="0"/>
          <w:bCs/>
          <w:sz w:val="24"/>
          <w:szCs w:val="24"/>
        </w:rPr>
        <w:t>Dz. U. z 201</w:t>
      </w:r>
      <w:r w:rsidR="00896FF4">
        <w:rPr>
          <w:rFonts w:ascii="Times New Roman" w:hAnsi="Times New Roman"/>
          <w:b w:val="0"/>
          <w:bCs/>
          <w:sz w:val="24"/>
          <w:szCs w:val="24"/>
        </w:rPr>
        <w:t>8 </w:t>
      </w:r>
      <w:r w:rsidR="00300371" w:rsidRPr="00300371">
        <w:rPr>
          <w:rFonts w:ascii="Times New Roman" w:hAnsi="Times New Roman"/>
          <w:b w:val="0"/>
          <w:bCs/>
          <w:sz w:val="24"/>
          <w:szCs w:val="24"/>
        </w:rPr>
        <w:t>r. poz.</w:t>
      </w:r>
      <w:r w:rsidR="00896FF4">
        <w:rPr>
          <w:rFonts w:ascii="Times New Roman" w:hAnsi="Times New Roman"/>
          <w:b w:val="0"/>
          <w:bCs/>
          <w:sz w:val="24"/>
          <w:szCs w:val="24"/>
        </w:rPr>
        <w:t> 1458</w:t>
      </w:r>
      <w:r w:rsidR="00181478">
        <w:rPr>
          <w:rFonts w:ascii="Times New Roman" w:hAnsi="Times New Roman"/>
          <w:b w:val="0"/>
          <w:bCs/>
          <w:sz w:val="24"/>
          <w:szCs w:val="24"/>
        </w:rPr>
        <w:t xml:space="preserve"> z późn. zm.</w:t>
      </w:r>
      <w:r w:rsidR="00300371" w:rsidRPr="00300371">
        <w:rPr>
          <w:rFonts w:ascii="Times New Roman" w:hAnsi="Times New Roman"/>
          <w:b w:val="0"/>
          <w:bCs/>
          <w:sz w:val="24"/>
          <w:szCs w:val="24"/>
        </w:rPr>
        <w:t xml:space="preserve"> </w:t>
      </w:r>
      <w:r w:rsidR="00896FF4">
        <w:rPr>
          <w:rFonts w:ascii="Times New Roman" w:hAnsi="Times New Roman"/>
          <w:b w:val="0"/>
          <w:bCs/>
          <w:sz w:val="24"/>
          <w:szCs w:val="24"/>
        </w:rPr>
        <w:t>–</w:t>
      </w:r>
      <w:r w:rsidRPr="0097154B">
        <w:rPr>
          <w:rFonts w:ascii="Times New Roman" w:hAnsi="Times New Roman"/>
          <w:b w:val="0"/>
          <w:bCs/>
          <w:sz w:val="24"/>
          <w:szCs w:val="24"/>
        </w:rPr>
        <w:t xml:space="preserve"> zwanej dalej </w:t>
      </w:r>
      <w:r w:rsidR="0061001C">
        <w:rPr>
          <w:rFonts w:ascii="Times New Roman" w:hAnsi="Times New Roman"/>
          <w:b w:val="0"/>
          <w:bCs/>
          <w:sz w:val="24"/>
          <w:szCs w:val="24"/>
        </w:rPr>
        <w:t xml:space="preserve">także </w:t>
      </w:r>
      <w:r w:rsidRPr="0097154B">
        <w:rPr>
          <w:rFonts w:ascii="Times New Roman" w:hAnsi="Times New Roman"/>
          <w:b w:val="0"/>
          <w:bCs/>
          <w:sz w:val="24"/>
          <w:szCs w:val="24"/>
        </w:rPr>
        <w:t>uondfp).</w:t>
      </w:r>
    </w:p>
    <w:p w:rsidR="00812C01" w:rsidRDefault="00D3667F" w:rsidP="00BA1D31">
      <w:pPr>
        <w:pStyle w:val="akapit"/>
        <w:numPr>
          <w:ilvl w:val="0"/>
          <w:numId w:val="30"/>
        </w:numPr>
        <w:tabs>
          <w:tab w:val="clear" w:pos="720"/>
          <w:tab w:val="num" w:pos="0"/>
        </w:tabs>
        <w:spacing w:line="360" w:lineRule="auto"/>
        <w:ind w:left="300"/>
        <w:jc w:val="both"/>
        <w:rPr>
          <w:rFonts w:ascii="Times New Roman" w:hAnsi="Times New Roman"/>
          <w:b w:val="0"/>
          <w:bCs/>
          <w:sz w:val="24"/>
          <w:szCs w:val="24"/>
        </w:rPr>
      </w:pPr>
      <w:r w:rsidRPr="0097154B">
        <w:rPr>
          <w:rFonts w:ascii="Times New Roman" w:hAnsi="Times New Roman"/>
          <w:b w:val="0"/>
          <w:bCs/>
          <w:sz w:val="24"/>
          <w:szCs w:val="24"/>
        </w:rPr>
        <w:t xml:space="preserve"> </w:t>
      </w:r>
      <w:r w:rsidR="00812C01">
        <w:rPr>
          <w:rFonts w:ascii="Times New Roman" w:hAnsi="Times New Roman"/>
          <w:b w:val="0"/>
          <w:bCs/>
          <w:sz w:val="24"/>
          <w:szCs w:val="24"/>
        </w:rPr>
        <w:t>GKO r</w:t>
      </w:r>
      <w:r w:rsidRPr="0097154B">
        <w:rPr>
          <w:rFonts w:ascii="Times New Roman" w:hAnsi="Times New Roman"/>
          <w:b w:val="0"/>
          <w:bCs/>
          <w:sz w:val="24"/>
          <w:szCs w:val="24"/>
        </w:rPr>
        <w:t>ozpoznaje środki</w:t>
      </w:r>
      <w:r w:rsidRPr="00E939D5">
        <w:rPr>
          <w:rFonts w:ascii="Times New Roman" w:hAnsi="Times New Roman"/>
          <w:b w:val="0"/>
          <w:bCs/>
          <w:sz w:val="24"/>
          <w:szCs w:val="24"/>
        </w:rPr>
        <w:t xml:space="preserve"> zaskarżenia, </w:t>
      </w:r>
      <w:r w:rsidR="00C81745">
        <w:rPr>
          <w:rFonts w:ascii="Times New Roman" w:hAnsi="Times New Roman"/>
          <w:b w:val="0"/>
          <w:bCs/>
          <w:sz w:val="24"/>
          <w:szCs w:val="24"/>
        </w:rPr>
        <w:t>w szczególności</w:t>
      </w:r>
      <w:r w:rsidRPr="00E939D5">
        <w:rPr>
          <w:rFonts w:ascii="Times New Roman" w:hAnsi="Times New Roman"/>
          <w:b w:val="0"/>
          <w:bCs/>
          <w:sz w:val="24"/>
          <w:szCs w:val="24"/>
        </w:rPr>
        <w:t xml:space="preserve"> odwołania od orzeczeń i zażalenia na postanowienia wydane przez komisje orzekające w sprawach o naruszenie dyscypliny finansów publicznych, wniesione przez strony za pośrednictwem komisji orzekającej, która wydała zaskarżane rozstrzygnięcie (art. 138 ust. 1 uondfp). GKO jest również organem właściwym do stwierdzenia nieważności prawomocnego postanowienia lub orzeczenia wydanego przez komisję orzekającą w sprawie o</w:t>
      </w:r>
      <w:r>
        <w:rPr>
          <w:rFonts w:ascii="Times New Roman" w:hAnsi="Times New Roman"/>
          <w:b w:val="0"/>
          <w:bCs/>
          <w:sz w:val="24"/>
          <w:szCs w:val="24"/>
        </w:rPr>
        <w:t xml:space="preserve"> naruszenie dyscypliny finansów publicznych </w:t>
      </w:r>
      <w:r w:rsidRPr="00E939D5">
        <w:rPr>
          <w:rFonts w:ascii="Times New Roman" w:hAnsi="Times New Roman"/>
          <w:b w:val="0"/>
          <w:bCs/>
          <w:sz w:val="24"/>
          <w:szCs w:val="24"/>
        </w:rPr>
        <w:t>a</w:t>
      </w:r>
      <w:r>
        <w:rPr>
          <w:rFonts w:ascii="Times New Roman" w:hAnsi="Times New Roman"/>
          <w:b w:val="0"/>
          <w:bCs/>
          <w:sz w:val="24"/>
          <w:szCs w:val="24"/>
        </w:rPr>
        <w:t xml:space="preserve"> także rozstrzyga w przedmiocie wznowienia postępowania zakończonego prawomocnym postanowieniem lub orzeczeniem wydanym przez komisję orzekającą w</w:t>
      </w:r>
      <w:r w:rsidR="00BE1CAA">
        <w:rPr>
          <w:rFonts w:ascii="Times New Roman" w:hAnsi="Times New Roman"/>
          <w:b w:val="0"/>
          <w:bCs/>
          <w:sz w:val="24"/>
          <w:szCs w:val="24"/>
        </w:rPr>
        <w:t> </w:t>
      </w:r>
      <w:r>
        <w:rPr>
          <w:rFonts w:ascii="Times New Roman" w:hAnsi="Times New Roman"/>
          <w:b w:val="0"/>
          <w:bCs/>
          <w:sz w:val="24"/>
          <w:szCs w:val="24"/>
        </w:rPr>
        <w:t>sprawie o naruszenie dyscypliny finansów publicznych (art. 157 i 163 ust. 3 uondfp).</w:t>
      </w:r>
    </w:p>
    <w:p w:rsidR="00812C01" w:rsidRDefault="00D3667F" w:rsidP="00BA1D31">
      <w:pPr>
        <w:pStyle w:val="akapit"/>
        <w:numPr>
          <w:ilvl w:val="0"/>
          <w:numId w:val="30"/>
        </w:numPr>
        <w:tabs>
          <w:tab w:val="clear" w:pos="720"/>
          <w:tab w:val="num" w:pos="0"/>
        </w:tabs>
        <w:spacing w:line="360" w:lineRule="auto"/>
        <w:ind w:left="300"/>
        <w:jc w:val="both"/>
        <w:rPr>
          <w:rFonts w:ascii="Times New Roman" w:hAnsi="Times New Roman"/>
          <w:b w:val="0"/>
          <w:bCs/>
          <w:sz w:val="24"/>
          <w:szCs w:val="24"/>
        </w:rPr>
      </w:pPr>
      <w:r>
        <w:rPr>
          <w:rFonts w:ascii="Times New Roman" w:hAnsi="Times New Roman"/>
          <w:b w:val="0"/>
          <w:bCs/>
          <w:sz w:val="24"/>
          <w:szCs w:val="24"/>
        </w:rPr>
        <w:t xml:space="preserve">Przewodniczący </w:t>
      </w:r>
      <w:r w:rsidRPr="00E939D5">
        <w:rPr>
          <w:rFonts w:ascii="Times New Roman" w:hAnsi="Times New Roman"/>
          <w:b w:val="0"/>
          <w:bCs/>
          <w:sz w:val="24"/>
          <w:szCs w:val="24"/>
        </w:rPr>
        <w:t>GKO rozpatruje zażalenia na zarządzenia</w:t>
      </w:r>
      <w:r>
        <w:rPr>
          <w:rFonts w:ascii="Times New Roman" w:hAnsi="Times New Roman"/>
          <w:b w:val="0"/>
          <w:bCs/>
          <w:sz w:val="24"/>
          <w:szCs w:val="24"/>
        </w:rPr>
        <w:t xml:space="preserve"> przewodniczących komisji orzekających, określa właściwość komisji w sprawach spornych oraz sprawuje nadzór nad działalnością administracyjną komisji orzekających w sprawach o naruszenie dyscypliny finansów publicznych (art. 138 ust. 1, art. 81 ust. 2 – 4, art. 194 i 195 uondfp). </w:t>
      </w:r>
      <w:r w:rsidR="0094156F">
        <w:rPr>
          <w:rFonts w:ascii="Times New Roman" w:hAnsi="Times New Roman"/>
          <w:b w:val="0"/>
          <w:bCs/>
          <w:sz w:val="24"/>
          <w:szCs w:val="24"/>
        </w:rPr>
        <w:t xml:space="preserve">Przewodniczący </w:t>
      </w:r>
      <w:r w:rsidR="0094156F" w:rsidRPr="00E939D5">
        <w:rPr>
          <w:rFonts w:ascii="Times New Roman" w:hAnsi="Times New Roman"/>
          <w:b w:val="0"/>
          <w:bCs/>
          <w:sz w:val="24"/>
          <w:szCs w:val="24"/>
        </w:rPr>
        <w:t>GKO</w:t>
      </w:r>
      <w:r w:rsidR="0094156F">
        <w:rPr>
          <w:rFonts w:ascii="Times New Roman" w:hAnsi="Times New Roman"/>
          <w:b w:val="0"/>
          <w:bCs/>
          <w:sz w:val="24"/>
          <w:szCs w:val="24"/>
        </w:rPr>
        <w:t xml:space="preserve"> kieruje pracą tej komisji.</w:t>
      </w:r>
    </w:p>
    <w:p w:rsidR="00D3667F" w:rsidRDefault="00D3667F" w:rsidP="00BA1D31">
      <w:pPr>
        <w:pStyle w:val="akapit"/>
        <w:numPr>
          <w:ilvl w:val="0"/>
          <w:numId w:val="30"/>
        </w:numPr>
        <w:tabs>
          <w:tab w:val="clear" w:pos="720"/>
          <w:tab w:val="num" w:pos="0"/>
        </w:tabs>
        <w:spacing w:line="360" w:lineRule="auto"/>
        <w:ind w:left="300"/>
        <w:jc w:val="both"/>
        <w:rPr>
          <w:rFonts w:ascii="Times New Roman" w:hAnsi="Times New Roman"/>
          <w:b w:val="0"/>
          <w:bCs/>
          <w:sz w:val="24"/>
          <w:szCs w:val="24"/>
        </w:rPr>
      </w:pPr>
      <w:r>
        <w:rPr>
          <w:rFonts w:ascii="Times New Roman" w:hAnsi="Times New Roman"/>
          <w:b w:val="0"/>
          <w:bCs/>
          <w:sz w:val="24"/>
          <w:szCs w:val="24"/>
        </w:rPr>
        <w:t xml:space="preserve">Minister </w:t>
      </w:r>
      <w:r w:rsidR="006F65C8">
        <w:rPr>
          <w:rFonts w:ascii="Times New Roman" w:hAnsi="Times New Roman"/>
          <w:b w:val="0"/>
          <w:bCs/>
          <w:sz w:val="24"/>
          <w:szCs w:val="24"/>
        </w:rPr>
        <w:t>właściwy do spraw finansów publicznych</w:t>
      </w:r>
      <w:r>
        <w:rPr>
          <w:rFonts w:ascii="Times New Roman" w:hAnsi="Times New Roman"/>
          <w:b w:val="0"/>
          <w:bCs/>
          <w:sz w:val="24"/>
          <w:szCs w:val="24"/>
        </w:rPr>
        <w:t xml:space="preserve"> zapewnia</w:t>
      </w:r>
      <w:r w:rsidR="0025300E" w:rsidRPr="0025300E">
        <w:rPr>
          <w:rFonts w:ascii="Times New Roman" w:hAnsi="Times New Roman"/>
          <w:b w:val="0"/>
          <w:bCs/>
          <w:sz w:val="24"/>
          <w:szCs w:val="24"/>
        </w:rPr>
        <w:t xml:space="preserve"> </w:t>
      </w:r>
      <w:r w:rsidR="0025300E">
        <w:rPr>
          <w:rFonts w:ascii="Times New Roman" w:hAnsi="Times New Roman"/>
          <w:b w:val="0"/>
          <w:bCs/>
          <w:sz w:val="24"/>
          <w:szCs w:val="24"/>
        </w:rPr>
        <w:t>siedzibę,</w:t>
      </w:r>
      <w:r>
        <w:rPr>
          <w:rFonts w:ascii="Times New Roman" w:hAnsi="Times New Roman"/>
          <w:b w:val="0"/>
          <w:bCs/>
          <w:sz w:val="24"/>
          <w:szCs w:val="24"/>
        </w:rPr>
        <w:t xml:space="preserve"> ob</w:t>
      </w:r>
      <w:r w:rsidR="000F26C3">
        <w:rPr>
          <w:rFonts w:ascii="Times New Roman" w:hAnsi="Times New Roman"/>
          <w:b w:val="0"/>
          <w:bCs/>
          <w:sz w:val="24"/>
          <w:szCs w:val="24"/>
        </w:rPr>
        <w:t>sługę prawną i </w:t>
      </w:r>
      <w:r>
        <w:rPr>
          <w:rFonts w:ascii="Times New Roman" w:hAnsi="Times New Roman"/>
          <w:b w:val="0"/>
          <w:bCs/>
          <w:sz w:val="24"/>
          <w:szCs w:val="24"/>
        </w:rPr>
        <w:t>organizacyjno</w:t>
      </w:r>
      <w:r w:rsidR="0094156F">
        <w:rPr>
          <w:rFonts w:ascii="Times New Roman" w:hAnsi="Times New Roman"/>
          <w:b w:val="0"/>
          <w:bCs/>
          <w:sz w:val="24"/>
          <w:szCs w:val="24"/>
        </w:rPr>
        <w:t>-</w:t>
      </w:r>
      <w:r>
        <w:rPr>
          <w:rFonts w:ascii="Times New Roman" w:hAnsi="Times New Roman"/>
          <w:b w:val="0"/>
          <w:bCs/>
          <w:sz w:val="24"/>
          <w:szCs w:val="24"/>
        </w:rPr>
        <w:t xml:space="preserve">techniczną GKO oraz </w:t>
      </w:r>
      <w:r w:rsidR="0094156F">
        <w:rPr>
          <w:rFonts w:ascii="Times New Roman" w:hAnsi="Times New Roman"/>
          <w:b w:val="0"/>
          <w:bCs/>
          <w:sz w:val="24"/>
          <w:szCs w:val="24"/>
        </w:rPr>
        <w:t>ponosi wydatki związane z jej funkcjonowaniem</w:t>
      </w:r>
      <w:r>
        <w:rPr>
          <w:rFonts w:ascii="Times New Roman" w:hAnsi="Times New Roman"/>
          <w:b w:val="0"/>
          <w:bCs/>
          <w:sz w:val="24"/>
          <w:szCs w:val="24"/>
        </w:rPr>
        <w:t>. Sprawuje także nadzór nad działalnością administracyjną</w:t>
      </w:r>
      <w:r w:rsidR="00812C01">
        <w:rPr>
          <w:rFonts w:ascii="Times New Roman" w:hAnsi="Times New Roman"/>
          <w:b w:val="0"/>
          <w:bCs/>
          <w:sz w:val="24"/>
          <w:szCs w:val="24"/>
        </w:rPr>
        <w:t xml:space="preserve"> GKO</w:t>
      </w:r>
      <w:r>
        <w:rPr>
          <w:rFonts w:ascii="Times New Roman" w:hAnsi="Times New Roman"/>
          <w:b w:val="0"/>
          <w:bCs/>
          <w:sz w:val="24"/>
          <w:szCs w:val="24"/>
        </w:rPr>
        <w:t>.</w:t>
      </w:r>
    </w:p>
    <w:p w:rsidR="00C564EF" w:rsidRPr="0088513B" w:rsidRDefault="008A3F3F" w:rsidP="00B009AD">
      <w:pPr>
        <w:pStyle w:val="akapit"/>
        <w:numPr>
          <w:ilvl w:val="0"/>
          <w:numId w:val="30"/>
        </w:numPr>
        <w:tabs>
          <w:tab w:val="clear" w:pos="720"/>
          <w:tab w:val="num" w:pos="0"/>
        </w:tabs>
        <w:spacing w:line="360" w:lineRule="auto"/>
        <w:ind w:left="300"/>
        <w:jc w:val="both"/>
        <w:rPr>
          <w:rFonts w:ascii="Times New Roman" w:hAnsi="Times New Roman"/>
          <w:b w:val="0"/>
          <w:bCs/>
          <w:sz w:val="24"/>
          <w:szCs w:val="24"/>
        </w:rPr>
      </w:pPr>
      <w:r w:rsidRPr="008A3F3F">
        <w:rPr>
          <w:rFonts w:ascii="Times New Roman" w:hAnsi="Times New Roman"/>
          <w:b w:val="0"/>
          <w:bCs/>
          <w:sz w:val="24"/>
          <w:szCs w:val="24"/>
        </w:rPr>
        <w:t>Przewodniczącego GK</w:t>
      </w:r>
      <w:r>
        <w:rPr>
          <w:rFonts w:ascii="Times New Roman" w:hAnsi="Times New Roman"/>
          <w:b w:val="0"/>
          <w:bCs/>
          <w:sz w:val="24"/>
          <w:szCs w:val="24"/>
        </w:rPr>
        <w:t>O</w:t>
      </w:r>
      <w:r w:rsidRPr="008A3F3F">
        <w:rPr>
          <w:rFonts w:ascii="Times New Roman" w:hAnsi="Times New Roman"/>
          <w:b w:val="0"/>
          <w:bCs/>
          <w:sz w:val="24"/>
          <w:szCs w:val="24"/>
        </w:rPr>
        <w:t xml:space="preserve"> i jego zastępc</w:t>
      </w:r>
      <w:r w:rsidR="00300371">
        <w:rPr>
          <w:rFonts w:ascii="Times New Roman" w:hAnsi="Times New Roman"/>
          <w:b w:val="0"/>
          <w:bCs/>
          <w:sz w:val="24"/>
          <w:szCs w:val="24"/>
        </w:rPr>
        <w:t>ów</w:t>
      </w:r>
      <w:r w:rsidRPr="008A3F3F">
        <w:rPr>
          <w:rFonts w:ascii="Times New Roman" w:hAnsi="Times New Roman"/>
          <w:b w:val="0"/>
          <w:bCs/>
          <w:sz w:val="24"/>
          <w:szCs w:val="24"/>
        </w:rPr>
        <w:t xml:space="preserve"> p</w:t>
      </w:r>
      <w:r w:rsidR="00463957">
        <w:rPr>
          <w:rFonts w:ascii="Times New Roman" w:hAnsi="Times New Roman"/>
          <w:b w:val="0"/>
          <w:bCs/>
          <w:sz w:val="24"/>
          <w:szCs w:val="24"/>
        </w:rPr>
        <w:t>owołuje i odwołuje, na wniosek m</w:t>
      </w:r>
      <w:r w:rsidRPr="008A3F3F">
        <w:rPr>
          <w:rFonts w:ascii="Times New Roman" w:hAnsi="Times New Roman"/>
          <w:b w:val="0"/>
          <w:bCs/>
          <w:sz w:val="24"/>
          <w:szCs w:val="24"/>
        </w:rPr>
        <w:t>inistra właściwego do spraw finansów publicznych, Prezes Rady Ministrów. Członków GKO powołuje i odwołuje, na wniosek Przewodniczącego</w:t>
      </w:r>
      <w:r>
        <w:rPr>
          <w:rFonts w:ascii="Times New Roman" w:hAnsi="Times New Roman"/>
          <w:b w:val="0"/>
          <w:bCs/>
          <w:sz w:val="24"/>
          <w:szCs w:val="24"/>
        </w:rPr>
        <w:t xml:space="preserve"> GKO</w:t>
      </w:r>
      <w:r w:rsidRPr="008A3F3F">
        <w:rPr>
          <w:rFonts w:ascii="Times New Roman" w:hAnsi="Times New Roman"/>
          <w:b w:val="0"/>
          <w:bCs/>
          <w:sz w:val="24"/>
          <w:szCs w:val="24"/>
        </w:rPr>
        <w:t xml:space="preserve"> zaopiniowany przez </w:t>
      </w:r>
      <w:r w:rsidR="00463957">
        <w:rPr>
          <w:rFonts w:ascii="Times New Roman" w:hAnsi="Times New Roman"/>
          <w:b w:val="0"/>
          <w:bCs/>
          <w:sz w:val="24"/>
          <w:szCs w:val="24"/>
        </w:rPr>
        <w:t>m</w:t>
      </w:r>
      <w:r w:rsidRPr="008A3F3F">
        <w:rPr>
          <w:rFonts w:ascii="Times New Roman" w:hAnsi="Times New Roman"/>
          <w:b w:val="0"/>
          <w:bCs/>
          <w:sz w:val="24"/>
          <w:szCs w:val="24"/>
        </w:rPr>
        <w:t xml:space="preserve">inistra </w:t>
      </w:r>
      <w:r w:rsidR="006F65C8">
        <w:rPr>
          <w:rFonts w:ascii="Times New Roman" w:hAnsi="Times New Roman"/>
          <w:b w:val="0"/>
          <w:bCs/>
          <w:sz w:val="24"/>
          <w:szCs w:val="24"/>
        </w:rPr>
        <w:lastRenderedPageBreak/>
        <w:t>właściwego do spraw</w:t>
      </w:r>
      <w:r w:rsidR="00463957">
        <w:rPr>
          <w:rFonts w:ascii="Times New Roman" w:hAnsi="Times New Roman"/>
          <w:b w:val="0"/>
          <w:bCs/>
          <w:sz w:val="24"/>
          <w:szCs w:val="24"/>
        </w:rPr>
        <w:t xml:space="preserve"> finansów publicznych</w:t>
      </w:r>
      <w:r w:rsidRPr="008A3F3F">
        <w:rPr>
          <w:rFonts w:ascii="Times New Roman" w:hAnsi="Times New Roman"/>
          <w:b w:val="0"/>
          <w:bCs/>
          <w:sz w:val="24"/>
          <w:szCs w:val="24"/>
        </w:rPr>
        <w:t>, Prezes Rady Ministrów.</w:t>
      </w:r>
      <w:r w:rsidR="000062B3">
        <w:rPr>
          <w:rFonts w:ascii="Times New Roman" w:hAnsi="Times New Roman"/>
          <w:b w:val="0"/>
          <w:bCs/>
          <w:sz w:val="24"/>
          <w:szCs w:val="24"/>
        </w:rPr>
        <w:t xml:space="preserve"> </w:t>
      </w:r>
      <w:r w:rsidR="00111990">
        <w:rPr>
          <w:rFonts w:ascii="Times New Roman" w:hAnsi="Times New Roman"/>
          <w:b w:val="0"/>
          <w:bCs/>
          <w:sz w:val="24"/>
          <w:szCs w:val="24"/>
        </w:rPr>
        <w:t>Na koniec okresu</w:t>
      </w:r>
      <w:r w:rsidR="00111990" w:rsidDel="00111990">
        <w:rPr>
          <w:rFonts w:ascii="Times New Roman" w:hAnsi="Times New Roman"/>
          <w:b w:val="0"/>
          <w:bCs/>
          <w:sz w:val="24"/>
          <w:szCs w:val="24"/>
        </w:rPr>
        <w:t xml:space="preserve"> </w:t>
      </w:r>
      <w:r w:rsidR="00111990">
        <w:rPr>
          <w:rFonts w:ascii="Times New Roman" w:hAnsi="Times New Roman"/>
          <w:b w:val="0"/>
          <w:bCs/>
          <w:sz w:val="24"/>
          <w:szCs w:val="24"/>
        </w:rPr>
        <w:t>sprawozdawczego</w:t>
      </w:r>
      <w:r w:rsidR="00111990" w:rsidDel="00111990">
        <w:rPr>
          <w:rFonts w:ascii="Times New Roman" w:hAnsi="Times New Roman"/>
          <w:b w:val="0"/>
          <w:bCs/>
          <w:sz w:val="24"/>
          <w:szCs w:val="24"/>
        </w:rPr>
        <w:t xml:space="preserve"> </w:t>
      </w:r>
      <w:r w:rsidR="00111990">
        <w:rPr>
          <w:rFonts w:ascii="Times New Roman" w:hAnsi="Times New Roman"/>
          <w:b w:val="0"/>
          <w:bCs/>
          <w:sz w:val="24"/>
          <w:szCs w:val="24"/>
        </w:rPr>
        <w:t>w</w:t>
      </w:r>
      <w:r w:rsidR="005476C1">
        <w:rPr>
          <w:rFonts w:ascii="Times New Roman" w:hAnsi="Times New Roman"/>
          <w:b w:val="0"/>
          <w:bCs/>
          <w:sz w:val="24"/>
          <w:szCs w:val="24"/>
        </w:rPr>
        <w:t xml:space="preserve"> skład </w:t>
      </w:r>
      <w:r w:rsidR="00E117C1">
        <w:rPr>
          <w:rFonts w:ascii="Times New Roman" w:hAnsi="Times New Roman"/>
          <w:b w:val="0"/>
          <w:bCs/>
          <w:sz w:val="24"/>
          <w:szCs w:val="24"/>
        </w:rPr>
        <w:t>GKO</w:t>
      </w:r>
      <w:r w:rsidR="00111990">
        <w:rPr>
          <w:rFonts w:ascii="Times New Roman" w:hAnsi="Times New Roman"/>
          <w:b w:val="0"/>
          <w:bCs/>
          <w:sz w:val="24"/>
          <w:szCs w:val="24"/>
        </w:rPr>
        <w:t xml:space="preserve"> </w:t>
      </w:r>
      <w:r w:rsidR="00E117C1">
        <w:rPr>
          <w:rFonts w:ascii="Times New Roman" w:hAnsi="Times New Roman"/>
          <w:b w:val="0"/>
          <w:bCs/>
          <w:sz w:val="24"/>
          <w:szCs w:val="24"/>
        </w:rPr>
        <w:t>wchodzi</w:t>
      </w:r>
      <w:r w:rsidR="00317460">
        <w:rPr>
          <w:rFonts w:ascii="Times New Roman" w:hAnsi="Times New Roman"/>
          <w:b w:val="0"/>
          <w:bCs/>
          <w:sz w:val="24"/>
          <w:szCs w:val="24"/>
        </w:rPr>
        <w:t>ł</w:t>
      </w:r>
      <w:r w:rsidR="00E117C1">
        <w:rPr>
          <w:rFonts w:ascii="Times New Roman" w:hAnsi="Times New Roman"/>
          <w:b w:val="0"/>
          <w:bCs/>
          <w:sz w:val="24"/>
          <w:szCs w:val="24"/>
        </w:rPr>
        <w:t xml:space="preserve"> Przewodniczący, </w:t>
      </w:r>
      <w:r w:rsidR="00111990">
        <w:rPr>
          <w:rFonts w:ascii="Times New Roman" w:hAnsi="Times New Roman"/>
          <w:b w:val="0"/>
          <w:bCs/>
          <w:sz w:val="24"/>
          <w:szCs w:val="24"/>
        </w:rPr>
        <w:t xml:space="preserve">dwóch </w:t>
      </w:r>
      <w:r w:rsidR="002E7F70">
        <w:rPr>
          <w:rFonts w:ascii="Times New Roman" w:hAnsi="Times New Roman"/>
          <w:b w:val="0"/>
          <w:bCs/>
          <w:sz w:val="24"/>
          <w:szCs w:val="24"/>
        </w:rPr>
        <w:t>Zastępc</w:t>
      </w:r>
      <w:r w:rsidR="00111990">
        <w:rPr>
          <w:rFonts w:ascii="Times New Roman" w:hAnsi="Times New Roman"/>
          <w:b w:val="0"/>
          <w:bCs/>
          <w:sz w:val="24"/>
          <w:szCs w:val="24"/>
        </w:rPr>
        <w:t>ów</w:t>
      </w:r>
      <w:r w:rsidR="002E7F70">
        <w:rPr>
          <w:rFonts w:ascii="Times New Roman" w:hAnsi="Times New Roman"/>
          <w:b w:val="0"/>
          <w:bCs/>
          <w:sz w:val="24"/>
          <w:szCs w:val="24"/>
        </w:rPr>
        <w:t xml:space="preserve"> </w:t>
      </w:r>
      <w:r w:rsidR="00E35E1A">
        <w:rPr>
          <w:rFonts w:ascii="Times New Roman" w:hAnsi="Times New Roman"/>
          <w:b w:val="0"/>
          <w:bCs/>
          <w:sz w:val="24"/>
          <w:szCs w:val="24"/>
        </w:rPr>
        <w:t>Przewodniczącego</w:t>
      </w:r>
      <w:r w:rsidR="00BE2D96">
        <w:rPr>
          <w:rFonts w:ascii="Times New Roman" w:hAnsi="Times New Roman"/>
          <w:b w:val="0"/>
          <w:bCs/>
          <w:sz w:val="24"/>
          <w:szCs w:val="24"/>
        </w:rPr>
        <w:t xml:space="preserve"> oraz</w:t>
      </w:r>
      <w:r w:rsidR="00E35E1A">
        <w:rPr>
          <w:rFonts w:ascii="Times New Roman" w:hAnsi="Times New Roman"/>
          <w:b w:val="0"/>
          <w:bCs/>
          <w:sz w:val="24"/>
          <w:szCs w:val="24"/>
        </w:rPr>
        <w:t xml:space="preserve"> </w:t>
      </w:r>
      <w:r w:rsidR="00111990">
        <w:rPr>
          <w:rFonts w:ascii="Times New Roman" w:hAnsi="Times New Roman"/>
          <w:b w:val="0"/>
          <w:bCs/>
          <w:sz w:val="24"/>
          <w:szCs w:val="24"/>
        </w:rPr>
        <w:t>17</w:t>
      </w:r>
      <w:r w:rsidR="002B756D">
        <w:rPr>
          <w:rFonts w:ascii="Times New Roman" w:hAnsi="Times New Roman"/>
          <w:b w:val="0"/>
          <w:bCs/>
          <w:sz w:val="24"/>
          <w:szCs w:val="24"/>
        </w:rPr>
        <w:t xml:space="preserve"> </w:t>
      </w:r>
      <w:r w:rsidR="000062B3">
        <w:rPr>
          <w:rFonts w:ascii="Times New Roman" w:hAnsi="Times New Roman"/>
          <w:b w:val="0"/>
          <w:bCs/>
          <w:sz w:val="24"/>
          <w:szCs w:val="24"/>
        </w:rPr>
        <w:t>członków</w:t>
      </w:r>
      <w:r w:rsidR="002B756D">
        <w:rPr>
          <w:rFonts w:ascii="Times New Roman" w:hAnsi="Times New Roman"/>
          <w:b w:val="0"/>
          <w:bCs/>
          <w:sz w:val="24"/>
          <w:szCs w:val="24"/>
        </w:rPr>
        <w:t xml:space="preserve"> GKO</w:t>
      </w:r>
      <w:r w:rsidR="000062B3">
        <w:rPr>
          <w:rFonts w:ascii="Times New Roman" w:hAnsi="Times New Roman"/>
          <w:b w:val="0"/>
          <w:bCs/>
          <w:sz w:val="24"/>
          <w:szCs w:val="24"/>
        </w:rPr>
        <w:t>.</w:t>
      </w:r>
      <w:r w:rsidR="007A5838">
        <w:rPr>
          <w:rFonts w:ascii="Times New Roman" w:hAnsi="Times New Roman"/>
          <w:b w:val="0"/>
          <w:bCs/>
          <w:sz w:val="24"/>
          <w:szCs w:val="24"/>
        </w:rPr>
        <w:t xml:space="preserve"> </w:t>
      </w:r>
    </w:p>
    <w:p w:rsidR="000062B3" w:rsidRDefault="000062B3" w:rsidP="00BA1D31">
      <w:pPr>
        <w:pStyle w:val="Tekstpodstawowy"/>
        <w:numPr>
          <w:ilvl w:val="1"/>
          <w:numId w:val="9"/>
        </w:numPr>
        <w:tabs>
          <w:tab w:val="clear" w:pos="1786"/>
          <w:tab w:val="num" w:pos="500"/>
        </w:tabs>
        <w:spacing w:after="120" w:line="360" w:lineRule="auto"/>
        <w:ind w:left="499" w:hanging="499"/>
        <w:rPr>
          <w:b/>
        </w:rPr>
      </w:pPr>
      <w:r>
        <w:rPr>
          <w:b/>
        </w:rPr>
        <w:t>Informacja o liczbie odwołań w roku sprawozdawczym</w:t>
      </w:r>
    </w:p>
    <w:p w:rsidR="00D3667F" w:rsidRPr="004157B7" w:rsidRDefault="00D3667F" w:rsidP="00BA1D31">
      <w:pPr>
        <w:pStyle w:val="akapit"/>
        <w:numPr>
          <w:ilvl w:val="0"/>
          <w:numId w:val="39"/>
        </w:numPr>
        <w:spacing w:line="360" w:lineRule="auto"/>
        <w:jc w:val="both"/>
        <w:rPr>
          <w:rFonts w:ascii="Times New Roman" w:hAnsi="Times New Roman"/>
          <w:b w:val="0"/>
          <w:bCs/>
          <w:sz w:val="24"/>
          <w:szCs w:val="24"/>
        </w:rPr>
      </w:pPr>
      <w:r w:rsidRPr="004157B7">
        <w:rPr>
          <w:rFonts w:ascii="Times New Roman" w:hAnsi="Times New Roman"/>
          <w:b w:val="0"/>
          <w:bCs/>
          <w:sz w:val="24"/>
          <w:szCs w:val="24"/>
        </w:rPr>
        <w:t>Odwołania pozostające do rozpoznania w roku sprawozdawczym</w:t>
      </w:r>
    </w:p>
    <w:p w:rsidR="00D3667F" w:rsidRDefault="002D39DC" w:rsidP="004157B7">
      <w:pPr>
        <w:pStyle w:val="akapit"/>
        <w:spacing w:line="360" w:lineRule="auto"/>
        <w:ind w:left="360"/>
        <w:jc w:val="both"/>
        <w:rPr>
          <w:rFonts w:ascii="Times New Roman" w:hAnsi="Times New Roman"/>
          <w:b w:val="0"/>
          <w:bCs/>
          <w:sz w:val="24"/>
          <w:szCs w:val="24"/>
        </w:rPr>
      </w:pPr>
      <w:r>
        <w:rPr>
          <w:rFonts w:ascii="Times New Roman" w:hAnsi="Times New Roman"/>
          <w:b w:val="0"/>
          <w:bCs/>
          <w:sz w:val="24"/>
          <w:szCs w:val="24"/>
        </w:rPr>
        <w:t>1</w:t>
      </w:r>
      <w:r w:rsidR="00D3667F">
        <w:rPr>
          <w:rFonts w:ascii="Times New Roman" w:hAnsi="Times New Roman"/>
          <w:b w:val="0"/>
          <w:bCs/>
          <w:sz w:val="24"/>
          <w:szCs w:val="24"/>
        </w:rPr>
        <w:t xml:space="preserve"> stycznia </w:t>
      </w:r>
      <w:r w:rsidR="00E573A7">
        <w:rPr>
          <w:rFonts w:ascii="Times New Roman" w:hAnsi="Times New Roman"/>
          <w:b w:val="0"/>
          <w:bCs/>
          <w:sz w:val="24"/>
          <w:szCs w:val="24"/>
        </w:rPr>
        <w:t>201</w:t>
      </w:r>
      <w:r w:rsidR="00847E89">
        <w:rPr>
          <w:rFonts w:ascii="Times New Roman" w:hAnsi="Times New Roman"/>
          <w:b w:val="0"/>
          <w:bCs/>
          <w:sz w:val="24"/>
          <w:szCs w:val="24"/>
        </w:rPr>
        <w:t>8</w:t>
      </w:r>
      <w:r w:rsidR="00E573A7">
        <w:rPr>
          <w:rFonts w:ascii="Times New Roman" w:hAnsi="Times New Roman"/>
          <w:b w:val="0"/>
          <w:bCs/>
          <w:sz w:val="24"/>
          <w:szCs w:val="24"/>
        </w:rPr>
        <w:t xml:space="preserve"> </w:t>
      </w:r>
      <w:r w:rsidR="00D3667F">
        <w:rPr>
          <w:rFonts w:ascii="Times New Roman" w:hAnsi="Times New Roman"/>
          <w:b w:val="0"/>
          <w:bCs/>
          <w:sz w:val="24"/>
          <w:szCs w:val="24"/>
        </w:rPr>
        <w:t xml:space="preserve">r. GKO miała do rozpoznania </w:t>
      </w:r>
      <w:r w:rsidR="00DF55F0">
        <w:rPr>
          <w:rFonts w:ascii="Times New Roman" w:hAnsi="Times New Roman"/>
          <w:bCs/>
          <w:sz w:val="24"/>
          <w:szCs w:val="24"/>
        </w:rPr>
        <w:t>4</w:t>
      </w:r>
      <w:r w:rsidR="00D70CE5">
        <w:rPr>
          <w:rFonts w:ascii="Times New Roman" w:hAnsi="Times New Roman"/>
          <w:bCs/>
          <w:sz w:val="24"/>
          <w:szCs w:val="24"/>
        </w:rPr>
        <w:t>7</w:t>
      </w:r>
      <w:r w:rsidR="00DF55F0">
        <w:rPr>
          <w:rFonts w:ascii="Times New Roman" w:hAnsi="Times New Roman"/>
          <w:bCs/>
          <w:sz w:val="24"/>
          <w:szCs w:val="24"/>
        </w:rPr>
        <w:t xml:space="preserve"> </w:t>
      </w:r>
      <w:r w:rsidR="00D3667F">
        <w:rPr>
          <w:rFonts w:ascii="Times New Roman" w:hAnsi="Times New Roman"/>
          <w:b w:val="0"/>
          <w:bCs/>
          <w:sz w:val="24"/>
          <w:szCs w:val="24"/>
        </w:rPr>
        <w:t>odwoła</w:t>
      </w:r>
      <w:r w:rsidR="00BE1CAA">
        <w:rPr>
          <w:rFonts w:ascii="Times New Roman" w:hAnsi="Times New Roman"/>
          <w:b w:val="0"/>
          <w:bCs/>
          <w:sz w:val="24"/>
          <w:szCs w:val="24"/>
        </w:rPr>
        <w:t>ń</w:t>
      </w:r>
      <w:r w:rsidR="00D3667F">
        <w:rPr>
          <w:rStyle w:val="Odwoanieprzypisudolnego"/>
          <w:rFonts w:ascii="Times New Roman" w:hAnsi="Times New Roman"/>
          <w:b w:val="0"/>
          <w:bCs/>
          <w:sz w:val="24"/>
          <w:szCs w:val="24"/>
        </w:rPr>
        <w:footnoteReference w:id="2"/>
      </w:r>
      <w:r w:rsidR="00D3667F">
        <w:rPr>
          <w:rFonts w:ascii="Times New Roman" w:hAnsi="Times New Roman"/>
          <w:b w:val="0"/>
          <w:bCs/>
          <w:sz w:val="24"/>
          <w:szCs w:val="24"/>
        </w:rPr>
        <w:t xml:space="preserve"> </w:t>
      </w:r>
      <w:r w:rsidR="0084689C" w:rsidRPr="0084689C">
        <w:rPr>
          <w:rFonts w:ascii="Times New Roman" w:hAnsi="Times New Roman"/>
          <w:b w:val="0"/>
          <w:bCs/>
          <w:sz w:val="24"/>
          <w:szCs w:val="24"/>
        </w:rPr>
        <w:t xml:space="preserve">(które </w:t>
      </w:r>
      <w:r w:rsidR="00B369B1">
        <w:rPr>
          <w:rFonts w:ascii="Times New Roman" w:hAnsi="Times New Roman"/>
          <w:b w:val="0"/>
          <w:bCs/>
          <w:sz w:val="24"/>
          <w:szCs w:val="24"/>
        </w:rPr>
        <w:t>wpłynęły do GKO w </w:t>
      </w:r>
      <w:r w:rsidR="00E573A7" w:rsidRPr="0084689C">
        <w:rPr>
          <w:rFonts w:ascii="Times New Roman" w:hAnsi="Times New Roman"/>
          <w:b w:val="0"/>
          <w:bCs/>
          <w:sz w:val="24"/>
          <w:szCs w:val="24"/>
        </w:rPr>
        <w:t>201</w:t>
      </w:r>
      <w:r w:rsidR="00847E89">
        <w:rPr>
          <w:rFonts w:ascii="Times New Roman" w:hAnsi="Times New Roman"/>
          <w:b w:val="0"/>
          <w:bCs/>
          <w:sz w:val="24"/>
          <w:szCs w:val="24"/>
        </w:rPr>
        <w:t>7</w:t>
      </w:r>
      <w:r w:rsidR="00BE1CAA">
        <w:rPr>
          <w:rFonts w:ascii="Times New Roman" w:hAnsi="Times New Roman"/>
          <w:b w:val="0"/>
          <w:bCs/>
          <w:sz w:val="24"/>
          <w:szCs w:val="24"/>
        </w:rPr>
        <w:t> </w:t>
      </w:r>
      <w:r w:rsidR="0084689C" w:rsidRPr="0084689C">
        <w:rPr>
          <w:rFonts w:ascii="Times New Roman" w:hAnsi="Times New Roman"/>
          <w:b w:val="0"/>
          <w:bCs/>
          <w:sz w:val="24"/>
          <w:szCs w:val="24"/>
        </w:rPr>
        <w:t>r.</w:t>
      </w:r>
      <w:r w:rsidR="00A85DB1">
        <w:rPr>
          <w:rFonts w:ascii="Times New Roman" w:hAnsi="Times New Roman"/>
          <w:b w:val="0"/>
          <w:bCs/>
          <w:sz w:val="24"/>
          <w:szCs w:val="24"/>
        </w:rPr>
        <w:t xml:space="preserve"> i wcześniej</w:t>
      </w:r>
      <w:r>
        <w:rPr>
          <w:rFonts w:ascii="Times New Roman" w:hAnsi="Times New Roman"/>
          <w:b w:val="0"/>
          <w:bCs/>
          <w:sz w:val="24"/>
          <w:szCs w:val="24"/>
        </w:rPr>
        <w:t>)</w:t>
      </w:r>
      <w:r w:rsidR="00D3667F">
        <w:rPr>
          <w:rFonts w:ascii="Times New Roman" w:hAnsi="Times New Roman"/>
          <w:b w:val="0"/>
          <w:bCs/>
          <w:sz w:val="24"/>
          <w:szCs w:val="24"/>
        </w:rPr>
        <w:t xml:space="preserve">, od </w:t>
      </w:r>
      <w:r w:rsidR="00942A87">
        <w:rPr>
          <w:rFonts w:ascii="Times New Roman" w:hAnsi="Times New Roman"/>
          <w:bCs/>
          <w:sz w:val="24"/>
          <w:szCs w:val="24"/>
        </w:rPr>
        <w:t xml:space="preserve">37 </w:t>
      </w:r>
      <w:r w:rsidR="00D3667F">
        <w:rPr>
          <w:rFonts w:ascii="Times New Roman" w:hAnsi="Times New Roman"/>
          <w:b w:val="0"/>
          <w:bCs/>
          <w:sz w:val="24"/>
          <w:szCs w:val="24"/>
        </w:rPr>
        <w:t>orzeczeń wydanych w pierwszej instancji.</w:t>
      </w:r>
    </w:p>
    <w:p w:rsidR="00896FF4" w:rsidRDefault="00896FF4" w:rsidP="00D27714">
      <w:pPr>
        <w:pStyle w:val="Tekstpodstawowy"/>
        <w:spacing w:after="120" w:line="360" w:lineRule="auto"/>
        <w:ind w:left="1418" w:hanging="1306"/>
        <w:rPr>
          <w:bCs/>
          <w:szCs w:val="24"/>
        </w:rPr>
      </w:pPr>
    </w:p>
    <w:p w:rsidR="00DC2ECF" w:rsidRDefault="00DC2ECF" w:rsidP="00D27714">
      <w:pPr>
        <w:pStyle w:val="Tekstpodstawowy"/>
        <w:spacing w:after="120" w:line="360" w:lineRule="auto"/>
        <w:ind w:left="1418" w:hanging="1306"/>
        <w:rPr>
          <w:bCs/>
          <w:szCs w:val="24"/>
        </w:rPr>
      </w:pPr>
      <w:r w:rsidRPr="0025300E">
        <w:rPr>
          <w:bCs/>
          <w:szCs w:val="24"/>
        </w:rPr>
        <w:t xml:space="preserve">Wykres nr 1: Liczba odwołań oczekujących na rozpoznanie wg stanu na początek roku sprawozdawczego: </w:t>
      </w:r>
      <w:r w:rsidR="002B4ACF">
        <w:rPr>
          <w:bCs/>
          <w:szCs w:val="24"/>
        </w:rPr>
        <w:t>2015</w:t>
      </w:r>
      <w:r w:rsidR="001C3D2A">
        <w:rPr>
          <w:bCs/>
          <w:szCs w:val="24"/>
        </w:rPr>
        <w:t>,</w:t>
      </w:r>
      <w:r w:rsidR="00BE1CAA">
        <w:rPr>
          <w:bCs/>
          <w:szCs w:val="24"/>
        </w:rPr>
        <w:t xml:space="preserve"> </w:t>
      </w:r>
      <w:r w:rsidR="001C3D2A">
        <w:rPr>
          <w:bCs/>
          <w:szCs w:val="24"/>
        </w:rPr>
        <w:t>2016</w:t>
      </w:r>
      <w:r w:rsidR="00BE1CAA">
        <w:rPr>
          <w:bCs/>
          <w:szCs w:val="24"/>
        </w:rPr>
        <w:t>, 2017</w:t>
      </w:r>
      <w:r w:rsidR="00887079">
        <w:rPr>
          <w:bCs/>
          <w:szCs w:val="24"/>
        </w:rPr>
        <w:t xml:space="preserve"> oraz</w:t>
      </w:r>
      <w:r w:rsidR="001C3D2A">
        <w:rPr>
          <w:bCs/>
          <w:szCs w:val="24"/>
        </w:rPr>
        <w:t xml:space="preserve"> 201</w:t>
      </w:r>
      <w:r w:rsidR="00BE1CAA">
        <w:rPr>
          <w:bCs/>
          <w:szCs w:val="24"/>
        </w:rPr>
        <w:t>8</w:t>
      </w:r>
      <w:r w:rsidRPr="0025300E">
        <w:rPr>
          <w:bCs/>
          <w:szCs w:val="24"/>
        </w:rPr>
        <w:t xml:space="preserve"> (ujęcie porównawcze)</w:t>
      </w:r>
    </w:p>
    <w:p w:rsidR="00D3667F" w:rsidRPr="00F53F74" w:rsidRDefault="008A1B4F" w:rsidP="00E668D1">
      <w:pPr>
        <w:pStyle w:val="akapit"/>
        <w:spacing w:line="360" w:lineRule="auto"/>
        <w:ind w:firstLine="200"/>
        <w:jc w:val="both"/>
      </w:pPr>
      <w:r w:rsidDel="008A1B4F">
        <w:rPr>
          <w:noProof/>
        </w:rPr>
        <w:t xml:space="preserve"> </w:t>
      </w:r>
      <w:r w:rsidR="00D70CE5">
        <w:rPr>
          <w:noProof/>
        </w:rPr>
        <w:drawing>
          <wp:inline distT="0" distB="0" distL="0" distR="0" wp14:anchorId="116AC46A" wp14:editId="4CEFA96D">
            <wp:extent cx="5231959" cy="3104515"/>
            <wp:effectExtent l="0" t="0" r="45085" b="3873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56CA0" w:rsidRDefault="00F56CA0" w:rsidP="00E668D1">
      <w:pPr>
        <w:pStyle w:val="akapit"/>
        <w:spacing w:line="360" w:lineRule="auto"/>
        <w:jc w:val="both"/>
        <w:rPr>
          <w:rFonts w:ascii="Times New Roman" w:hAnsi="Times New Roman"/>
          <w:b w:val="0"/>
          <w:bCs/>
          <w:sz w:val="24"/>
          <w:szCs w:val="24"/>
        </w:rPr>
      </w:pPr>
    </w:p>
    <w:p w:rsidR="00F56CA0" w:rsidRDefault="00F56CA0">
      <w:pPr>
        <w:rPr>
          <w:bCs/>
        </w:rPr>
      </w:pPr>
      <w:r>
        <w:rPr>
          <w:b/>
          <w:bCs/>
        </w:rPr>
        <w:br w:type="page"/>
      </w:r>
    </w:p>
    <w:p w:rsidR="00D3667F" w:rsidRPr="0075334E" w:rsidRDefault="00D3667F" w:rsidP="00E668D1">
      <w:pPr>
        <w:pStyle w:val="akapit"/>
        <w:spacing w:line="360" w:lineRule="auto"/>
        <w:jc w:val="both"/>
        <w:rPr>
          <w:rFonts w:ascii="Times New Roman" w:hAnsi="Times New Roman"/>
          <w:b w:val="0"/>
          <w:bCs/>
          <w:sz w:val="24"/>
          <w:szCs w:val="24"/>
        </w:rPr>
      </w:pPr>
      <w:r w:rsidRPr="0075334E">
        <w:rPr>
          <w:rFonts w:ascii="Times New Roman" w:hAnsi="Times New Roman"/>
          <w:b w:val="0"/>
          <w:bCs/>
          <w:sz w:val="24"/>
          <w:szCs w:val="24"/>
        </w:rPr>
        <w:lastRenderedPageBreak/>
        <w:t xml:space="preserve">W </w:t>
      </w:r>
      <w:r w:rsidR="005516C5" w:rsidRPr="0075334E">
        <w:rPr>
          <w:rFonts w:ascii="Times New Roman" w:hAnsi="Times New Roman"/>
          <w:b w:val="0"/>
          <w:bCs/>
          <w:sz w:val="24"/>
          <w:szCs w:val="24"/>
        </w:rPr>
        <w:t>201</w:t>
      </w:r>
      <w:r w:rsidR="005516C5">
        <w:rPr>
          <w:rFonts w:ascii="Times New Roman" w:hAnsi="Times New Roman"/>
          <w:b w:val="0"/>
          <w:bCs/>
          <w:sz w:val="24"/>
          <w:szCs w:val="24"/>
        </w:rPr>
        <w:t>8</w:t>
      </w:r>
      <w:r w:rsidR="005516C5" w:rsidRPr="0075334E">
        <w:rPr>
          <w:rFonts w:ascii="Times New Roman" w:hAnsi="Times New Roman"/>
          <w:b w:val="0"/>
          <w:bCs/>
          <w:sz w:val="24"/>
          <w:szCs w:val="24"/>
        </w:rPr>
        <w:t xml:space="preserve"> </w:t>
      </w:r>
      <w:r w:rsidRPr="0075334E">
        <w:rPr>
          <w:rFonts w:ascii="Times New Roman" w:hAnsi="Times New Roman"/>
          <w:b w:val="0"/>
          <w:bCs/>
          <w:sz w:val="24"/>
          <w:szCs w:val="24"/>
        </w:rPr>
        <w:t>r. wpłynęło do GKO</w:t>
      </w:r>
      <w:r w:rsidR="00713684">
        <w:rPr>
          <w:rFonts w:ascii="Times New Roman" w:hAnsi="Times New Roman"/>
          <w:bCs/>
          <w:sz w:val="24"/>
          <w:szCs w:val="24"/>
        </w:rPr>
        <w:t xml:space="preserve"> </w:t>
      </w:r>
      <w:r w:rsidR="00A41806">
        <w:rPr>
          <w:rFonts w:ascii="Times New Roman" w:hAnsi="Times New Roman"/>
          <w:bCs/>
          <w:sz w:val="24"/>
          <w:szCs w:val="24"/>
        </w:rPr>
        <w:t>125</w:t>
      </w:r>
      <w:r w:rsidR="00C952AC">
        <w:rPr>
          <w:rFonts w:ascii="Times New Roman" w:hAnsi="Times New Roman"/>
          <w:bCs/>
          <w:sz w:val="24"/>
          <w:szCs w:val="24"/>
        </w:rPr>
        <w:t xml:space="preserve"> </w:t>
      </w:r>
      <w:r w:rsidR="00C952AC">
        <w:rPr>
          <w:rFonts w:ascii="Times New Roman" w:hAnsi="Times New Roman"/>
          <w:b w:val="0"/>
          <w:bCs/>
          <w:sz w:val="24"/>
          <w:szCs w:val="24"/>
        </w:rPr>
        <w:t>odwołania</w:t>
      </w:r>
      <w:r w:rsidR="00C952AC" w:rsidRPr="0075334E">
        <w:rPr>
          <w:rFonts w:ascii="Times New Roman" w:hAnsi="Times New Roman"/>
          <w:b w:val="0"/>
          <w:bCs/>
          <w:sz w:val="24"/>
          <w:szCs w:val="24"/>
        </w:rPr>
        <w:t xml:space="preserve"> </w:t>
      </w:r>
      <w:r w:rsidRPr="0075334E">
        <w:rPr>
          <w:rFonts w:ascii="Times New Roman" w:hAnsi="Times New Roman"/>
          <w:b w:val="0"/>
          <w:bCs/>
          <w:sz w:val="24"/>
          <w:szCs w:val="24"/>
        </w:rPr>
        <w:t xml:space="preserve">od </w:t>
      </w:r>
      <w:r w:rsidR="00C952AC">
        <w:rPr>
          <w:rFonts w:ascii="Times New Roman" w:hAnsi="Times New Roman"/>
          <w:bCs/>
          <w:sz w:val="24"/>
          <w:szCs w:val="24"/>
        </w:rPr>
        <w:t>99</w:t>
      </w:r>
      <w:r w:rsidR="00C952AC" w:rsidRPr="0075334E">
        <w:rPr>
          <w:rFonts w:ascii="Times New Roman" w:hAnsi="Times New Roman"/>
          <w:b w:val="0"/>
          <w:bCs/>
          <w:sz w:val="24"/>
          <w:szCs w:val="24"/>
        </w:rPr>
        <w:t xml:space="preserve"> </w:t>
      </w:r>
      <w:r w:rsidRPr="0075334E">
        <w:rPr>
          <w:rFonts w:ascii="Times New Roman" w:hAnsi="Times New Roman"/>
          <w:b w:val="0"/>
          <w:bCs/>
          <w:sz w:val="24"/>
          <w:szCs w:val="24"/>
        </w:rPr>
        <w:t>orzeczeń wydanych w pierwszej instancji.</w:t>
      </w:r>
      <w:r w:rsidR="00613635">
        <w:rPr>
          <w:rFonts w:ascii="Times New Roman" w:hAnsi="Times New Roman"/>
          <w:b w:val="0"/>
          <w:bCs/>
          <w:sz w:val="24"/>
          <w:szCs w:val="24"/>
        </w:rPr>
        <w:t xml:space="preserve"> </w:t>
      </w:r>
    </w:p>
    <w:p w:rsidR="00896FF4" w:rsidRDefault="00896FF4">
      <w:pPr>
        <w:rPr>
          <w:bCs/>
        </w:rPr>
      </w:pPr>
    </w:p>
    <w:p w:rsidR="00F5268C" w:rsidRDefault="00694827" w:rsidP="00D27714">
      <w:pPr>
        <w:overflowPunct w:val="0"/>
        <w:autoSpaceDE w:val="0"/>
        <w:autoSpaceDN w:val="0"/>
        <w:adjustRightInd w:val="0"/>
        <w:spacing w:after="120" w:line="360" w:lineRule="auto"/>
        <w:ind w:left="1418" w:hanging="1418"/>
        <w:jc w:val="both"/>
      </w:pPr>
      <w:r w:rsidRPr="0025300E">
        <w:rPr>
          <w:bCs/>
        </w:rPr>
        <w:t xml:space="preserve">Wykres nr 2: Liczba odwołań, które wpłynęły do rozpoznania w roku sprawozdawczym: </w:t>
      </w:r>
      <w:r>
        <w:rPr>
          <w:bCs/>
        </w:rPr>
        <w:t>201</w:t>
      </w:r>
      <w:r w:rsidR="00FB25A7">
        <w:rPr>
          <w:bCs/>
        </w:rPr>
        <w:t>5</w:t>
      </w:r>
      <w:r w:rsidR="00887079">
        <w:rPr>
          <w:bCs/>
        </w:rPr>
        <w:t>, 201</w:t>
      </w:r>
      <w:r w:rsidR="00FB25A7">
        <w:rPr>
          <w:bCs/>
        </w:rPr>
        <w:t>6</w:t>
      </w:r>
      <w:r w:rsidR="00187651">
        <w:rPr>
          <w:bCs/>
        </w:rPr>
        <w:t>, 201</w:t>
      </w:r>
      <w:r w:rsidR="00FB25A7">
        <w:rPr>
          <w:bCs/>
        </w:rPr>
        <w:t>7</w:t>
      </w:r>
      <w:r w:rsidR="0001010F">
        <w:rPr>
          <w:bCs/>
        </w:rPr>
        <w:t xml:space="preserve"> oraz</w:t>
      </w:r>
      <w:r w:rsidR="0041379B">
        <w:rPr>
          <w:bCs/>
        </w:rPr>
        <w:t xml:space="preserve"> </w:t>
      </w:r>
      <w:r w:rsidR="00887079">
        <w:rPr>
          <w:bCs/>
        </w:rPr>
        <w:t>201</w:t>
      </w:r>
      <w:r w:rsidR="00FB25A7">
        <w:rPr>
          <w:bCs/>
        </w:rPr>
        <w:t>8</w:t>
      </w:r>
      <w:r w:rsidR="00887079" w:rsidRPr="0025300E">
        <w:rPr>
          <w:bCs/>
        </w:rPr>
        <w:t xml:space="preserve"> </w:t>
      </w:r>
      <w:r w:rsidRPr="0025300E">
        <w:rPr>
          <w:bCs/>
        </w:rPr>
        <w:t>(ujęcie porównawcze)</w:t>
      </w:r>
    </w:p>
    <w:p w:rsidR="00D3667F" w:rsidRPr="00F53F74" w:rsidRDefault="008A1B4F" w:rsidP="006012B4">
      <w:pPr>
        <w:pStyle w:val="Tekstpodstawowy"/>
        <w:spacing w:after="120" w:line="360" w:lineRule="atLeast"/>
      </w:pPr>
      <w:r>
        <w:rPr>
          <w:noProof/>
        </w:rPr>
        <w:drawing>
          <wp:inline distT="0" distB="0" distL="0" distR="0" wp14:anchorId="38CF2C82" wp14:editId="4C7CBBD0">
            <wp:extent cx="5760085" cy="3664916"/>
            <wp:effectExtent l="0" t="0" r="31115" b="3111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Del="008A1B4F">
        <w:rPr>
          <w:noProof/>
        </w:rPr>
        <w:t xml:space="preserve"> </w:t>
      </w:r>
    </w:p>
    <w:p w:rsidR="00F341D4" w:rsidRPr="00E939D5" w:rsidRDefault="00F341D4" w:rsidP="006012B4">
      <w:pPr>
        <w:pStyle w:val="Tekstpodstawowy"/>
        <w:spacing w:after="120" w:line="360" w:lineRule="atLeast"/>
      </w:pPr>
    </w:p>
    <w:p w:rsidR="00D3667F" w:rsidRDefault="00D3667F" w:rsidP="00E668D1">
      <w:pPr>
        <w:pStyle w:val="akapit"/>
        <w:spacing w:line="360" w:lineRule="auto"/>
        <w:ind w:left="100"/>
        <w:jc w:val="both"/>
        <w:rPr>
          <w:rFonts w:ascii="Times New Roman" w:hAnsi="Times New Roman"/>
          <w:bCs/>
          <w:sz w:val="24"/>
          <w:szCs w:val="24"/>
        </w:rPr>
      </w:pPr>
      <w:r w:rsidRPr="002D19FD">
        <w:rPr>
          <w:rFonts w:ascii="Times New Roman" w:hAnsi="Times New Roman"/>
          <w:bCs/>
          <w:sz w:val="24"/>
          <w:szCs w:val="24"/>
        </w:rPr>
        <w:t xml:space="preserve">W </w:t>
      </w:r>
      <w:r>
        <w:rPr>
          <w:rFonts w:ascii="Times New Roman" w:hAnsi="Times New Roman"/>
          <w:bCs/>
          <w:sz w:val="24"/>
          <w:szCs w:val="24"/>
        </w:rPr>
        <w:t>GKO pozostawało za</w:t>
      </w:r>
      <w:r w:rsidR="00A461BD">
        <w:rPr>
          <w:rFonts w:ascii="Times New Roman" w:hAnsi="Times New Roman"/>
          <w:bCs/>
          <w:sz w:val="24"/>
          <w:szCs w:val="24"/>
        </w:rPr>
        <w:t xml:space="preserve">tem łącznie do rozpoznania w </w:t>
      </w:r>
      <w:r w:rsidR="00887079">
        <w:rPr>
          <w:rFonts w:ascii="Times New Roman" w:hAnsi="Times New Roman"/>
          <w:bCs/>
          <w:sz w:val="24"/>
          <w:szCs w:val="24"/>
        </w:rPr>
        <w:t>201</w:t>
      </w:r>
      <w:r w:rsidR="00F247A5">
        <w:rPr>
          <w:rFonts w:ascii="Times New Roman" w:hAnsi="Times New Roman"/>
          <w:bCs/>
          <w:sz w:val="24"/>
          <w:szCs w:val="24"/>
        </w:rPr>
        <w:t>8</w:t>
      </w:r>
      <w:r w:rsidR="00887079">
        <w:rPr>
          <w:rFonts w:ascii="Times New Roman" w:hAnsi="Times New Roman"/>
          <w:bCs/>
          <w:sz w:val="24"/>
          <w:szCs w:val="24"/>
        </w:rPr>
        <w:t xml:space="preserve"> </w:t>
      </w:r>
      <w:r>
        <w:rPr>
          <w:rFonts w:ascii="Times New Roman" w:hAnsi="Times New Roman"/>
          <w:bCs/>
          <w:sz w:val="24"/>
          <w:szCs w:val="24"/>
        </w:rPr>
        <w:t>r.</w:t>
      </w:r>
      <w:r w:rsidRPr="002D19FD">
        <w:rPr>
          <w:rFonts w:ascii="Times New Roman" w:hAnsi="Times New Roman"/>
          <w:bCs/>
          <w:sz w:val="24"/>
          <w:szCs w:val="24"/>
        </w:rPr>
        <w:t xml:space="preserve"> </w:t>
      </w:r>
      <w:r w:rsidR="00F247A5">
        <w:rPr>
          <w:rFonts w:ascii="Times New Roman" w:hAnsi="Times New Roman"/>
          <w:bCs/>
          <w:sz w:val="24"/>
          <w:szCs w:val="24"/>
        </w:rPr>
        <w:t>1</w:t>
      </w:r>
      <w:r w:rsidR="004B21C9">
        <w:rPr>
          <w:rFonts w:ascii="Times New Roman" w:hAnsi="Times New Roman"/>
          <w:bCs/>
          <w:sz w:val="24"/>
          <w:szCs w:val="24"/>
        </w:rPr>
        <w:t>71</w:t>
      </w:r>
      <w:r w:rsidR="00F247A5" w:rsidRPr="002D19FD">
        <w:rPr>
          <w:rFonts w:ascii="Times New Roman" w:hAnsi="Times New Roman"/>
          <w:bCs/>
          <w:sz w:val="24"/>
          <w:szCs w:val="24"/>
        </w:rPr>
        <w:t xml:space="preserve"> </w:t>
      </w:r>
      <w:r w:rsidR="009C63A3" w:rsidRPr="002D19FD">
        <w:rPr>
          <w:rFonts w:ascii="Times New Roman" w:hAnsi="Times New Roman"/>
          <w:bCs/>
          <w:sz w:val="24"/>
          <w:szCs w:val="24"/>
        </w:rPr>
        <w:t>odwoła</w:t>
      </w:r>
      <w:r w:rsidR="009C63A3">
        <w:rPr>
          <w:rFonts w:ascii="Times New Roman" w:hAnsi="Times New Roman"/>
          <w:bCs/>
          <w:sz w:val="24"/>
          <w:szCs w:val="24"/>
        </w:rPr>
        <w:t>ń</w:t>
      </w:r>
      <w:r w:rsidR="009C63A3" w:rsidRPr="002D19FD">
        <w:rPr>
          <w:rFonts w:ascii="Times New Roman" w:hAnsi="Times New Roman"/>
          <w:bCs/>
          <w:sz w:val="24"/>
          <w:szCs w:val="24"/>
        </w:rPr>
        <w:t xml:space="preserve"> </w:t>
      </w:r>
      <w:r w:rsidRPr="00EE0D9B">
        <w:rPr>
          <w:rFonts w:ascii="Times New Roman" w:hAnsi="Times New Roman"/>
          <w:bCs/>
          <w:sz w:val="24"/>
          <w:szCs w:val="24"/>
        </w:rPr>
        <w:t xml:space="preserve">od </w:t>
      </w:r>
      <w:r w:rsidR="00F247A5">
        <w:rPr>
          <w:rFonts w:ascii="Times New Roman" w:hAnsi="Times New Roman"/>
          <w:bCs/>
          <w:sz w:val="24"/>
          <w:szCs w:val="24"/>
        </w:rPr>
        <w:t>135</w:t>
      </w:r>
      <w:r w:rsidR="00F247A5" w:rsidRPr="00EE0D9B">
        <w:rPr>
          <w:rFonts w:ascii="Times New Roman" w:hAnsi="Times New Roman"/>
          <w:bCs/>
          <w:sz w:val="24"/>
          <w:szCs w:val="24"/>
        </w:rPr>
        <w:t xml:space="preserve"> </w:t>
      </w:r>
      <w:r w:rsidRPr="00EE0D9B">
        <w:rPr>
          <w:rFonts w:ascii="Times New Roman" w:hAnsi="Times New Roman"/>
          <w:bCs/>
          <w:sz w:val="24"/>
          <w:szCs w:val="24"/>
        </w:rPr>
        <w:t>orzeczeń wydanych w pierwszej instancji.</w:t>
      </w:r>
      <w:r w:rsidRPr="002D19FD">
        <w:rPr>
          <w:rFonts w:ascii="Times New Roman" w:hAnsi="Times New Roman"/>
          <w:bCs/>
          <w:sz w:val="24"/>
          <w:szCs w:val="24"/>
        </w:rPr>
        <w:t xml:space="preserve"> </w:t>
      </w:r>
    </w:p>
    <w:p w:rsidR="00D3667F" w:rsidRPr="0046059C" w:rsidRDefault="00D3667F" w:rsidP="00BA1D31">
      <w:pPr>
        <w:pStyle w:val="Tekstpodstawowy"/>
        <w:numPr>
          <w:ilvl w:val="2"/>
          <w:numId w:val="15"/>
        </w:numPr>
        <w:tabs>
          <w:tab w:val="clear" w:pos="2520"/>
          <w:tab w:val="num" w:pos="400"/>
        </w:tabs>
        <w:spacing w:after="120" w:line="360" w:lineRule="auto"/>
        <w:ind w:left="400" w:hanging="300"/>
      </w:pPr>
      <w:r>
        <w:t xml:space="preserve">Z ogólnej liczby </w:t>
      </w:r>
      <w:r w:rsidR="00F247A5">
        <w:rPr>
          <w:b/>
        </w:rPr>
        <w:t>12</w:t>
      </w:r>
      <w:r w:rsidR="004B21C9">
        <w:rPr>
          <w:b/>
        </w:rPr>
        <w:t>5</w:t>
      </w:r>
      <w:r w:rsidR="00F247A5">
        <w:t xml:space="preserve"> </w:t>
      </w:r>
      <w:r>
        <w:t xml:space="preserve">odwołań wniesionych w </w:t>
      </w:r>
      <w:r w:rsidR="00887079">
        <w:t>201</w:t>
      </w:r>
      <w:r w:rsidR="00F247A5">
        <w:t>8</w:t>
      </w:r>
      <w:r w:rsidR="00887079">
        <w:t xml:space="preserve"> </w:t>
      </w:r>
      <w:r>
        <w:t xml:space="preserve">r. </w:t>
      </w:r>
      <w:r w:rsidRPr="0046059C">
        <w:t xml:space="preserve">– </w:t>
      </w:r>
      <w:r w:rsidR="004B21C9">
        <w:rPr>
          <w:b/>
        </w:rPr>
        <w:t>108</w:t>
      </w:r>
      <w:r w:rsidR="004B21C9" w:rsidRPr="00A41806">
        <w:t xml:space="preserve"> </w:t>
      </w:r>
      <w:r w:rsidRPr="00A41806">
        <w:t>został</w:t>
      </w:r>
      <w:r w:rsidR="003B2337" w:rsidRPr="00A41806">
        <w:t>o</w:t>
      </w:r>
      <w:r w:rsidRPr="00A41806">
        <w:t xml:space="preserve"> wniesion</w:t>
      </w:r>
      <w:r w:rsidR="003B2337" w:rsidRPr="00A41806">
        <w:t>ych</w:t>
      </w:r>
      <w:r w:rsidRPr="004B21C9">
        <w:t xml:space="preserve"> przez obwinionych</w:t>
      </w:r>
      <w:r w:rsidR="00F668BF" w:rsidRPr="004B21C9">
        <w:t xml:space="preserve"> i/lub ich obrońców</w:t>
      </w:r>
      <w:r w:rsidRPr="004B21C9">
        <w:t>, a</w:t>
      </w:r>
      <w:r w:rsidRPr="0046059C">
        <w:t xml:space="preserve"> </w:t>
      </w:r>
      <w:r w:rsidR="004B21C9">
        <w:rPr>
          <w:b/>
        </w:rPr>
        <w:t>17</w:t>
      </w:r>
      <w:r w:rsidR="004B21C9" w:rsidRPr="0046059C">
        <w:t xml:space="preserve"> </w:t>
      </w:r>
      <w:r w:rsidRPr="0046059C">
        <w:t>przez rzeczników dyscypliny finansów publicznych.</w:t>
      </w:r>
    </w:p>
    <w:p w:rsidR="00D3667F" w:rsidRPr="0046059C" w:rsidRDefault="00D3667F" w:rsidP="00BA1D31">
      <w:pPr>
        <w:pStyle w:val="Tekstpodstawowy"/>
        <w:numPr>
          <w:ilvl w:val="2"/>
          <w:numId w:val="15"/>
        </w:numPr>
        <w:tabs>
          <w:tab w:val="clear" w:pos="2520"/>
          <w:tab w:val="num" w:pos="400"/>
        </w:tabs>
        <w:spacing w:after="120" w:line="360" w:lineRule="auto"/>
        <w:ind w:left="400" w:hanging="300"/>
      </w:pPr>
      <w:r w:rsidRPr="0046059C">
        <w:t xml:space="preserve">Do GKO w </w:t>
      </w:r>
      <w:r w:rsidR="00887079" w:rsidRPr="0046059C">
        <w:t>201</w:t>
      </w:r>
      <w:r w:rsidR="00A313F3">
        <w:t>7</w:t>
      </w:r>
      <w:r w:rsidR="00887079" w:rsidRPr="0046059C">
        <w:t xml:space="preserve"> </w:t>
      </w:r>
      <w:r w:rsidRPr="0046059C">
        <w:t>r. wpłynęło:</w:t>
      </w:r>
    </w:p>
    <w:p w:rsidR="00D3667F" w:rsidRDefault="004B21C9" w:rsidP="00E668D1">
      <w:pPr>
        <w:numPr>
          <w:ilvl w:val="0"/>
          <w:numId w:val="3"/>
        </w:numPr>
        <w:tabs>
          <w:tab w:val="clear" w:pos="1048"/>
          <w:tab w:val="num" w:pos="753"/>
          <w:tab w:val="num" w:pos="800"/>
        </w:tabs>
        <w:overflowPunct w:val="0"/>
        <w:autoSpaceDE w:val="0"/>
        <w:autoSpaceDN w:val="0"/>
        <w:adjustRightInd w:val="0"/>
        <w:spacing w:after="120" w:line="360" w:lineRule="auto"/>
        <w:ind w:left="800" w:hanging="300"/>
        <w:jc w:val="both"/>
      </w:pPr>
      <w:r>
        <w:rPr>
          <w:b/>
          <w:bCs/>
        </w:rPr>
        <w:t>100</w:t>
      </w:r>
      <w:r w:rsidR="00F247A5">
        <w:t xml:space="preserve"> </w:t>
      </w:r>
      <w:r w:rsidR="004933FE">
        <w:t xml:space="preserve">odwołania wniesione </w:t>
      </w:r>
      <w:r w:rsidR="00D3667F">
        <w:t>od orzeczeń wydanych przez regionalne komisje orzekające w sprawach o naruszenie dyscypliny finansów publicznych przy regionalnych izbach obrachunkowych,</w:t>
      </w:r>
    </w:p>
    <w:p w:rsidR="00D3667F" w:rsidRDefault="00F247A5" w:rsidP="00E668D1">
      <w:pPr>
        <w:numPr>
          <w:ilvl w:val="0"/>
          <w:numId w:val="3"/>
        </w:numPr>
        <w:tabs>
          <w:tab w:val="clear" w:pos="1048"/>
          <w:tab w:val="num" w:pos="753"/>
          <w:tab w:val="num" w:pos="800"/>
        </w:tabs>
        <w:overflowPunct w:val="0"/>
        <w:autoSpaceDE w:val="0"/>
        <w:autoSpaceDN w:val="0"/>
        <w:adjustRightInd w:val="0"/>
        <w:spacing w:after="120" w:line="360" w:lineRule="auto"/>
        <w:ind w:left="800" w:hanging="300"/>
        <w:jc w:val="both"/>
      </w:pPr>
      <w:r>
        <w:rPr>
          <w:b/>
        </w:rPr>
        <w:t>25</w:t>
      </w:r>
      <w:r w:rsidRPr="00230593">
        <w:rPr>
          <w:b/>
        </w:rPr>
        <w:t xml:space="preserve"> </w:t>
      </w:r>
      <w:r w:rsidR="004933FE">
        <w:t xml:space="preserve">odwołania wniesione </w:t>
      </w:r>
      <w:r w:rsidR="00D3667F">
        <w:t>od orzeczeń</w:t>
      </w:r>
      <w:r w:rsidR="00211323">
        <w:t xml:space="preserve"> </w:t>
      </w:r>
      <w:r w:rsidR="005B644A">
        <w:t>międzyresortowych</w:t>
      </w:r>
      <w:r w:rsidR="00B369B1">
        <w:t xml:space="preserve"> komisji orzekających w </w:t>
      </w:r>
      <w:r w:rsidR="00D3667F">
        <w:t>sprawach o naruszenie dyscypliny finan</w:t>
      </w:r>
      <w:r w:rsidR="00A84993">
        <w:t>sów publicznych</w:t>
      </w:r>
      <w:r w:rsidR="00ED1F02">
        <w:t>.</w:t>
      </w:r>
    </w:p>
    <w:p w:rsidR="00E458DB" w:rsidRDefault="00E458DB" w:rsidP="00695C9D">
      <w:pPr>
        <w:tabs>
          <w:tab w:val="num" w:pos="1048"/>
        </w:tabs>
        <w:overflowPunct w:val="0"/>
        <w:autoSpaceDE w:val="0"/>
        <w:autoSpaceDN w:val="0"/>
        <w:adjustRightInd w:val="0"/>
        <w:spacing w:after="120" w:line="360" w:lineRule="auto"/>
        <w:ind w:left="800"/>
        <w:jc w:val="both"/>
      </w:pPr>
    </w:p>
    <w:p w:rsidR="00E458DB" w:rsidRDefault="00E458DB">
      <w:r>
        <w:br w:type="page"/>
      </w:r>
    </w:p>
    <w:p w:rsidR="00D3667F" w:rsidRPr="004157B7" w:rsidRDefault="00D3667F" w:rsidP="00BA1D31">
      <w:pPr>
        <w:pStyle w:val="akapit"/>
        <w:numPr>
          <w:ilvl w:val="0"/>
          <w:numId w:val="39"/>
        </w:numPr>
        <w:spacing w:line="360" w:lineRule="auto"/>
        <w:jc w:val="both"/>
        <w:rPr>
          <w:rFonts w:ascii="Times New Roman" w:hAnsi="Times New Roman"/>
          <w:b w:val="0"/>
          <w:bCs/>
          <w:sz w:val="24"/>
          <w:szCs w:val="24"/>
        </w:rPr>
      </w:pPr>
      <w:r w:rsidRPr="004157B7">
        <w:rPr>
          <w:rFonts w:ascii="Times New Roman" w:hAnsi="Times New Roman"/>
          <w:b w:val="0"/>
          <w:bCs/>
          <w:sz w:val="24"/>
          <w:szCs w:val="24"/>
        </w:rPr>
        <w:lastRenderedPageBreak/>
        <w:t>Odwołania rozpoznane w ciągu roku sprawozdawczego</w:t>
      </w:r>
    </w:p>
    <w:p w:rsidR="00D3667F" w:rsidRDefault="00D3667F" w:rsidP="004157B7">
      <w:pPr>
        <w:overflowPunct w:val="0"/>
        <w:autoSpaceDE w:val="0"/>
        <w:autoSpaceDN w:val="0"/>
        <w:adjustRightInd w:val="0"/>
        <w:spacing w:after="120" w:line="360" w:lineRule="auto"/>
        <w:ind w:left="360"/>
        <w:jc w:val="both"/>
      </w:pPr>
      <w:r w:rsidRPr="00BC2A3C">
        <w:rPr>
          <w:szCs w:val="20"/>
        </w:rPr>
        <w:t xml:space="preserve">GKO rozpoznała w </w:t>
      </w:r>
      <w:r w:rsidR="00F1372E" w:rsidRPr="00BC2A3C">
        <w:rPr>
          <w:szCs w:val="20"/>
        </w:rPr>
        <w:t>201</w:t>
      </w:r>
      <w:r w:rsidR="00F1372E">
        <w:rPr>
          <w:szCs w:val="20"/>
        </w:rPr>
        <w:t>8</w:t>
      </w:r>
      <w:r w:rsidR="00F1372E" w:rsidRPr="00BC2A3C">
        <w:rPr>
          <w:szCs w:val="20"/>
        </w:rPr>
        <w:t xml:space="preserve"> </w:t>
      </w:r>
      <w:r w:rsidRPr="00BC2A3C">
        <w:rPr>
          <w:szCs w:val="20"/>
        </w:rPr>
        <w:t xml:space="preserve">r. </w:t>
      </w:r>
      <w:r w:rsidR="00613635">
        <w:rPr>
          <w:b/>
          <w:szCs w:val="20"/>
        </w:rPr>
        <w:t>1</w:t>
      </w:r>
      <w:r w:rsidR="00584AD8">
        <w:rPr>
          <w:b/>
          <w:szCs w:val="20"/>
        </w:rPr>
        <w:t>60</w:t>
      </w:r>
      <w:r w:rsidR="00613635">
        <w:rPr>
          <w:b/>
          <w:szCs w:val="20"/>
        </w:rPr>
        <w:t xml:space="preserve"> </w:t>
      </w:r>
      <w:r w:rsidR="00675405">
        <w:rPr>
          <w:szCs w:val="20"/>
        </w:rPr>
        <w:t>odwoł</w:t>
      </w:r>
      <w:r w:rsidR="00613635">
        <w:t>a</w:t>
      </w:r>
      <w:r w:rsidR="004452CC">
        <w:rPr>
          <w:szCs w:val="20"/>
        </w:rPr>
        <w:t>ń</w:t>
      </w:r>
      <w:r w:rsidRPr="00BC2A3C">
        <w:t xml:space="preserve"> z czego: </w:t>
      </w:r>
      <w:r w:rsidR="004B21C9">
        <w:rPr>
          <w:b/>
        </w:rPr>
        <w:t>1</w:t>
      </w:r>
      <w:r w:rsidR="004B21C9">
        <w:t xml:space="preserve"> odwołanie</w:t>
      </w:r>
      <w:r w:rsidR="004B21C9" w:rsidRPr="00BC2A3C">
        <w:t xml:space="preserve"> </w:t>
      </w:r>
      <w:r w:rsidRPr="00BC2A3C">
        <w:t xml:space="preserve">z </w:t>
      </w:r>
      <w:r w:rsidR="004B21C9" w:rsidRPr="00BC2A3C">
        <w:t>201</w:t>
      </w:r>
      <w:r w:rsidR="004B21C9">
        <w:t>6</w:t>
      </w:r>
      <w:r w:rsidR="004B21C9" w:rsidRPr="00BC2A3C">
        <w:t xml:space="preserve"> </w:t>
      </w:r>
      <w:r w:rsidRPr="00BC2A3C">
        <w:t>r</w:t>
      </w:r>
      <w:r w:rsidR="00A132E8">
        <w:t>.</w:t>
      </w:r>
      <w:r w:rsidR="00A313F3">
        <w:t xml:space="preserve"> (</w:t>
      </w:r>
      <w:r w:rsidR="004B21C9">
        <w:t xml:space="preserve">odwołanie </w:t>
      </w:r>
      <w:r w:rsidR="00A313F3">
        <w:t>t</w:t>
      </w:r>
      <w:r w:rsidR="00613635">
        <w:t>o</w:t>
      </w:r>
      <w:r w:rsidR="00A313F3">
        <w:t xml:space="preserve"> został</w:t>
      </w:r>
      <w:r w:rsidR="00613635">
        <w:t>o</w:t>
      </w:r>
      <w:r w:rsidR="00A313F3">
        <w:t xml:space="preserve"> rozpatrzone</w:t>
      </w:r>
      <w:r w:rsidR="00613635">
        <w:t xml:space="preserve"> w</w:t>
      </w:r>
      <w:r w:rsidR="00A313F3">
        <w:t xml:space="preserve"> </w:t>
      </w:r>
      <w:r w:rsidR="00613635">
        <w:t>2018 r. z uwagi na wcześniejsze wnioski obwinionego odroczenie rozprawy</w:t>
      </w:r>
      <w:r w:rsidR="00A313F3">
        <w:t xml:space="preserve">), </w:t>
      </w:r>
      <w:r w:rsidR="004B21C9">
        <w:rPr>
          <w:b/>
        </w:rPr>
        <w:t>4</w:t>
      </w:r>
      <w:r w:rsidR="004B21C9">
        <w:t xml:space="preserve"> </w:t>
      </w:r>
      <w:r w:rsidR="00D72A36">
        <w:t>odwołania z 2015 r.</w:t>
      </w:r>
      <w:r w:rsidR="00F404A8">
        <w:t xml:space="preserve"> </w:t>
      </w:r>
      <w:r w:rsidRPr="00BC2A3C">
        <w:t>(</w:t>
      </w:r>
      <w:r w:rsidR="00A132E8" w:rsidRPr="00BC2A3C">
        <w:rPr>
          <w:bCs/>
        </w:rPr>
        <w:t>odwołani</w:t>
      </w:r>
      <w:r w:rsidR="00D72A36">
        <w:rPr>
          <w:bCs/>
        </w:rPr>
        <w:t>a</w:t>
      </w:r>
      <w:r w:rsidR="00A132E8" w:rsidRPr="00BC2A3C">
        <w:rPr>
          <w:bCs/>
        </w:rPr>
        <w:t xml:space="preserve"> </w:t>
      </w:r>
      <w:r w:rsidR="00241747">
        <w:rPr>
          <w:bCs/>
        </w:rPr>
        <w:t>t</w:t>
      </w:r>
      <w:r w:rsidR="00D72A36">
        <w:rPr>
          <w:bCs/>
        </w:rPr>
        <w:t>e</w:t>
      </w:r>
      <w:r w:rsidR="002172D0">
        <w:rPr>
          <w:bCs/>
        </w:rPr>
        <w:t xml:space="preserve"> </w:t>
      </w:r>
      <w:r w:rsidR="00A132E8" w:rsidRPr="00BC2A3C">
        <w:rPr>
          <w:bCs/>
        </w:rPr>
        <w:t>został</w:t>
      </w:r>
      <w:r w:rsidR="00D72A36">
        <w:rPr>
          <w:bCs/>
        </w:rPr>
        <w:t>y</w:t>
      </w:r>
      <w:r w:rsidR="00A132E8" w:rsidRPr="00BC2A3C">
        <w:rPr>
          <w:bCs/>
        </w:rPr>
        <w:t xml:space="preserve"> </w:t>
      </w:r>
      <w:r w:rsidRPr="00BC2A3C">
        <w:rPr>
          <w:bCs/>
        </w:rPr>
        <w:t>przekazane GKO</w:t>
      </w:r>
      <w:r w:rsidR="00613635">
        <w:rPr>
          <w:bCs/>
        </w:rPr>
        <w:t xml:space="preserve"> </w:t>
      </w:r>
      <w:r w:rsidRPr="00BC2A3C">
        <w:rPr>
          <w:bCs/>
        </w:rPr>
        <w:t xml:space="preserve">do ponownego rozpoznania </w:t>
      </w:r>
      <w:r w:rsidR="00F1302A">
        <w:rPr>
          <w:bCs/>
        </w:rPr>
        <w:t xml:space="preserve">- </w:t>
      </w:r>
      <w:r w:rsidRPr="00BC2A3C">
        <w:rPr>
          <w:bCs/>
        </w:rPr>
        <w:t xml:space="preserve">przez </w:t>
      </w:r>
      <w:r w:rsidR="00B6238A">
        <w:rPr>
          <w:bCs/>
        </w:rPr>
        <w:t>Wojewódzki Sąd Administracyjny w Warszawie</w:t>
      </w:r>
      <w:r w:rsidR="00B45308" w:rsidRPr="00BC2A3C">
        <w:rPr>
          <w:bCs/>
        </w:rPr>
        <w:t xml:space="preserve"> </w:t>
      </w:r>
      <w:r w:rsidRPr="00BC2A3C">
        <w:rPr>
          <w:bCs/>
        </w:rPr>
        <w:t>- po uchyleniu orzecze</w:t>
      </w:r>
      <w:r w:rsidR="00D72A36">
        <w:rPr>
          <w:bCs/>
        </w:rPr>
        <w:t>nia</w:t>
      </w:r>
      <w:r w:rsidRPr="00BC2A3C">
        <w:rPr>
          <w:bCs/>
        </w:rPr>
        <w:t xml:space="preserve"> GKO),</w:t>
      </w:r>
      <w:r w:rsidRPr="00BC2A3C">
        <w:t xml:space="preserve"> </w:t>
      </w:r>
      <w:r w:rsidR="00F1372E">
        <w:rPr>
          <w:b/>
        </w:rPr>
        <w:t>4</w:t>
      </w:r>
      <w:r w:rsidR="00584AD8">
        <w:rPr>
          <w:b/>
        </w:rPr>
        <w:t>2</w:t>
      </w:r>
      <w:r w:rsidR="00F1372E">
        <w:t xml:space="preserve"> </w:t>
      </w:r>
      <w:r w:rsidR="00D72A36">
        <w:t>odwoła</w:t>
      </w:r>
      <w:r w:rsidR="00584AD8">
        <w:t>nia</w:t>
      </w:r>
      <w:r w:rsidR="009C63A3">
        <w:t xml:space="preserve"> wniesion</w:t>
      </w:r>
      <w:r w:rsidR="00584AD8">
        <w:t>e</w:t>
      </w:r>
      <w:r w:rsidR="009C63A3" w:rsidRPr="00BC2A3C">
        <w:t xml:space="preserve"> </w:t>
      </w:r>
      <w:r w:rsidR="00E35E1A">
        <w:t>w </w:t>
      </w:r>
      <w:r w:rsidR="00F1372E" w:rsidRPr="00BC2A3C">
        <w:t>201</w:t>
      </w:r>
      <w:r w:rsidR="00F1372E">
        <w:t>7</w:t>
      </w:r>
      <w:r w:rsidR="00F1372E" w:rsidRPr="00BC2A3C">
        <w:t xml:space="preserve"> </w:t>
      </w:r>
      <w:r w:rsidRPr="00BC2A3C">
        <w:t>r. oraz</w:t>
      </w:r>
      <w:r w:rsidRPr="00187651">
        <w:rPr>
          <w:b/>
        </w:rPr>
        <w:t xml:space="preserve"> </w:t>
      </w:r>
      <w:r w:rsidR="004452CC">
        <w:rPr>
          <w:b/>
        </w:rPr>
        <w:t>113</w:t>
      </w:r>
      <w:r w:rsidR="004B21C9" w:rsidRPr="00BC2A3C">
        <w:t xml:space="preserve"> </w:t>
      </w:r>
      <w:r w:rsidRPr="00BC2A3C">
        <w:t>odwoła</w:t>
      </w:r>
      <w:r w:rsidR="00187651">
        <w:t>ń</w:t>
      </w:r>
      <w:r w:rsidRPr="00BC2A3C">
        <w:t xml:space="preserve"> wniesion</w:t>
      </w:r>
      <w:r w:rsidR="00187651">
        <w:t>ych</w:t>
      </w:r>
      <w:r w:rsidR="002A485B">
        <w:t xml:space="preserve"> </w:t>
      </w:r>
      <w:r w:rsidR="005F7B9D">
        <w:t>w</w:t>
      </w:r>
      <w:r w:rsidR="00B528DE">
        <w:t> </w:t>
      </w:r>
      <w:r w:rsidR="004B21C9">
        <w:t>2018</w:t>
      </w:r>
      <w:r w:rsidR="00613635">
        <w:t> </w:t>
      </w:r>
      <w:r w:rsidRPr="00BC2A3C">
        <w:t>r.</w:t>
      </w:r>
      <w:r>
        <w:t xml:space="preserve"> </w:t>
      </w:r>
    </w:p>
    <w:p w:rsidR="00F56CA0" w:rsidRDefault="00F56CA0" w:rsidP="004157B7">
      <w:pPr>
        <w:overflowPunct w:val="0"/>
        <w:autoSpaceDE w:val="0"/>
        <w:autoSpaceDN w:val="0"/>
        <w:adjustRightInd w:val="0"/>
        <w:spacing w:after="120" w:line="360" w:lineRule="auto"/>
        <w:ind w:left="360"/>
        <w:jc w:val="both"/>
      </w:pPr>
    </w:p>
    <w:p w:rsidR="008A07E4" w:rsidRPr="006837D3" w:rsidRDefault="00EB27B5">
      <w:pPr>
        <w:overflowPunct w:val="0"/>
        <w:autoSpaceDE w:val="0"/>
        <w:autoSpaceDN w:val="0"/>
        <w:adjustRightInd w:val="0"/>
        <w:spacing w:after="120" w:line="360" w:lineRule="auto"/>
        <w:ind w:left="1418" w:hanging="1418"/>
        <w:jc w:val="both"/>
        <w:rPr>
          <w:bCs/>
        </w:rPr>
      </w:pPr>
      <w:r w:rsidRPr="0025300E">
        <w:rPr>
          <w:szCs w:val="20"/>
        </w:rPr>
        <w:t>Wykres nr 3</w:t>
      </w:r>
      <w:r w:rsidRPr="00D70CE5">
        <w:rPr>
          <w:bCs/>
        </w:rPr>
        <w:t>: Liczba odwołań rozpoznanych w ciągu: 201</w:t>
      </w:r>
      <w:r w:rsidR="00FB25A7" w:rsidRPr="00D70CE5">
        <w:rPr>
          <w:bCs/>
        </w:rPr>
        <w:t>5</w:t>
      </w:r>
      <w:r w:rsidR="00033FE9" w:rsidRPr="00D70CE5">
        <w:rPr>
          <w:bCs/>
        </w:rPr>
        <w:t>, 201</w:t>
      </w:r>
      <w:r w:rsidR="00FB25A7" w:rsidRPr="00D70CE5">
        <w:rPr>
          <w:bCs/>
        </w:rPr>
        <w:t>6</w:t>
      </w:r>
      <w:r w:rsidR="00187651" w:rsidRPr="00D70CE5">
        <w:rPr>
          <w:bCs/>
        </w:rPr>
        <w:t>, 201</w:t>
      </w:r>
      <w:r w:rsidR="00FB25A7" w:rsidRPr="00584AD8">
        <w:rPr>
          <w:bCs/>
        </w:rPr>
        <w:t>7</w:t>
      </w:r>
      <w:r w:rsidR="0001010F" w:rsidRPr="00584AD8">
        <w:rPr>
          <w:bCs/>
        </w:rPr>
        <w:t xml:space="preserve"> oraz</w:t>
      </w:r>
      <w:r w:rsidR="005B644A" w:rsidRPr="003D1422">
        <w:rPr>
          <w:bCs/>
        </w:rPr>
        <w:t xml:space="preserve"> </w:t>
      </w:r>
      <w:r w:rsidR="00033FE9" w:rsidRPr="003D1422">
        <w:rPr>
          <w:bCs/>
        </w:rPr>
        <w:t>201</w:t>
      </w:r>
      <w:r w:rsidR="00FB25A7" w:rsidRPr="003D5D2D">
        <w:rPr>
          <w:bCs/>
        </w:rPr>
        <w:t>8</w:t>
      </w:r>
      <w:r w:rsidR="00033FE9" w:rsidRPr="006837D3">
        <w:rPr>
          <w:bCs/>
        </w:rPr>
        <w:t xml:space="preserve"> </w:t>
      </w:r>
      <w:r w:rsidRPr="006837D3">
        <w:rPr>
          <w:bCs/>
        </w:rPr>
        <w:t>roku (ujęcie porównawcze)</w:t>
      </w:r>
    </w:p>
    <w:p w:rsidR="00951915" w:rsidRPr="00695C9D" w:rsidRDefault="006837D3" w:rsidP="00E668D1">
      <w:pPr>
        <w:overflowPunct w:val="0"/>
        <w:autoSpaceDE w:val="0"/>
        <w:autoSpaceDN w:val="0"/>
        <w:adjustRightInd w:val="0"/>
        <w:spacing w:after="120" w:line="360" w:lineRule="auto"/>
        <w:jc w:val="both"/>
        <w:rPr>
          <w:szCs w:val="20"/>
        </w:rPr>
      </w:pPr>
      <w:r>
        <w:rPr>
          <w:noProof/>
        </w:rPr>
        <w:drawing>
          <wp:inline distT="0" distB="0" distL="0" distR="0" wp14:anchorId="2136B3C8" wp14:editId="7B2C9777">
            <wp:extent cx="5760085" cy="2810510"/>
            <wp:effectExtent l="0" t="0" r="31115" b="4699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8A1B4F" w:rsidDel="008A1B4F">
        <w:rPr>
          <w:noProof/>
        </w:rPr>
        <w:t xml:space="preserve"> </w:t>
      </w:r>
    </w:p>
    <w:p w:rsidR="00D3667F" w:rsidRPr="00AC650B" w:rsidRDefault="00D3667F" w:rsidP="00E668D1">
      <w:pPr>
        <w:overflowPunct w:val="0"/>
        <w:autoSpaceDE w:val="0"/>
        <w:autoSpaceDN w:val="0"/>
        <w:adjustRightInd w:val="0"/>
        <w:spacing w:after="120" w:line="360" w:lineRule="auto"/>
        <w:jc w:val="both"/>
      </w:pPr>
    </w:p>
    <w:p w:rsidR="00D3667F" w:rsidRPr="004157B7" w:rsidRDefault="00D3667F" w:rsidP="00BA1D31">
      <w:pPr>
        <w:pStyle w:val="akapit"/>
        <w:numPr>
          <w:ilvl w:val="0"/>
          <w:numId w:val="39"/>
        </w:numPr>
        <w:spacing w:line="360" w:lineRule="auto"/>
        <w:jc w:val="both"/>
        <w:rPr>
          <w:rFonts w:ascii="Times New Roman" w:hAnsi="Times New Roman"/>
          <w:b w:val="0"/>
          <w:bCs/>
          <w:sz w:val="24"/>
          <w:szCs w:val="24"/>
        </w:rPr>
      </w:pPr>
      <w:r w:rsidRPr="004157B7">
        <w:rPr>
          <w:rFonts w:ascii="Times New Roman" w:hAnsi="Times New Roman"/>
          <w:b w:val="0"/>
          <w:bCs/>
          <w:sz w:val="24"/>
          <w:szCs w:val="24"/>
        </w:rPr>
        <w:t>Odwołania pozostające do rozpoznania na koniec roku sprawozdawczego</w:t>
      </w:r>
    </w:p>
    <w:p w:rsidR="00332593" w:rsidRPr="00332593" w:rsidRDefault="00417AF1" w:rsidP="00332593">
      <w:pPr>
        <w:overflowPunct w:val="0"/>
        <w:autoSpaceDE w:val="0"/>
        <w:autoSpaceDN w:val="0"/>
        <w:adjustRightInd w:val="0"/>
        <w:spacing w:after="120" w:line="360" w:lineRule="auto"/>
        <w:ind w:left="360"/>
        <w:jc w:val="both"/>
      </w:pPr>
      <w:r>
        <w:rPr>
          <w:szCs w:val="20"/>
        </w:rPr>
        <w:t xml:space="preserve">31 grudnia </w:t>
      </w:r>
      <w:r w:rsidR="00613635">
        <w:rPr>
          <w:szCs w:val="20"/>
        </w:rPr>
        <w:t xml:space="preserve">2018 </w:t>
      </w:r>
      <w:r w:rsidR="00D3667F">
        <w:rPr>
          <w:szCs w:val="20"/>
        </w:rPr>
        <w:t>r. pozostawał</w:t>
      </w:r>
      <w:r w:rsidR="001B08B3">
        <w:rPr>
          <w:szCs w:val="20"/>
        </w:rPr>
        <w:t>o</w:t>
      </w:r>
      <w:r w:rsidR="00D3667F">
        <w:rPr>
          <w:szCs w:val="20"/>
        </w:rPr>
        <w:t xml:space="preserve"> do</w:t>
      </w:r>
      <w:r w:rsidR="00D3667F">
        <w:t xml:space="preserve"> rozpoznania </w:t>
      </w:r>
      <w:r w:rsidR="004452CC">
        <w:rPr>
          <w:b/>
        </w:rPr>
        <w:t>1</w:t>
      </w:r>
      <w:r w:rsidR="006A1859">
        <w:rPr>
          <w:b/>
        </w:rPr>
        <w:t>2</w:t>
      </w:r>
      <w:r w:rsidR="004452CC">
        <w:t xml:space="preserve"> </w:t>
      </w:r>
      <w:r w:rsidR="00033FE9">
        <w:t>odwoła</w:t>
      </w:r>
      <w:r w:rsidR="00120EA8">
        <w:t>ń</w:t>
      </w:r>
      <w:r w:rsidR="001B08B3">
        <w:t xml:space="preserve">. Pozostałe do rozpoznania odwołania zostały załatwione na początku </w:t>
      </w:r>
      <w:r w:rsidR="00FB25A7">
        <w:t xml:space="preserve">2018 </w:t>
      </w:r>
      <w:r w:rsidR="001B08B3">
        <w:t>r., przed złożeniem niniejszego sprawozdania</w:t>
      </w:r>
      <w:r w:rsidR="001D39D7">
        <w:t>,</w:t>
      </w:r>
      <w:r w:rsidR="001B08B3">
        <w:t xml:space="preserve"> z wyjątkiem </w:t>
      </w:r>
      <w:r w:rsidR="006837D3">
        <w:rPr>
          <w:b/>
        </w:rPr>
        <w:t>6</w:t>
      </w:r>
      <w:r w:rsidR="00FB25A7">
        <w:rPr>
          <w:b/>
        </w:rPr>
        <w:t xml:space="preserve"> </w:t>
      </w:r>
      <w:r w:rsidR="004F67E1">
        <w:t>odwołań</w:t>
      </w:r>
      <w:r w:rsidR="001B08B3">
        <w:t xml:space="preserve">, których rozpoznanie musiało zostać </w:t>
      </w:r>
      <w:r w:rsidR="00332593">
        <w:t>odroczone</w:t>
      </w:r>
      <w:r w:rsidR="001B08B3">
        <w:t>.</w:t>
      </w:r>
      <w:r w:rsidR="00332593" w:rsidRPr="00332593">
        <w:rPr>
          <w:rFonts w:ascii="Arial" w:hAnsi="Arial" w:cs="Arial"/>
          <w:sz w:val="30"/>
          <w:szCs w:val="30"/>
        </w:rPr>
        <w:t xml:space="preserve"> </w:t>
      </w:r>
    </w:p>
    <w:p w:rsidR="00896FF4" w:rsidRDefault="00896FF4" w:rsidP="00D27714">
      <w:pPr>
        <w:overflowPunct w:val="0"/>
        <w:autoSpaceDE w:val="0"/>
        <w:autoSpaceDN w:val="0"/>
        <w:adjustRightInd w:val="0"/>
        <w:spacing w:line="360" w:lineRule="auto"/>
        <w:ind w:left="1276" w:hanging="1276"/>
        <w:jc w:val="both"/>
      </w:pPr>
    </w:p>
    <w:p w:rsidR="00F56CA0" w:rsidRDefault="00F56CA0">
      <w:r>
        <w:br w:type="page"/>
      </w:r>
    </w:p>
    <w:p w:rsidR="00EB27B5" w:rsidRDefault="00EB27B5" w:rsidP="00695C9D">
      <w:pPr>
        <w:overflowPunct w:val="0"/>
        <w:autoSpaceDE w:val="0"/>
        <w:autoSpaceDN w:val="0"/>
        <w:adjustRightInd w:val="0"/>
        <w:spacing w:after="120" w:line="360" w:lineRule="auto"/>
        <w:ind w:left="1276" w:hanging="1276"/>
        <w:jc w:val="both"/>
      </w:pPr>
      <w:r w:rsidRPr="0025300E">
        <w:lastRenderedPageBreak/>
        <w:t>Wykres nr 4: Liczba odwołań pozostających do rozpoznania na koniec:</w:t>
      </w:r>
      <w:r>
        <w:t xml:space="preserve"> 201</w:t>
      </w:r>
      <w:r w:rsidR="00FB25A7">
        <w:t>5</w:t>
      </w:r>
      <w:r w:rsidR="00033FE9">
        <w:t>, 201</w:t>
      </w:r>
      <w:r w:rsidR="00FB25A7">
        <w:t>6</w:t>
      </w:r>
      <w:r w:rsidR="00F7427D">
        <w:t xml:space="preserve">, </w:t>
      </w:r>
      <w:r w:rsidR="00033FE9">
        <w:t>201</w:t>
      </w:r>
      <w:r w:rsidR="00FB25A7">
        <w:t xml:space="preserve">7 </w:t>
      </w:r>
      <w:r w:rsidR="00F7427D">
        <w:t>oraz 201</w:t>
      </w:r>
      <w:r w:rsidR="00FB25A7">
        <w:t>8</w:t>
      </w:r>
      <w:r w:rsidR="00033FE9">
        <w:t xml:space="preserve"> </w:t>
      </w:r>
      <w:r>
        <w:t>roku (uję</w:t>
      </w:r>
      <w:r w:rsidRPr="0025300E">
        <w:t>cie porównawcze</w:t>
      </w:r>
      <w:r>
        <w:t>)</w:t>
      </w:r>
    </w:p>
    <w:p w:rsidR="00E458DB" w:rsidRDefault="00D70CE5" w:rsidP="00B009AD">
      <w:pPr>
        <w:overflowPunct w:val="0"/>
        <w:autoSpaceDE w:val="0"/>
        <w:autoSpaceDN w:val="0"/>
        <w:adjustRightInd w:val="0"/>
        <w:spacing w:line="360" w:lineRule="auto"/>
        <w:jc w:val="both"/>
      </w:pPr>
      <w:r>
        <w:rPr>
          <w:noProof/>
        </w:rPr>
        <w:drawing>
          <wp:inline distT="0" distB="0" distL="0" distR="0" wp14:anchorId="08CE9A41" wp14:editId="2AA63DB9">
            <wp:extent cx="5661660" cy="3104515"/>
            <wp:effectExtent l="0" t="0" r="34290" b="38735"/>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528DE" w:rsidRDefault="00B528DE" w:rsidP="00695C9D">
      <w:pPr>
        <w:overflowPunct w:val="0"/>
        <w:autoSpaceDE w:val="0"/>
        <w:autoSpaceDN w:val="0"/>
        <w:adjustRightInd w:val="0"/>
        <w:jc w:val="both"/>
        <w:rPr>
          <w:sz w:val="16"/>
          <w:szCs w:val="16"/>
        </w:rPr>
      </w:pPr>
    </w:p>
    <w:p w:rsidR="006837D3" w:rsidRPr="00695C9D" w:rsidRDefault="006837D3" w:rsidP="00695C9D">
      <w:pPr>
        <w:overflowPunct w:val="0"/>
        <w:autoSpaceDE w:val="0"/>
        <w:autoSpaceDN w:val="0"/>
        <w:adjustRightInd w:val="0"/>
        <w:jc w:val="both"/>
        <w:rPr>
          <w:sz w:val="16"/>
          <w:szCs w:val="16"/>
        </w:rPr>
      </w:pPr>
    </w:p>
    <w:p w:rsidR="00D3667F" w:rsidRDefault="00D3667F" w:rsidP="00BA1D31">
      <w:pPr>
        <w:pStyle w:val="Tekstpodstawowy"/>
        <w:numPr>
          <w:ilvl w:val="1"/>
          <w:numId w:val="9"/>
        </w:numPr>
        <w:tabs>
          <w:tab w:val="num" w:pos="300"/>
        </w:tabs>
        <w:spacing w:after="120" w:line="360" w:lineRule="auto"/>
        <w:ind w:left="2149" w:hanging="2149"/>
        <w:rPr>
          <w:b/>
        </w:rPr>
      </w:pPr>
      <w:r>
        <w:rPr>
          <w:b/>
        </w:rPr>
        <w:t>Sposób rozpoznania odwołań w roku sprawozdawczym</w:t>
      </w:r>
      <w:r w:rsidR="00124040">
        <w:rPr>
          <w:b/>
        </w:rPr>
        <w:t>.</w:t>
      </w:r>
    </w:p>
    <w:p w:rsidR="00D3667F" w:rsidRPr="004157B7" w:rsidRDefault="00921EE9" w:rsidP="00BA1D31">
      <w:pPr>
        <w:pStyle w:val="akapit"/>
        <w:numPr>
          <w:ilvl w:val="0"/>
          <w:numId w:val="40"/>
        </w:numPr>
        <w:spacing w:line="360" w:lineRule="auto"/>
        <w:jc w:val="both"/>
        <w:rPr>
          <w:rFonts w:ascii="Times New Roman" w:hAnsi="Times New Roman"/>
          <w:b w:val="0"/>
          <w:bCs/>
          <w:sz w:val="24"/>
          <w:szCs w:val="24"/>
        </w:rPr>
      </w:pPr>
      <w:r w:rsidRPr="004157B7">
        <w:rPr>
          <w:rFonts w:ascii="Times New Roman" w:hAnsi="Times New Roman"/>
          <w:b w:val="0"/>
          <w:bCs/>
          <w:sz w:val="24"/>
          <w:szCs w:val="24"/>
        </w:rPr>
        <w:t xml:space="preserve">W </w:t>
      </w:r>
      <w:r w:rsidR="0020324B" w:rsidRPr="004157B7">
        <w:rPr>
          <w:rFonts w:ascii="Times New Roman" w:hAnsi="Times New Roman"/>
          <w:b w:val="0"/>
          <w:bCs/>
          <w:sz w:val="24"/>
          <w:szCs w:val="24"/>
        </w:rPr>
        <w:t>201</w:t>
      </w:r>
      <w:r w:rsidR="00FB25A7">
        <w:rPr>
          <w:rFonts w:ascii="Times New Roman" w:hAnsi="Times New Roman"/>
          <w:b w:val="0"/>
          <w:bCs/>
          <w:sz w:val="24"/>
          <w:szCs w:val="24"/>
        </w:rPr>
        <w:t>8</w:t>
      </w:r>
      <w:r w:rsidR="0020324B" w:rsidRPr="004157B7">
        <w:rPr>
          <w:rFonts w:ascii="Times New Roman" w:hAnsi="Times New Roman"/>
          <w:b w:val="0"/>
          <w:bCs/>
          <w:sz w:val="24"/>
          <w:szCs w:val="24"/>
        </w:rPr>
        <w:t xml:space="preserve"> </w:t>
      </w:r>
      <w:r w:rsidR="00D3667F" w:rsidRPr="004157B7">
        <w:rPr>
          <w:rFonts w:ascii="Times New Roman" w:hAnsi="Times New Roman"/>
          <w:b w:val="0"/>
          <w:bCs/>
          <w:sz w:val="24"/>
          <w:szCs w:val="24"/>
        </w:rPr>
        <w:t xml:space="preserve">r. GKO rozstrzygnęła </w:t>
      </w:r>
      <w:r w:rsidR="0006535A">
        <w:rPr>
          <w:rFonts w:ascii="Times New Roman" w:hAnsi="Times New Roman"/>
          <w:b w:val="0"/>
          <w:bCs/>
          <w:sz w:val="24"/>
          <w:szCs w:val="24"/>
        </w:rPr>
        <w:t>odwołania</w:t>
      </w:r>
      <w:r w:rsidR="00D3667F" w:rsidRPr="004157B7">
        <w:rPr>
          <w:rFonts w:ascii="Times New Roman" w:hAnsi="Times New Roman"/>
          <w:b w:val="0"/>
          <w:bCs/>
          <w:sz w:val="24"/>
          <w:szCs w:val="24"/>
        </w:rPr>
        <w:t xml:space="preserve"> w następujący sposób:</w:t>
      </w:r>
    </w:p>
    <w:tbl>
      <w:tblPr>
        <w:tblW w:w="8780" w:type="dxa"/>
        <w:tblInd w:w="55" w:type="dxa"/>
        <w:tblCellMar>
          <w:left w:w="70" w:type="dxa"/>
          <w:right w:w="70" w:type="dxa"/>
        </w:tblCellMar>
        <w:tblLook w:val="0000" w:firstRow="0" w:lastRow="0" w:firstColumn="0" w:lastColumn="0" w:noHBand="0" w:noVBand="0"/>
      </w:tblPr>
      <w:tblGrid>
        <w:gridCol w:w="3815"/>
        <w:gridCol w:w="1800"/>
        <w:gridCol w:w="1500"/>
        <w:gridCol w:w="1665"/>
      </w:tblGrid>
      <w:tr w:rsidR="00D3667F" w:rsidTr="00E668D1">
        <w:trPr>
          <w:cantSplit/>
          <w:trHeight w:val="810"/>
        </w:trPr>
        <w:tc>
          <w:tcPr>
            <w:tcW w:w="3815" w:type="dxa"/>
            <w:vMerge w:val="restart"/>
            <w:tcBorders>
              <w:top w:val="single" w:sz="4" w:space="0" w:color="auto"/>
              <w:left w:val="single" w:sz="4" w:space="0" w:color="auto"/>
              <w:bottom w:val="single" w:sz="4" w:space="0" w:color="000000"/>
              <w:right w:val="single" w:sz="4" w:space="0" w:color="auto"/>
            </w:tcBorders>
            <w:vAlign w:val="center"/>
          </w:tcPr>
          <w:p w:rsidR="00D3667F" w:rsidRPr="001C1025" w:rsidRDefault="00D3667F" w:rsidP="00E668D1">
            <w:pPr>
              <w:jc w:val="center"/>
            </w:pPr>
            <w:r w:rsidRPr="001C1025">
              <w:t xml:space="preserve">rodzaj rozstrzygnięcia </w:t>
            </w:r>
            <w:r w:rsidRPr="001C1025">
              <w:br/>
              <w:t>Głównej Komisji Orzekającej</w:t>
            </w:r>
          </w:p>
        </w:tc>
        <w:tc>
          <w:tcPr>
            <w:tcW w:w="3300" w:type="dxa"/>
            <w:gridSpan w:val="2"/>
            <w:tcBorders>
              <w:top w:val="single" w:sz="4" w:space="0" w:color="auto"/>
              <w:left w:val="nil"/>
              <w:bottom w:val="single" w:sz="4" w:space="0" w:color="auto"/>
              <w:right w:val="single" w:sz="4" w:space="0" w:color="000000"/>
            </w:tcBorders>
            <w:vAlign w:val="center"/>
          </w:tcPr>
          <w:p w:rsidR="00D3667F" w:rsidRPr="005846B3" w:rsidRDefault="00D3667F" w:rsidP="00E668D1">
            <w:pPr>
              <w:jc w:val="center"/>
            </w:pPr>
            <w:r w:rsidRPr="001C1025">
              <w:t xml:space="preserve">rok </w:t>
            </w:r>
            <w:r w:rsidRPr="005846B3">
              <w:t>wpływu odwołania</w:t>
            </w:r>
          </w:p>
        </w:tc>
        <w:tc>
          <w:tcPr>
            <w:tcW w:w="1665" w:type="dxa"/>
            <w:vMerge w:val="restart"/>
            <w:tcBorders>
              <w:top w:val="single" w:sz="4" w:space="0" w:color="auto"/>
              <w:left w:val="single" w:sz="4" w:space="0" w:color="auto"/>
              <w:bottom w:val="single" w:sz="4" w:space="0" w:color="000000"/>
              <w:right w:val="single" w:sz="4" w:space="0" w:color="auto"/>
            </w:tcBorders>
            <w:vAlign w:val="center"/>
          </w:tcPr>
          <w:p w:rsidR="00D3667F" w:rsidRPr="005846B3" w:rsidRDefault="00D3667F" w:rsidP="00E668D1">
            <w:pPr>
              <w:jc w:val="center"/>
            </w:pPr>
            <w:r w:rsidRPr="005846B3">
              <w:t>łączna liczba rozstrzygnięć</w:t>
            </w:r>
          </w:p>
        </w:tc>
      </w:tr>
      <w:tr w:rsidR="00D3667F" w:rsidTr="004935BA">
        <w:trPr>
          <w:cantSplit/>
          <w:trHeight w:val="638"/>
        </w:trPr>
        <w:tc>
          <w:tcPr>
            <w:tcW w:w="3815" w:type="dxa"/>
            <w:vMerge/>
            <w:tcBorders>
              <w:top w:val="single" w:sz="4" w:space="0" w:color="auto"/>
              <w:left w:val="single" w:sz="4" w:space="0" w:color="auto"/>
              <w:bottom w:val="single" w:sz="4" w:space="0" w:color="000000"/>
              <w:right w:val="single" w:sz="4" w:space="0" w:color="auto"/>
            </w:tcBorders>
            <w:vAlign w:val="center"/>
          </w:tcPr>
          <w:p w:rsidR="00D3667F" w:rsidRPr="005846B3" w:rsidRDefault="00D3667F" w:rsidP="00E668D1"/>
        </w:tc>
        <w:tc>
          <w:tcPr>
            <w:tcW w:w="1800" w:type="dxa"/>
            <w:tcBorders>
              <w:top w:val="nil"/>
              <w:left w:val="nil"/>
              <w:bottom w:val="single" w:sz="4" w:space="0" w:color="auto"/>
              <w:right w:val="single" w:sz="4" w:space="0" w:color="auto"/>
            </w:tcBorders>
            <w:vAlign w:val="center"/>
          </w:tcPr>
          <w:p w:rsidR="00D3667F" w:rsidRPr="005846B3" w:rsidRDefault="001E3CF3" w:rsidP="006A1859">
            <w:pPr>
              <w:jc w:val="center"/>
            </w:pPr>
            <w:r w:rsidRPr="005846B3">
              <w:t>201</w:t>
            </w:r>
            <w:r>
              <w:t>8</w:t>
            </w:r>
            <w:r w:rsidRPr="005846B3">
              <w:t xml:space="preserve"> </w:t>
            </w:r>
            <w:r w:rsidR="00D3667F" w:rsidRPr="005846B3">
              <w:t>r.</w:t>
            </w:r>
          </w:p>
        </w:tc>
        <w:tc>
          <w:tcPr>
            <w:tcW w:w="1500" w:type="dxa"/>
            <w:tcBorders>
              <w:top w:val="nil"/>
              <w:left w:val="nil"/>
              <w:bottom w:val="single" w:sz="4" w:space="0" w:color="auto"/>
              <w:right w:val="single" w:sz="4" w:space="0" w:color="auto"/>
            </w:tcBorders>
            <w:vAlign w:val="center"/>
          </w:tcPr>
          <w:p w:rsidR="00D3667F" w:rsidRPr="005846B3" w:rsidRDefault="001E3CF3" w:rsidP="00171D8B">
            <w:pPr>
              <w:jc w:val="center"/>
            </w:pPr>
            <w:r w:rsidRPr="005846B3">
              <w:t>201</w:t>
            </w:r>
            <w:r>
              <w:t xml:space="preserve">7 </w:t>
            </w:r>
            <w:r w:rsidR="00B63528" w:rsidRPr="005846B3">
              <w:t>i </w:t>
            </w:r>
            <w:r w:rsidR="00A54F49" w:rsidRPr="005846B3">
              <w:t>wcześniej</w:t>
            </w:r>
          </w:p>
        </w:tc>
        <w:tc>
          <w:tcPr>
            <w:tcW w:w="1665" w:type="dxa"/>
            <w:vMerge/>
            <w:tcBorders>
              <w:top w:val="single" w:sz="4" w:space="0" w:color="auto"/>
              <w:left w:val="single" w:sz="4" w:space="0" w:color="auto"/>
              <w:bottom w:val="single" w:sz="4" w:space="0" w:color="000000"/>
              <w:right w:val="single" w:sz="4" w:space="0" w:color="auto"/>
            </w:tcBorders>
            <w:vAlign w:val="center"/>
          </w:tcPr>
          <w:p w:rsidR="00D3667F" w:rsidRPr="005846B3" w:rsidRDefault="00D3667F" w:rsidP="00E668D1"/>
        </w:tc>
      </w:tr>
      <w:tr w:rsidR="00D3667F" w:rsidTr="004935BA">
        <w:trPr>
          <w:trHeight w:val="646"/>
        </w:trPr>
        <w:tc>
          <w:tcPr>
            <w:tcW w:w="3815" w:type="dxa"/>
            <w:tcBorders>
              <w:top w:val="nil"/>
              <w:left w:val="single" w:sz="4" w:space="0" w:color="auto"/>
              <w:bottom w:val="single" w:sz="4" w:space="0" w:color="auto"/>
              <w:right w:val="single" w:sz="4" w:space="0" w:color="auto"/>
            </w:tcBorders>
            <w:vAlign w:val="center"/>
          </w:tcPr>
          <w:p w:rsidR="00D3667F" w:rsidRPr="001C1025" w:rsidRDefault="00D3667F" w:rsidP="00E668D1">
            <w:r w:rsidRPr="001C1025">
              <w:t>utrzymanie w mocy zaskarżonego orzeczenia</w:t>
            </w:r>
          </w:p>
        </w:tc>
        <w:tc>
          <w:tcPr>
            <w:tcW w:w="1800" w:type="dxa"/>
            <w:tcBorders>
              <w:top w:val="nil"/>
              <w:left w:val="nil"/>
              <w:bottom w:val="single" w:sz="4" w:space="0" w:color="auto"/>
              <w:right w:val="single" w:sz="4" w:space="0" w:color="auto"/>
            </w:tcBorders>
            <w:vAlign w:val="center"/>
          </w:tcPr>
          <w:p w:rsidR="00D3667F" w:rsidRPr="005846B3" w:rsidRDefault="001E3CF3" w:rsidP="00351039">
            <w:pPr>
              <w:jc w:val="center"/>
            </w:pPr>
            <w:r>
              <w:t>5</w:t>
            </w:r>
            <w:r w:rsidR="00FE6006">
              <w:t>6</w:t>
            </w:r>
          </w:p>
        </w:tc>
        <w:tc>
          <w:tcPr>
            <w:tcW w:w="1500" w:type="dxa"/>
            <w:tcBorders>
              <w:top w:val="nil"/>
              <w:left w:val="nil"/>
              <w:bottom w:val="single" w:sz="4" w:space="0" w:color="auto"/>
              <w:right w:val="single" w:sz="4" w:space="0" w:color="auto"/>
            </w:tcBorders>
            <w:vAlign w:val="center"/>
          </w:tcPr>
          <w:p w:rsidR="00D3667F" w:rsidRPr="005846B3" w:rsidRDefault="006A1859" w:rsidP="006A1859">
            <w:pPr>
              <w:jc w:val="center"/>
            </w:pPr>
            <w:r>
              <w:t>19</w:t>
            </w:r>
          </w:p>
        </w:tc>
        <w:tc>
          <w:tcPr>
            <w:tcW w:w="1665" w:type="dxa"/>
            <w:tcBorders>
              <w:top w:val="nil"/>
              <w:left w:val="nil"/>
              <w:bottom w:val="single" w:sz="4" w:space="0" w:color="auto"/>
              <w:right w:val="single" w:sz="4" w:space="0" w:color="auto"/>
            </w:tcBorders>
            <w:vAlign w:val="center"/>
          </w:tcPr>
          <w:p w:rsidR="00D3667F" w:rsidRPr="001C1025" w:rsidRDefault="006A1859" w:rsidP="00351039">
            <w:pPr>
              <w:jc w:val="center"/>
            </w:pPr>
            <w:r>
              <w:t>7</w:t>
            </w:r>
            <w:r w:rsidR="00FE6006">
              <w:t>5</w:t>
            </w:r>
          </w:p>
        </w:tc>
      </w:tr>
      <w:tr w:rsidR="00D3667F" w:rsidTr="00E668D1">
        <w:trPr>
          <w:trHeight w:val="886"/>
        </w:trPr>
        <w:tc>
          <w:tcPr>
            <w:tcW w:w="3815" w:type="dxa"/>
            <w:tcBorders>
              <w:top w:val="nil"/>
              <w:left w:val="single" w:sz="4" w:space="0" w:color="auto"/>
              <w:bottom w:val="single" w:sz="4" w:space="0" w:color="auto"/>
              <w:right w:val="single" w:sz="4" w:space="0" w:color="auto"/>
            </w:tcBorders>
            <w:vAlign w:val="center"/>
          </w:tcPr>
          <w:p w:rsidR="00D3667F" w:rsidRPr="001C1025" w:rsidRDefault="00D3667F" w:rsidP="00E668D1">
            <w:r w:rsidRPr="001C1025">
              <w:t>uchylenie, zmiana zaskarżonego orzeczenia w całości lub w części</w:t>
            </w:r>
          </w:p>
        </w:tc>
        <w:tc>
          <w:tcPr>
            <w:tcW w:w="1800" w:type="dxa"/>
            <w:tcBorders>
              <w:top w:val="nil"/>
              <w:left w:val="nil"/>
              <w:bottom w:val="single" w:sz="4" w:space="0" w:color="auto"/>
              <w:right w:val="single" w:sz="4" w:space="0" w:color="auto"/>
            </w:tcBorders>
            <w:vAlign w:val="center"/>
          </w:tcPr>
          <w:p w:rsidR="00D3667F" w:rsidRPr="001C1025" w:rsidRDefault="001E3CF3" w:rsidP="00351039">
            <w:pPr>
              <w:jc w:val="center"/>
            </w:pPr>
            <w:r>
              <w:t>2</w:t>
            </w:r>
            <w:r w:rsidR="00171D8B">
              <w:t>8</w:t>
            </w:r>
          </w:p>
        </w:tc>
        <w:tc>
          <w:tcPr>
            <w:tcW w:w="1500" w:type="dxa"/>
            <w:tcBorders>
              <w:top w:val="nil"/>
              <w:left w:val="nil"/>
              <w:bottom w:val="single" w:sz="4" w:space="0" w:color="auto"/>
              <w:right w:val="single" w:sz="4" w:space="0" w:color="auto"/>
            </w:tcBorders>
            <w:vAlign w:val="center"/>
          </w:tcPr>
          <w:p w:rsidR="00D3667F" w:rsidRPr="001C1025" w:rsidRDefault="006A1859" w:rsidP="00C2190A">
            <w:pPr>
              <w:jc w:val="center"/>
            </w:pPr>
            <w:r>
              <w:t>1</w:t>
            </w:r>
            <w:r w:rsidR="00BB424F">
              <w:t>3</w:t>
            </w:r>
          </w:p>
        </w:tc>
        <w:tc>
          <w:tcPr>
            <w:tcW w:w="1665" w:type="dxa"/>
            <w:tcBorders>
              <w:top w:val="nil"/>
              <w:left w:val="nil"/>
              <w:bottom w:val="single" w:sz="4" w:space="0" w:color="auto"/>
              <w:right w:val="single" w:sz="4" w:space="0" w:color="auto"/>
            </w:tcBorders>
            <w:vAlign w:val="center"/>
          </w:tcPr>
          <w:p w:rsidR="00D3667F" w:rsidRPr="001C1025" w:rsidRDefault="006A1859" w:rsidP="00BB424F">
            <w:pPr>
              <w:jc w:val="center"/>
            </w:pPr>
            <w:r>
              <w:t>4</w:t>
            </w:r>
            <w:r w:rsidR="00BB424F">
              <w:t>1</w:t>
            </w:r>
          </w:p>
        </w:tc>
      </w:tr>
      <w:tr w:rsidR="00D3667F" w:rsidTr="00E668D1">
        <w:trPr>
          <w:trHeight w:val="1078"/>
        </w:trPr>
        <w:tc>
          <w:tcPr>
            <w:tcW w:w="3815" w:type="dxa"/>
            <w:tcBorders>
              <w:top w:val="nil"/>
              <w:left w:val="single" w:sz="4" w:space="0" w:color="auto"/>
              <w:bottom w:val="single" w:sz="4" w:space="0" w:color="auto"/>
              <w:right w:val="single" w:sz="4" w:space="0" w:color="auto"/>
            </w:tcBorders>
            <w:vAlign w:val="center"/>
          </w:tcPr>
          <w:p w:rsidR="00D3667F" w:rsidRPr="001C1025" w:rsidRDefault="00D3667F" w:rsidP="00E668D1">
            <w:r w:rsidRPr="001C1025">
              <w:t xml:space="preserve">uchylenie </w:t>
            </w:r>
            <w:r w:rsidR="007E08CE">
              <w:t xml:space="preserve">orzeczenia </w:t>
            </w:r>
            <w:r w:rsidRPr="001C1025">
              <w:t>i przekazanie sprawy do ponownego rozpoznania w całości lub w części</w:t>
            </w:r>
          </w:p>
        </w:tc>
        <w:tc>
          <w:tcPr>
            <w:tcW w:w="1800" w:type="dxa"/>
            <w:tcBorders>
              <w:top w:val="nil"/>
              <w:left w:val="nil"/>
              <w:bottom w:val="single" w:sz="4" w:space="0" w:color="auto"/>
              <w:right w:val="single" w:sz="4" w:space="0" w:color="auto"/>
            </w:tcBorders>
            <w:vAlign w:val="center"/>
          </w:tcPr>
          <w:p w:rsidR="00D3667F" w:rsidRPr="005846B3" w:rsidRDefault="001E3CF3" w:rsidP="004933FE">
            <w:pPr>
              <w:jc w:val="center"/>
            </w:pPr>
            <w:r>
              <w:t>17</w:t>
            </w:r>
          </w:p>
        </w:tc>
        <w:tc>
          <w:tcPr>
            <w:tcW w:w="1500" w:type="dxa"/>
            <w:tcBorders>
              <w:top w:val="nil"/>
              <w:left w:val="nil"/>
              <w:bottom w:val="single" w:sz="4" w:space="0" w:color="auto"/>
              <w:right w:val="single" w:sz="4" w:space="0" w:color="auto"/>
            </w:tcBorders>
            <w:vAlign w:val="center"/>
          </w:tcPr>
          <w:p w:rsidR="00D3667F" w:rsidRPr="005846B3" w:rsidRDefault="006A1859" w:rsidP="008531C9">
            <w:pPr>
              <w:jc w:val="center"/>
            </w:pPr>
            <w:r>
              <w:t>12</w:t>
            </w:r>
          </w:p>
        </w:tc>
        <w:tc>
          <w:tcPr>
            <w:tcW w:w="1665" w:type="dxa"/>
            <w:tcBorders>
              <w:top w:val="nil"/>
              <w:left w:val="nil"/>
              <w:bottom w:val="single" w:sz="4" w:space="0" w:color="auto"/>
              <w:right w:val="single" w:sz="4" w:space="0" w:color="auto"/>
            </w:tcBorders>
            <w:vAlign w:val="center"/>
          </w:tcPr>
          <w:p w:rsidR="00D3667F" w:rsidRPr="001C1025" w:rsidRDefault="006A1859" w:rsidP="00EC5F3C">
            <w:pPr>
              <w:jc w:val="center"/>
            </w:pPr>
            <w:r>
              <w:t>29</w:t>
            </w:r>
          </w:p>
        </w:tc>
      </w:tr>
      <w:tr w:rsidR="00D3667F" w:rsidTr="00E668D1">
        <w:trPr>
          <w:trHeight w:val="540"/>
        </w:trPr>
        <w:tc>
          <w:tcPr>
            <w:tcW w:w="3815" w:type="dxa"/>
            <w:tcBorders>
              <w:top w:val="nil"/>
              <w:left w:val="single" w:sz="4" w:space="0" w:color="auto"/>
              <w:bottom w:val="single" w:sz="4" w:space="0" w:color="auto"/>
              <w:right w:val="single" w:sz="4" w:space="0" w:color="auto"/>
            </w:tcBorders>
            <w:vAlign w:val="center"/>
          </w:tcPr>
          <w:p w:rsidR="00D3667F" w:rsidRPr="001C1025" w:rsidRDefault="00D3667F" w:rsidP="00E668D1">
            <w:r w:rsidRPr="001C1025">
              <w:t>umorzenie postępowania</w:t>
            </w:r>
          </w:p>
        </w:tc>
        <w:tc>
          <w:tcPr>
            <w:tcW w:w="1800" w:type="dxa"/>
            <w:tcBorders>
              <w:top w:val="nil"/>
              <w:left w:val="nil"/>
              <w:bottom w:val="single" w:sz="4" w:space="0" w:color="auto"/>
              <w:right w:val="single" w:sz="4" w:space="0" w:color="auto"/>
            </w:tcBorders>
            <w:vAlign w:val="center"/>
          </w:tcPr>
          <w:p w:rsidR="00D3667F" w:rsidRPr="001C1025" w:rsidRDefault="001E3CF3" w:rsidP="00E668D1">
            <w:pPr>
              <w:jc w:val="center"/>
            </w:pPr>
            <w:r>
              <w:t>12</w:t>
            </w:r>
          </w:p>
        </w:tc>
        <w:tc>
          <w:tcPr>
            <w:tcW w:w="1500" w:type="dxa"/>
            <w:tcBorders>
              <w:top w:val="nil"/>
              <w:left w:val="nil"/>
              <w:bottom w:val="single" w:sz="4" w:space="0" w:color="auto"/>
              <w:right w:val="single" w:sz="4" w:space="0" w:color="auto"/>
            </w:tcBorders>
            <w:vAlign w:val="center"/>
          </w:tcPr>
          <w:p w:rsidR="00D3667F" w:rsidRPr="001C1025" w:rsidRDefault="006A1859" w:rsidP="008F59B1">
            <w:pPr>
              <w:jc w:val="center"/>
            </w:pPr>
            <w:r>
              <w:t>2</w:t>
            </w:r>
          </w:p>
        </w:tc>
        <w:tc>
          <w:tcPr>
            <w:tcW w:w="1665" w:type="dxa"/>
            <w:tcBorders>
              <w:top w:val="nil"/>
              <w:left w:val="nil"/>
              <w:bottom w:val="single" w:sz="4" w:space="0" w:color="auto"/>
              <w:right w:val="single" w:sz="4" w:space="0" w:color="auto"/>
            </w:tcBorders>
            <w:vAlign w:val="center"/>
          </w:tcPr>
          <w:p w:rsidR="00D3667F" w:rsidRPr="001C1025" w:rsidRDefault="006A1859" w:rsidP="00E668D1">
            <w:pPr>
              <w:jc w:val="center"/>
            </w:pPr>
            <w:r>
              <w:t>14</w:t>
            </w:r>
          </w:p>
        </w:tc>
      </w:tr>
      <w:tr w:rsidR="00D3667F" w:rsidTr="00695C9D">
        <w:trPr>
          <w:trHeight w:val="680"/>
        </w:trPr>
        <w:tc>
          <w:tcPr>
            <w:tcW w:w="3815" w:type="dxa"/>
            <w:tcBorders>
              <w:top w:val="nil"/>
              <w:left w:val="single" w:sz="4" w:space="0" w:color="auto"/>
              <w:bottom w:val="single" w:sz="4" w:space="0" w:color="auto"/>
              <w:right w:val="single" w:sz="4" w:space="0" w:color="auto"/>
            </w:tcBorders>
            <w:vAlign w:val="center"/>
          </w:tcPr>
          <w:p w:rsidR="00D3667F" w:rsidRPr="001C1025" w:rsidRDefault="00D3667F" w:rsidP="00E668D1">
            <w:r w:rsidRPr="001C1025">
              <w:t>pozostawienie odwołania bez rozpoznania</w:t>
            </w:r>
          </w:p>
        </w:tc>
        <w:tc>
          <w:tcPr>
            <w:tcW w:w="1800" w:type="dxa"/>
            <w:tcBorders>
              <w:top w:val="nil"/>
              <w:left w:val="nil"/>
              <w:bottom w:val="single" w:sz="4" w:space="0" w:color="auto"/>
              <w:right w:val="single" w:sz="4" w:space="0" w:color="auto"/>
            </w:tcBorders>
            <w:vAlign w:val="center"/>
          </w:tcPr>
          <w:p w:rsidR="00D3667F" w:rsidRPr="005846B3" w:rsidRDefault="001E3CF3" w:rsidP="00E668D1">
            <w:pPr>
              <w:jc w:val="center"/>
            </w:pPr>
            <w:r>
              <w:t>0</w:t>
            </w:r>
          </w:p>
        </w:tc>
        <w:tc>
          <w:tcPr>
            <w:tcW w:w="1500" w:type="dxa"/>
            <w:tcBorders>
              <w:top w:val="nil"/>
              <w:left w:val="nil"/>
              <w:bottom w:val="single" w:sz="4" w:space="0" w:color="auto"/>
              <w:right w:val="single" w:sz="4" w:space="0" w:color="auto"/>
            </w:tcBorders>
            <w:vAlign w:val="center"/>
          </w:tcPr>
          <w:p w:rsidR="00D3667F" w:rsidRPr="005846B3" w:rsidRDefault="003D1422" w:rsidP="00675405">
            <w:pPr>
              <w:jc w:val="center"/>
            </w:pPr>
            <w:r>
              <w:t>1</w:t>
            </w:r>
          </w:p>
        </w:tc>
        <w:tc>
          <w:tcPr>
            <w:tcW w:w="1665" w:type="dxa"/>
            <w:tcBorders>
              <w:top w:val="nil"/>
              <w:left w:val="nil"/>
              <w:bottom w:val="single" w:sz="4" w:space="0" w:color="auto"/>
              <w:right w:val="single" w:sz="4" w:space="0" w:color="auto"/>
            </w:tcBorders>
            <w:vAlign w:val="center"/>
          </w:tcPr>
          <w:p w:rsidR="00D3667F" w:rsidRPr="001C1025" w:rsidRDefault="003D1422" w:rsidP="0032317B">
            <w:pPr>
              <w:jc w:val="center"/>
            </w:pPr>
            <w:r>
              <w:t>1</w:t>
            </w:r>
          </w:p>
        </w:tc>
      </w:tr>
      <w:tr w:rsidR="00D3667F" w:rsidTr="004935BA">
        <w:trPr>
          <w:trHeight w:val="566"/>
        </w:trPr>
        <w:tc>
          <w:tcPr>
            <w:tcW w:w="3815" w:type="dxa"/>
            <w:tcBorders>
              <w:top w:val="single" w:sz="4" w:space="0" w:color="auto"/>
              <w:left w:val="single" w:sz="4" w:space="0" w:color="auto"/>
              <w:bottom w:val="single" w:sz="4" w:space="0" w:color="auto"/>
              <w:right w:val="single" w:sz="4" w:space="0" w:color="auto"/>
            </w:tcBorders>
            <w:vAlign w:val="center"/>
          </w:tcPr>
          <w:p w:rsidR="00D3667F" w:rsidRPr="001C1025" w:rsidRDefault="00BB7AB7" w:rsidP="00E668D1">
            <w:pPr>
              <w:rPr>
                <w:b/>
              </w:rPr>
            </w:pPr>
            <w:r w:rsidRPr="001C1025">
              <w:rPr>
                <w:b/>
              </w:rPr>
              <w:t>ł</w:t>
            </w:r>
            <w:r w:rsidR="00D3667F" w:rsidRPr="001C1025">
              <w:rPr>
                <w:b/>
              </w:rPr>
              <w:t>ączna liczba rozstrzygnięć</w:t>
            </w:r>
          </w:p>
        </w:tc>
        <w:tc>
          <w:tcPr>
            <w:tcW w:w="1800" w:type="dxa"/>
            <w:tcBorders>
              <w:top w:val="single" w:sz="4" w:space="0" w:color="auto"/>
              <w:left w:val="nil"/>
              <w:bottom w:val="single" w:sz="4" w:space="0" w:color="auto"/>
              <w:right w:val="single" w:sz="4" w:space="0" w:color="auto"/>
            </w:tcBorders>
            <w:vAlign w:val="center"/>
          </w:tcPr>
          <w:p w:rsidR="00D3667F" w:rsidRPr="005846B3" w:rsidRDefault="001E3CF3" w:rsidP="00844DBB">
            <w:pPr>
              <w:jc w:val="center"/>
              <w:rPr>
                <w:b/>
              </w:rPr>
            </w:pPr>
            <w:r>
              <w:rPr>
                <w:b/>
              </w:rPr>
              <w:t>113</w:t>
            </w:r>
          </w:p>
        </w:tc>
        <w:tc>
          <w:tcPr>
            <w:tcW w:w="1500" w:type="dxa"/>
            <w:tcBorders>
              <w:top w:val="single" w:sz="4" w:space="0" w:color="auto"/>
              <w:left w:val="nil"/>
              <w:bottom w:val="single" w:sz="4" w:space="0" w:color="auto"/>
              <w:right w:val="single" w:sz="4" w:space="0" w:color="auto"/>
            </w:tcBorders>
            <w:vAlign w:val="center"/>
          </w:tcPr>
          <w:p w:rsidR="00D3667F" w:rsidRPr="005846B3" w:rsidRDefault="003D1422" w:rsidP="003D5D2D">
            <w:pPr>
              <w:jc w:val="center"/>
              <w:rPr>
                <w:b/>
              </w:rPr>
            </w:pPr>
            <w:r>
              <w:rPr>
                <w:b/>
              </w:rPr>
              <w:t>47</w:t>
            </w:r>
          </w:p>
        </w:tc>
        <w:tc>
          <w:tcPr>
            <w:tcW w:w="1665" w:type="dxa"/>
            <w:tcBorders>
              <w:top w:val="single" w:sz="4" w:space="0" w:color="auto"/>
              <w:left w:val="nil"/>
              <w:bottom w:val="single" w:sz="4" w:space="0" w:color="auto"/>
              <w:right w:val="single" w:sz="4" w:space="0" w:color="auto"/>
            </w:tcBorders>
            <w:vAlign w:val="center"/>
          </w:tcPr>
          <w:p w:rsidR="00D3667F" w:rsidRPr="005846B3" w:rsidRDefault="006A1859">
            <w:pPr>
              <w:jc w:val="center"/>
              <w:rPr>
                <w:b/>
              </w:rPr>
            </w:pPr>
            <w:r>
              <w:rPr>
                <w:b/>
              </w:rPr>
              <w:t>1</w:t>
            </w:r>
            <w:r w:rsidR="003D1422">
              <w:rPr>
                <w:b/>
              </w:rPr>
              <w:t>60</w:t>
            </w:r>
          </w:p>
        </w:tc>
      </w:tr>
    </w:tbl>
    <w:p w:rsidR="00D3667F" w:rsidRPr="004157B7" w:rsidRDefault="00D3667F" w:rsidP="00695C9D">
      <w:pPr>
        <w:pStyle w:val="akapit"/>
        <w:numPr>
          <w:ilvl w:val="0"/>
          <w:numId w:val="40"/>
        </w:numPr>
        <w:spacing w:before="720" w:line="360" w:lineRule="auto"/>
        <w:ind w:left="357" w:hanging="357"/>
        <w:jc w:val="both"/>
        <w:rPr>
          <w:rFonts w:ascii="Times New Roman" w:hAnsi="Times New Roman"/>
          <w:b w:val="0"/>
          <w:bCs/>
          <w:sz w:val="24"/>
          <w:szCs w:val="24"/>
        </w:rPr>
      </w:pPr>
      <w:r w:rsidRPr="004157B7">
        <w:rPr>
          <w:rFonts w:ascii="Times New Roman" w:hAnsi="Times New Roman"/>
          <w:b w:val="0"/>
          <w:bCs/>
          <w:sz w:val="24"/>
          <w:szCs w:val="24"/>
        </w:rPr>
        <w:lastRenderedPageBreak/>
        <w:t>Orzeczenia o uchyleniu zaskarżonego orzeczenia w całości lub w części i rozstrzygnięciu sprawy co do istoty</w:t>
      </w:r>
      <w:r w:rsidR="00F1302A" w:rsidRPr="004157B7">
        <w:rPr>
          <w:rFonts w:ascii="Times New Roman" w:hAnsi="Times New Roman"/>
          <w:b w:val="0"/>
          <w:bCs/>
          <w:sz w:val="24"/>
          <w:szCs w:val="24"/>
        </w:rPr>
        <w:t>.</w:t>
      </w:r>
    </w:p>
    <w:p w:rsidR="00E57B95" w:rsidRDefault="00940F10" w:rsidP="00695C9D">
      <w:pPr>
        <w:numPr>
          <w:ilvl w:val="0"/>
          <w:numId w:val="16"/>
        </w:numPr>
        <w:tabs>
          <w:tab w:val="clear" w:pos="2520"/>
          <w:tab w:val="num" w:pos="717"/>
        </w:tabs>
        <w:overflowPunct w:val="0"/>
        <w:autoSpaceDE w:val="0"/>
        <w:autoSpaceDN w:val="0"/>
        <w:adjustRightInd w:val="0"/>
        <w:spacing w:line="360" w:lineRule="auto"/>
        <w:ind w:left="717" w:hanging="357"/>
        <w:jc w:val="both"/>
      </w:pPr>
      <w:r w:rsidRPr="00DE519C">
        <w:t xml:space="preserve">Uchylając zaskarżone orzeczenie w całości lub </w:t>
      </w:r>
      <w:r w:rsidR="00B33E51">
        <w:t xml:space="preserve">w </w:t>
      </w:r>
      <w:r w:rsidRPr="00DE519C">
        <w:t>części i orzekając co do istoty, GKO:</w:t>
      </w:r>
    </w:p>
    <w:p w:rsidR="00E57B95" w:rsidRDefault="00E57B95" w:rsidP="00695C9D">
      <w:pPr>
        <w:pStyle w:val="Akapitzlist"/>
        <w:numPr>
          <w:ilvl w:val="0"/>
          <w:numId w:val="45"/>
        </w:numPr>
        <w:overflowPunct w:val="0"/>
        <w:autoSpaceDE w:val="0"/>
        <w:autoSpaceDN w:val="0"/>
        <w:adjustRightInd w:val="0"/>
        <w:spacing w:line="360" w:lineRule="auto"/>
        <w:ind w:left="993" w:hanging="284"/>
        <w:jc w:val="both"/>
      </w:pPr>
      <w:r w:rsidRPr="00DE519C">
        <w:t xml:space="preserve">w </w:t>
      </w:r>
      <w:r w:rsidR="003E2DB3">
        <w:rPr>
          <w:b/>
        </w:rPr>
        <w:t>18</w:t>
      </w:r>
      <w:r w:rsidRPr="00546CA0">
        <w:rPr>
          <w:b/>
        </w:rPr>
        <w:t xml:space="preserve"> </w:t>
      </w:r>
      <w:r w:rsidRPr="00DE519C">
        <w:t>przypadkach uniewinniła obwinionych, których dotyczyło złożone odwołanie</w:t>
      </w:r>
      <w:r>
        <w:t>,</w:t>
      </w:r>
    </w:p>
    <w:p w:rsidR="00E57B95" w:rsidRDefault="00BD1B2F" w:rsidP="00695C9D">
      <w:pPr>
        <w:pStyle w:val="Akapitzlist"/>
        <w:numPr>
          <w:ilvl w:val="0"/>
          <w:numId w:val="45"/>
        </w:numPr>
        <w:overflowPunct w:val="0"/>
        <w:autoSpaceDE w:val="0"/>
        <w:autoSpaceDN w:val="0"/>
        <w:adjustRightInd w:val="0"/>
        <w:spacing w:line="360" w:lineRule="auto"/>
        <w:ind w:left="993" w:hanging="284"/>
        <w:jc w:val="both"/>
      </w:pPr>
      <w:r w:rsidRPr="0095158D">
        <w:t xml:space="preserve">w </w:t>
      </w:r>
      <w:r w:rsidR="00EA3FCC" w:rsidRPr="0015267C">
        <w:rPr>
          <w:b/>
        </w:rPr>
        <w:t>2</w:t>
      </w:r>
      <w:r w:rsidR="004C3E6B" w:rsidRPr="0015267C">
        <w:rPr>
          <w:b/>
        </w:rPr>
        <w:t xml:space="preserve"> </w:t>
      </w:r>
      <w:r w:rsidR="004C3E6B" w:rsidRPr="0095158D">
        <w:t>przypadk</w:t>
      </w:r>
      <w:r w:rsidR="00EA3FCC">
        <w:t>ach</w:t>
      </w:r>
      <w:r w:rsidR="004C3E6B">
        <w:t xml:space="preserve"> </w:t>
      </w:r>
      <w:r w:rsidRPr="0095158D">
        <w:t xml:space="preserve">uniewinniła </w:t>
      </w:r>
      <w:r w:rsidR="00E57B95" w:rsidRPr="0095158D">
        <w:t>obwinion</w:t>
      </w:r>
      <w:r w:rsidR="00E57B95">
        <w:t>ych</w:t>
      </w:r>
      <w:r w:rsidR="00E57B95" w:rsidRPr="0095158D">
        <w:t xml:space="preserve"> </w:t>
      </w:r>
      <w:r w:rsidRPr="0095158D">
        <w:t>od części przypisanych zarzutów naruszenia dyscypliny finansów publicznych</w:t>
      </w:r>
      <w:r w:rsidR="00E16572">
        <w:t>,</w:t>
      </w:r>
      <w:r w:rsidRPr="0095158D">
        <w:t xml:space="preserve"> utrzymując w mocy w pozostałej</w:t>
      </w:r>
      <w:r w:rsidR="00E57B95">
        <w:t xml:space="preserve"> </w:t>
      </w:r>
      <w:r w:rsidRPr="0095158D">
        <w:t xml:space="preserve">części </w:t>
      </w:r>
      <w:r w:rsidR="00E57B95" w:rsidRPr="0095158D">
        <w:t>orzeczeni</w:t>
      </w:r>
      <w:r w:rsidR="00E57B95">
        <w:t>a</w:t>
      </w:r>
      <w:r w:rsidR="00E57B95" w:rsidRPr="0095158D">
        <w:t xml:space="preserve"> </w:t>
      </w:r>
      <w:r w:rsidR="00C405C5">
        <w:t>k</w:t>
      </w:r>
      <w:r w:rsidRPr="0095158D">
        <w:t xml:space="preserve">omisji </w:t>
      </w:r>
      <w:r w:rsidR="006458C0">
        <w:t>pierwszej</w:t>
      </w:r>
      <w:r w:rsidRPr="0095158D">
        <w:t xml:space="preserve"> instancji</w:t>
      </w:r>
      <w:r w:rsidR="00EB181C">
        <w:t>,</w:t>
      </w:r>
    </w:p>
    <w:p w:rsidR="00E57B95" w:rsidRDefault="00BD1B2F" w:rsidP="00695C9D">
      <w:pPr>
        <w:pStyle w:val="Akapitzlist"/>
        <w:numPr>
          <w:ilvl w:val="0"/>
          <w:numId w:val="45"/>
        </w:numPr>
        <w:overflowPunct w:val="0"/>
        <w:autoSpaceDE w:val="0"/>
        <w:autoSpaceDN w:val="0"/>
        <w:adjustRightInd w:val="0"/>
        <w:spacing w:line="360" w:lineRule="auto"/>
        <w:ind w:left="993" w:hanging="284"/>
        <w:jc w:val="both"/>
      </w:pPr>
      <w:r>
        <w:t xml:space="preserve">w </w:t>
      </w:r>
      <w:r w:rsidR="00E57B95" w:rsidRPr="0015267C">
        <w:rPr>
          <w:b/>
        </w:rPr>
        <w:t>3</w:t>
      </w:r>
      <w:r w:rsidR="00510099">
        <w:t xml:space="preserve"> </w:t>
      </w:r>
      <w:r>
        <w:t>przypadkach</w:t>
      </w:r>
      <w:r w:rsidR="00C405C5">
        <w:t>, utrzymując w mocy rozstrzygnięcie o przypisaniu odpowiedzialności,</w:t>
      </w:r>
      <w:r>
        <w:t xml:space="preserve"> </w:t>
      </w:r>
      <w:r w:rsidR="00510099">
        <w:t>uchyliła</w:t>
      </w:r>
      <w:r w:rsidR="00E57B95">
        <w:t xml:space="preserve"> orzeczenia</w:t>
      </w:r>
      <w:r w:rsidR="00510099">
        <w:t xml:space="preserve"> w zakresie wymierzonej kary i </w:t>
      </w:r>
      <w:r>
        <w:t>złagodziła wymiar kary w stosunku do obwinionych lub odstąpiła od jej wymierzenia</w:t>
      </w:r>
      <w:r w:rsidR="00EB181C">
        <w:t>,</w:t>
      </w:r>
    </w:p>
    <w:p w:rsidR="00E57B95" w:rsidRDefault="00E57B95" w:rsidP="00B528DE">
      <w:pPr>
        <w:numPr>
          <w:ilvl w:val="0"/>
          <w:numId w:val="45"/>
        </w:numPr>
        <w:overflowPunct w:val="0"/>
        <w:autoSpaceDE w:val="0"/>
        <w:autoSpaceDN w:val="0"/>
        <w:adjustRightInd w:val="0"/>
        <w:spacing w:line="360" w:lineRule="auto"/>
        <w:ind w:left="993" w:hanging="284"/>
        <w:jc w:val="both"/>
      </w:pPr>
      <w:r w:rsidRPr="003E0706">
        <w:t xml:space="preserve">w </w:t>
      </w:r>
      <w:r>
        <w:rPr>
          <w:b/>
        </w:rPr>
        <w:t>2</w:t>
      </w:r>
      <w:r w:rsidRPr="003E0706">
        <w:t xml:space="preserve"> przypadku</w:t>
      </w:r>
      <w:r>
        <w:t xml:space="preserve"> GKO</w:t>
      </w:r>
      <w:r w:rsidRPr="003E0706">
        <w:t xml:space="preserve"> </w:t>
      </w:r>
      <w:r>
        <w:t>uchyliła orzeczenie w zakresie odstąpienia od wymierzenia kary i wymierzyła karę</w:t>
      </w:r>
      <w:r w:rsidRPr="00351039">
        <w:t xml:space="preserve"> na upomnieni</w:t>
      </w:r>
      <w:r>
        <w:t>a</w:t>
      </w:r>
      <w:r w:rsidR="00F56CA0">
        <w:t>,</w:t>
      </w:r>
    </w:p>
    <w:p w:rsidR="007C1748" w:rsidRDefault="007C1748" w:rsidP="00695C9D">
      <w:pPr>
        <w:pStyle w:val="Akapitzlist"/>
        <w:numPr>
          <w:ilvl w:val="0"/>
          <w:numId w:val="45"/>
        </w:numPr>
        <w:overflowPunct w:val="0"/>
        <w:autoSpaceDE w:val="0"/>
        <w:autoSpaceDN w:val="0"/>
        <w:adjustRightInd w:val="0"/>
        <w:spacing w:line="360" w:lineRule="auto"/>
        <w:ind w:left="993" w:hanging="284"/>
        <w:jc w:val="both"/>
      </w:pPr>
      <w:r w:rsidRPr="007C1748">
        <w:t xml:space="preserve">w </w:t>
      </w:r>
      <w:r w:rsidR="000C3382" w:rsidRPr="0015267C">
        <w:rPr>
          <w:b/>
        </w:rPr>
        <w:t>2</w:t>
      </w:r>
      <w:r w:rsidR="000C3382" w:rsidRPr="007C1748">
        <w:t xml:space="preserve"> </w:t>
      </w:r>
      <w:r w:rsidRPr="007C1748">
        <w:t>przypadku</w:t>
      </w:r>
      <w:r>
        <w:t xml:space="preserve"> </w:t>
      </w:r>
      <w:r w:rsidR="00171D8B">
        <w:t xml:space="preserve">GKO </w:t>
      </w:r>
      <w:r>
        <w:t>w zakresie jednego czynu umorzyła postępowanie z powodu przedawnienia karalności w pozostałym zakresie utrzymała w mocy</w:t>
      </w:r>
      <w:r w:rsidR="00C27355">
        <w:t>,</w:t>
      </w:r>
    </w:p>
    <w:p w:rsidR="000C3382" w:rsidRDefault="000C3382" w:rsidP="00695C9D">
      <w:pPr>
        <w:pStyle w:val="Akapitzlist"/>
        <w:numPr>
          <w:ilvl w:val="0"/>
          <w:numId w:val="45"/>
        </w:numPr>
        <w:spacing w:line="360" w:lineRule="auto"/>
        <w:ind w:left="993" w:hanging="284"/>
        <w:jc w:val="both"/>
      </w:pPr>
      <w:r w:rsidRPr="000C3382">
        <w:t xml:space="preserve">w </w:t>
      </w:r>
      <w:r w:rsidRPr="00695C9D">
        <w:rPr>
          <w:b/>
        </w:rPr>
        <w:t>1</w:t>
      </w:r>
      <w:r w:rsidRPr="000C3382">
        <w:t xml:space="preserve"> przypadku GKO w zakresie jednego czynu umorzyła postępowanie z powodu </w:t>
      </w:r>
      <w:r>
        <w:t xml:space="preserve">znikomej szkodliwości czynu, </w:t>
      </w:r>
      <w:r w:rsidRPr="000C3382">
        <w:t xml:space="preserve"> w pozostałym zakresie utrzymała w mocy,</w:t>
      </w:r>
    </w:p>
    <w:p w:rsidR="000C3382" w:rsidRDefault="000C3382" w:rsidP="00695C9D">
      <w:pPr>
        <w:pStyle w:val="Akapitzlist"/>
        <w:numPr>
          <w:ilvl w:val="0"/>
          <w:numId w:val="45"/>
        </w:numPr>
        <w:spacing w:line="360" w:lineRule="auto"/>
        <w:ind w:left="993" w:hanging="284"/>
        <w:jc w:val="both"/>
      </w:pPr>
      <w:r>
        <w:t xml:space="preserve">w </w:t>
      </w:r>
      <w:r w:rsidR="003E2DB3">
        <w:rPr>
          <w:b/>
        </w:rPr>
        <w:t>1</w:t>
      </w:r>
      <w:r>
        <w:t xml:space="preserve"> przypadku GKO w odniesieniu do jednego z obwinionych uchyliła</w:t>
      </w:r>
      <w:r w:rsidRPr="000C3382">
        <w:t xml:space="preserve"> w części</w:t>
      </w:r>
      <w:r>
        <w:t xml:space="preserve"> </w:t>
      </w:r>
      <w:r w:rsidR="00E57B95">
        <w:t>orzeczenie</w:t>
      </w:r>
      <w:r>
        <w:t xml:space="preserve"> z </w:t>
      </w:r>
      <w:r w:rsidR="00E57B95">
        <w:t>powodu</w:t>
      </w:r>
      <w:r>
        <w:t xml:space="preserve"> </w:t>
      </w:r>
      <w:r w:rsidR="00E57B95">
        <w:t>przedawnienia</w:t>
      </w:r>
      <w:r>
        <w:t xml:space="preserve"> karalności oraz </w:t>
      </w:r>
      <w:r w:rsidRPr="000C3382">
        <w:t xml:space="preserve"> </w:t>
      </w:r>
      <w:r>
        <w:t>uchyliła</w:t>
      </w:r>
      <w:r w:rsidRPr="000C3382">
        <w:t xml:space="preserve"> orzeczenie w</w:t>
      </w:r>
      <w:r w:rsidR="00F56CA0">
        <w:t> </w:t>
      </w:r>
      <w:r w:rsidRPr="000C3382">
        <w:t>zakresie wymierzonej</w:t>
      </w:r>
      <w:r w:rsidR="00E57B95">
        <w:t xml:space="preserve"> mu</w:t>
      </w:r>
      <w:r w:rsidRPr="000C3382">
        <w:t xml:space="preserve"> kary </w:t>
      </w:r>
      <w:r w:rsidR="00E57B95">
        <w:t xml:space="preserve">pieniężnej </w:t>
      </w:r>
      <w:r>
        <w:t>wymierzając karę pieniężną o niższej wysokości</w:t>
      </w:r>
      <w:r w:rsidR="00E57B95">
        <w:t xml:space="preserve">, utrzymując orzeczenie w pozostałym zakresie </w:t>
      </w:r>
      <w:r w:rsidRPr="000C3382">
        <w:t>w mocy</w:t>
      </w:r>
      <w:r>
        <w:t>.</w:t>
      </w:r>
    </w:p>
    <w:p w:rsidR="003E0706" w:rsidRDefault="003E0706" w:rsidP="00695C9D">
      <w:pPr>
        <w:numPr>
          <w:ilvl w:val="0"/>
          <w:numId w:val="45"/>
        </w:numPr>
        <w:overflowPunct w:val="0"/>
        <w:autoSpaceDE w:val="0"/>
        <w:autoSpaceDN w:val="0"/>
        <w:adjustRightInd w:val="0"/>
        <w:spacing w:line="360" w:lineRule="auto"/>
        <w:ind w:left="993" w:hanging="284"/>
        <w:jc w:val="both"/>
      </w:pPr>
      <w:r>
        <w:t xml:space="preserve">w </w:t>
      </w:r>
      <w:r w:rsidRPr="003E0706">
        <w:rPr>
          <w:b/>
        </w:rPr>
        <w:t>1</w:t>
      </w:r>
      <w:r>
        <w:t xml:space="preserve"> przypadku</w:t>
      </w:r>
      <w:r w:rsidRPr="003E0706">
        <w:t xml:space="preserve"> </w:t>
      </w:r>
      <w:r>
        <w:t>uchylając orzeczenie w zakresie sentencji, GKO poprawnie</w:t>
      </w:r>
      <w:r w:rsidRPr="003E0706">
        <w:t xml:space="preserve"> </w:t>
      </w:r>
      <w:r w:rsidR="00351039" w:rsidRPr="003E0706">
        <w:t>sformułowa</w:t>
      </w:r>
      <w:r w:rsidR="00351039">
        <w:t>ła</w:t>
      </w:r>
      <w:r w:rsidR="00351039" w:rsidRPr="003E0706">
        <w:t xml:space="preserve"> </w:t>
      </w:r>
      <w:r w:rsidR="00351039">
        <w:t>opis czynu</w:t>
      </w:r>
      <w:r w:rsidRPr="003E0706">
        <w:t>,</w:t>
      </w:r>
      <w:r w:rsidR="00351039">
        <w:t xml:space="preserve"> </w:t>
      </w:r>
    </w:p>
    <w:p w:rsidR="00940F10" w:rsidRDefault="00940F10" w:rsidP="00B528DE">
      <w:pPr>
        <w:numPr>
          <w:ilvl w:val="0"/>
          <w:numId w:val="16"/>
        </w:numPr>
        <w:tabs>
          <w:tab w:val="clear" w:pos="2520"/>
          <w:tab w:val="num" w:pos="400"/>
        </w:tabs>
        <w:overflowPunct w:val="0"/>
        <w:autoSpaceDE w:val="0"/>
        <w:autoSpaceDN w:val="0"/>
        <w:adjustRightInd w:val="0"/>
        <w:spacing w:line="360" w:lineRule="auto"/>
        <w:ind w:left="717"/>
        <w:jc w:val="both"/>
      </w:pPr>
      <w:r>
        <w:t>Spośród orzeczeń uchylających orzeczenia komisji orzekających pierwszej instancji i uniewinniających obwinionych od stawianych zarzutów:</w:t>
      </w:r>
    </w:p>
    <w:p w:rsidR="00940F10" w:rsidRPr="00B528DE" w:rsidRDefault="003E2DB3" w:rsidP="00695C9D">
      <w:pPr>
        <w:pStyle w:val="Akapitzlist"/>
        <w:numPr>
          <w:ilvl w:val="0"/>
          <w:numId w:val="45"/>
        </w:numPr>
        <w:overflowPunct w:val="0"/>
        <w:autoSpaceDE w:val="0"/>
        <w:autoSpaceDN w:val="0"/>
        <w:adjustRightInd w:val="0"/>
        <w:spacing w:line="360" w:lineRule="auto"/>
        <w:ind w:left="993" w:hanging="284"/>
        <w:jc w:val="both"/>
      </w:pPr>
      <w:r w:rsidRPr="00E458DB">
        <w:rPr>
          <w:b/>
        </w:rPr>
        <w:t>16</w:t>
      </w:r>
      <w:r w:rsidRPr="00B528DE">
        <w:t xml:space="preserve"> </w:t>
      </w:r>
      <w:r w:rsidR="00940F10" w:rsidRPr="00B528DE">
        <w:t xml:space="preserve">dotyczyło obwinionych, którym przypisano odpowiedzialność orzeczeniami wydanymi w pierwszej instancji przez regionalne komisje orzekające; </w:t>
      </w:r>
    </w:p>
    <w:p w:rsidR="00940F10" w:rsidRPr="00B528DE" w:rsidRDefault="003E2DB3" w:rsidP="00695C9D">
      <w:pPr>
        <w:pStyle w:val="Akapitzlist"/>
        <w:numPr>
          <w:ilvl w:val="0"/>
          <w:numId w:val="45"/>
        </w:numPr>
        <w:overflowPunct w:val="0"/>
        <w:autoSpaceDE w:val="0"/>
        <w:autoSpaceDN w:val="0"/>
        <w:adjustRightInd w:val="0"/>
        <w:spacing w:line="360" w:lineRule="auto"/>
        <w:ind w:left="993" w:hanging="284"/>
        <w:jc w:val="both"/>
      </w:pPr>
      <w:r w:rsidRPr="00E458DB">
        <w:rPr>
          <w:b/>
        </w:rPr>
        <w:t>2</w:t>
      </w:r>
      <w:r w:rsidRPr="00E458DB">
        <w:t xml:space="preserve"> </w:t>
      </w:r>
      <w:r w:rsidRPr="00B528DE">
        <w:t xml:space="preserve">dotyczyły </w:t>
      </w:r>
      <w:r w:rsidR="00940F10" w:rsidRPr="00B528DE">
        <w:t xml:space="preserve">obwinionych, którym przypisano odpowiedzialność orzeczeniami wydanymi w pierwszej instancji przez </w:t>
      </w:r>
      <w:r w:rsidR="008B3D1B" w:rsidRPr="00B528DE">
        <w:t xml:space="preserve">międzyresortowe </w:t>
      </w:r>
      <w:r w:rsidR="00940F10" w:rsidRPr="00B528DE">
        <w:t>komisje orzeka</w:t>
      </w:r>
      <w:r w:rsidR="0020432C" w:rsidRPr="00B528DE">
        <w:t>jące.</w:t>
      </w:r>
    </w:p>
    <w:p w:rsidR="00D3667F" w:rsidRPr="004157B7" w:rsidRDefault="00D3667F">
      <w:pPr>
        <w:pStyle w:val="akapit"/>
        <w:numPr>
          <w:ilvl w:val="0"/>
          <w:numId w:val="40"/>
        </w:numPr>
        <w:spacing w:line="360" w:lineRule="auto"/>
        <w:jc w:val="both"/>
        <w:rPr>
          <w:rFonts w:ascii="Times New Roman" w:hAnsi="Times New Roman"/>
          <w:b w:val="0"/>
          <w:bCs/>
          <w:sz w:val="24"/>
          <w:szCs w:val="24"/>
        </w:rPr>
      </w:pPr>
      <w:r w:rsidRPr="004157B7">
        <w:rPr>
          <w:rFonts w:ascii="Times New Roman" w:hAnsi="Times New Roman"/>
          <w:b w:val="0"/>
          <w:bCs/>
          <w:sz w:val="24"/>
          <w:szCs w:val="24"/>
        </w:rPr>
        <w:t>Orzeczenia o uchyleniu zaskarżonego orze</w:t>
      </w:r>
      <w:r w:rsidR="000F26C3" w:rsidRPr="004157B7">
        <w:rPr>
          <w:rFonts w:ascii="Times New Roman" w:hAnsi="Times New Roman"/>
          <w:b w:val="0"/>
          <w:bCs/>
          <w:sz w:val="24"/>
          <w:szCs w:val="24"/>
        </w:rPr>
        <w:t>czenia w całości lub w części i </w:t>
      </w:r>
      <w:r w:rsidRPr="004157B7">
        <w:rPr>
          <w:rFonts w:ascii="Times New Roman" w:hAnsi="Times New Roman"/>
          <w:b w:val="0"/>
          <w:bCs/>
          <w:sz w:val="24"/>
          <w:szCs w:val="24"/>
        </w:rPr>
        <w:t>przekazaniu sprawy do ponownego rozpoznania</w:t>
      </w:r>
      <w:r w:rsidR="00F1302A" w:rsidRPr="004157B7">
        <w:rPr>
          <w:rFonts w:ascii="Times New Roman" w:hAnsi="Times New Roman"/>
          <w:b w:val="0"/>
          <w:bCs/>
          <w:sz w:val="24"/>
          <w:szCs w:val="24"/>
        </w:rPr>
        <w:t>.</w:t>
      </w:r>
    </w:p>
    <w:p w:rsidR="004D7015" w:rsidRDefault="004D7015" w:rsidP="004935BA">
      <w:pPr>
        <w:overflowPunct w:val="0"/>
        <w:autoSpaceDE w:val="0"/>
        <w:autoSpaceDN w:val="0"/>
        <w:adjustRightInd w:val="0"/>
        <w:spacing w:line="360" w:lineRule="auto"/>
        <w:ind w:left="360"/>
        <w:jc w:val="both"/>
      </w:pPr>
      <w:r>
        <w:t>Zgodnie z art. 147 ust. 1 pkt 3 uondfp, GKO może uchylić orzeczenie komisji orzekającej pierwszej instancji i przekazać sprawę do ponownego rozpoznania. Spośród takich orzeczeń GKO:</w:t>
      </w:r>
    </w:p>
    <w:p w:rsidR="004D7015" w:rsidRPr="00394D46" w:rsidRDefault="0015267C" w:rsidP="00E668D1">
      <w:pPr>
        <w:pStyle w:val="Tekstpodstawowy21"/>
        <w:numPr>
          <w:ilvl w:val="0"/>
          <w:numId w:val="1"/>
        </w:numPr>
        <w:spacing w:after="0" w:line="360" w:lineRule="auto"/>
        <w:ind w:left="782" w:hanging="357"/>
        <w:rPr>
          <w:sz w:val="24"/>
          <w:szCs w:val="24"/>
        </w:rPr>
      </w:pPr>
      <w:r>
        <w:rPr>
          <w:b/>
          <w:sz w:val="24"/>
          <w:szCs w:val="24"/>
        </w:rPr>
        <w:lastRenderedPageBreak/>
        <w:t>19</w:t>
      </w:r>
      <w:r w:rsidRPr="00394D46">
        <w:rPr>
          <w:sz w:val="24"/>
          <w:szCs w:val="24"/>
        </w:rPr>
        <w:t xml:space="preserve"> </w:t>
      </w:r>
      <w:r w:rsidR="004D7015" w:rsidRPr="00394D46">
        <w:rPr>
          <w:sz w:val="24"/>
          <w:szCs w:val="24"/>
        </w:rPr>
        <w:t>dotyczyło orzeczeń wydanych w pierwszej instancji przez regionalne komisje orzekające</w:t>
      </w:r>
      <w:r w:rsidR="00394D46">
        <w:rPr>
          <w:sz w:val="24"/>
          <w:szCs w:val="24"/>
        </w:rPr>
        <w:t>,</w:t>
      </w:r>
    </w:p>
    <w:p w:rsidR="004D7015" w:rsidRPr="00394D46" w:rsidRDefault="00C27355" w:rsidP="00E668D1">
      <w:pPr>
        <w:pStyle w:val="Tekstpodstawowy21"/>
        <w:numPr>
          <w:ilvl w:val="0"/>
          <w:numId w:val="1"/>
        </w:numPr>
        <w:spacing w:after="120" w:line="360" w:lineRule="auto"/>
        <w:ind w:left="782" w:hanging="357"/>
        <w:rPr>
          <w:sz w:val="24"/>
          <w:szCs w:val="24"/>
        </w:rPr>
      </w:pPr>
      <w:r>
        <w:rPr>
          <w:b/>
          <w:sz w:val="24"/>
          <w:szCs w:val="24"/>
        </w:rPr>
        <w:t>4</w:t>
      </w:r>
      <w:r w:rsidR="00D50EA1" w:rsidRPr="00394D46">
        <w:rPr>
          <w:sz w:val="24"/>
          <w:szCs w:val="24"/>
        </w:rPr>
        <w:t xml:space="preserve"> </w:t>
      </w:r>
      <w:r w:rsidR="004D7015" w:rsidRPr="00394D46">
        <w:rPr>
          <w:sz w:val="24"/>
          <w:szCs w:val="24"/>
        </w:rPr>
        <w:t>dotyczyło orzeczeń wydanych w pierwszej instancji przez</w:t>
      </w:r>
      <w:r w:rsidR="008B3D1B" w:rsidRPr="008B3D1B">
        <w:rPr>
          <w:sz w:val="24"/>
          <w:szCs w:val="24"/>
        </w:rPr>
        <w:t xml:space="preserve"> </w:t>
      </w:r>
      <w:r w:rsidR="008B3D1B">
        <w:rPr>
          <w:sz w:val="24"/>
          <w:szCs w:val="24"/>
        </w:rPr>
        <w:t>międzyresortowe</w:t>
      </w:r>
      <w:r w:rsidR="004D7015" w:rsidRPr="00394D46">
        <w:rPr>
          <w:sz w:val="24"/>
          <w:szCs w:val="24"/>
        </w:rPr>
        <w:t xml:space="preserve"> komisje orzekające.</w:t>
      </w:r>
    </w:p>
    <w:p w:rsidR="00D3667F" w:rsidRPr="004157B7" w:rsidRDefault="003E2DB3" w:rsidP="00F00448">
      <w:pPr>
        <w:pStyle w:val="akapit"/>
        <w:numPr>
          <w:ilvl w:val="0"/>
          <w:numId w:val="40"/>
        </w:numPr>
        <w:spacing w:line="360" w:lineRule="auto"/>
        <w:jc w:val="both"/>
        <w:rPr>
          <w:rFonts w:ascii="Times New Roman" w:hAnsi="Times New Roman"/>
          <w:b w:val="0"/>
          <w:bCs/>
          <w:sz w:val="24"/>
          <w:szCs w:val="24"/>
        </w:rPr>
      </w:pPr>
      <w:r w:rsidRPr="0015267C">
        <w:rPr>
          <w:rFonts w:ascii="Times New Roman" w:hAnsi="Times New Roman"/>
          <w:b w:val="0"/>
          <w:bCs/>
          <w:sz w:val="24"/>
          <w:szCs w:val="24"/>
        </w:rPr>
        <w:t xml:space="preserve">Rozstrzygnięcia </w:t>
      </w:r>
      <w:r w:rsidR="00F1302A" w:rsidRPr="0015267C">
        <w:rPr>
          <w:rFonts w:ascii="Times New Roman" w:hAnsi="Times New Roman"/>
          <w:b w:val="0"/>
          <w:bCs/>
          <w:sz w:val="24"/>
          <w:szCs w:val="24"/>
        </w:rPr>
        <w:t>o umorzeniu postępowania</w:t>
      </w:r>
      <w:r w:rsidR="00F00448" w:rsidRPr="0015267C">
        <w:rPr>
          <w:rFonts w:ascii="Times New Roman" w:hAnsi="Times New Roman"/>
          <w:b w:val="0"/>
          <w:bCs/>
          <w:sz w:val="24"/>
          <w:szCs w:val="24"/>
        </w:rPr>
        <w:t xml:space="preserve"> </w:t>
      </w:r>
      <w:r w:rsidRPr="0015267C">
        <w:rPr>
          <w:rFonts w:ascii="Times New Roman" w:hAnsi="Times New Roman"/>
          <w:b w:val="0"/>
          <w:bCs/>
          <w:sz w:val="24"/>
          <w:szCs w:val="24"/>
        </w:rPr>
        <w:t xml:space="preserve">zostały </w:t>
      </w:r>
      <w:r w:rsidR="00F00448" w:rsidRPr="0015267C">
        <w:rPr>
          <w:rFonts w:ascii="Times New Roman" w:hAnsi="Times New Roman"/>
          <w:b w:val="0"/>
          <w:bCs/>
          <w:sz w:val="24"/>
          <w:szCs w:val="24"/>
        </w:rPr>
        <w:t>wydane ze względu na</w:t>
      </w:r>
      <w:r w:rsidR="00F00448" w:rsidRPr="00695C9D">
        <w:rPr>
          <w:rFonts w:ascii="Times New Roman" w:hAnsi="Times New Roman"/>
          <w:b w:val="0"/>
        </w:rPr>
        <w:t xml:space="preserve"> </w:t>
      </w:r>
      <w:r w:rsidRPr="0015267C">
        <w:rPr>
          <w:rFonts w:ascii="Times New Roman" w:hAnsi="Times New Roman"/>
          <w:b w:val="0"/>
        </w:rPr>
        <w:t>przedawnienie</w:t>
      </w:r>
      <w:r w:rsidRPr="00695C9D">
        <w:rPr>
          <w:rFonts w:ascii="Times New Roman" w:hAnsi="Times New Roman"/>
          <w:b w:val="0"/>
        </w:rPr>
        <w:t xml:space="preserve"> karalności czynów</w:t>
      </w:r>
      <w:r w:rsidR="00BB424F">
        <w:rPr>
          <w:rFonts w:ascii="Times New Roman" w:hAnsi="Times New Roman"/>
          <w:b w:val="0"/>
        </w:rPr>
        <w:t>,</w:t>
      </w:r>
      <w:r>
        <w:rPr>
          <w:rFonts w:ascii="Times New Roman" w:hAnsi="Times New Roman"/>
          <w:b w:val="0"/>
        </w:rPr>
        <w:t xml:space="preserve"> </w:t>
      </w:r>
      <w:r w:rsidR="00F00448" w:rsidRPr="0015267C">
        <w:rPr>
          <w:rFonts w:ascii="Times New Roman" w:hAnsi="Times New Roman"/>
          <w:b w:val="0"/>
          <w:bCs/>
          <w:sz w:val="24"/>
          <w:szCs w:val="24"/>
        </w:rPr>
        <w:t>znikomy</w:t>
      </w:r>
      <w:r w:rsidR="00F00448" w:rsidRPr="00F00448">
        <w:rPr>
          <w:rFonts w:ascii="Times New Roman" w:hAnsi="Times New Roman"/>
          <w:b w:val="0"/>
          <w:bCs/>
          <w:sz w:val="24"/>
          <w:szCs w:val="24"/>
        </w:rPr>
        <w:t xml:space="preserve"> stopień szkodliwości</w:t>
      </w:r>
      <w:r w:rsidR="00BB424F">
        <w:rPr>
          <w:rFonts w:ascii="Times New Roman" w:hAnsi="Times New Roman"/>
          <w:b w:val="0"/>
          <w:bCs/>
          <w:sz w:val="24"/>
          <w:szCs w:val="24"/>
        </w:rPr>
        <w:t xml:space="preserve"> dla finansów publicznych lub brak znamion</w:t>
      </w:r>
      <w:r w:rsidR="00F00448" w:rsidRPr="00F00448">
        <w:rPr>
          <w:rFonts w:ascii="Times New Roman" w:hAnsi="Times New Roman"/>
          <w:b w:val="0"/>
          <w:bCs/>
          <w:sz w:val="24"/>
          <w:szCs w:val="24"/>
        </w:rPr>
        <w:t xml:space="preserve"> naruszenia </w:t>
      </w:r>
      <w:r w:rsidR="00BB424F">
        <w:rPr>
          <w:rFonts w:ascii="Times New Roman" w:hAnsi="Times New Roman"/>
          <w:b w:val="0"/>
          <w:bCs/>
          <w:sz w:val="24"/>
          <w:szCs w:val="24"/>
        </w:rPr>
        <w:t>dyscypliny</w:t>
      </w:r>
      <w:r w:rsidR="00BB424F" w:rsidRPr="00F00448">
        <w:rPr>
          <w:rFonts w:ascii="Times New Roman" w:hAnsi="Times New Roman"/>
          <w:b w:val="0"/>
          <w:bCs/>
          <w:sz w:val="24"/>
          <w:szCs w:val="24"/>
        </w:rPr>
        <w:t xml:space="preserve"> </w:t>
      </w:r>
      <w:r w:rsidR="00F00448" w:rsidRPr="00F00448">
        <w:rPr>
          <w:rFonts w:ascii="Times New Roman" w:hAnsi="Times New Roman"/>
          <w:b w:val="0"/>
          <w:bCs/>
          <w:sz w:val="24"/>
          <w:szCs w:val="24"/>
        </w:rPr>
        <w:t>finansów publicznych (przesłanki umorzenia postępowania określa art. 78 ust. 1 uondfp).</w:t>
      </w:r>
    </w:p>
    <w:p w:rsidR="00D3667F" w:rsidRPr="004157B7" w:rsidRDefault="00D3667F" w:rsidP="008E63E5">
      <w:pPr>
        <w:pStyle w:val="akapit"/>
        <w:numPr>
          <w:ilvl w:val="0"/>
          <w:numId w:val="40"/>
        </w:numPr>
        <w:spacing w:line="360" w:lineRule="auto"/>
        <w:jc w:val="both"/>
        <w:rPr>
          <w:rFonts w:ascii="Times New Roman" w:hAnsi="Times New Roman"/>
          <w:b w:val="0"/>
          <w:bCs/>
          <w:sz w:val="24"/>
          <w:szCs w:val="24"/>
        </w:rPr>
      </w:pPr>
      <w:r w:rsidRPr="004157B7">
        <w:rPr>
          <w:rFonts w:ascii="Times New Roman" w:hAnsi="Times New Roman"/>
          <w:b w:val="0"/>
          <w:bCs/>
          <w:sz w:val="24"/>
          <w:szCs w:val="24"/>
        </w:rPr>
        <w:t>Rozstrzygnięcia o pozostaw</w:t>
      </w:r>
      <w:r w:rsidR="0044783A" w:rsidRPr="004157B7">
        <w:rPr>
          <w:rFonts w:ascii="Times New Roman" w:hAnsi="Times New Roman"/>
          <w:b w:val="0"/>
          <w:bCs/>
          <w:sz w:val="24"/>
          <w:szCs w:val="24"/>
        </w:rPr>
        <w:t>ieniu odwołania bez rozpoznania.</w:t>
      </w:r>
      <w:r w:rsidRPr="004157B7">
        <w:rPr>
          <w:rFonts w:ascii="Times New Roman" w:hAnsi="Times New Roman"/>
          <w:b w:val="0"/>
          <w:bCs/>
          <w:sz w:val="24"/>
          <w:szCs w:val="24"/>
        </w:rPr>
        <w:t xml:space="preserve"> </w:t>
      </w:r>
    </w:p>
    <w:p w:rsidR="00C564EF" w:rsidRDefault="003D5D2D" w:rsidP="004157B7">
      <w:pPr>
        <w:pStyle w:val="Tekstpodstawowy"/>
        <w:spacing w:after="120" w:line="360" w:lineRule="auto"/>
        <w:ind w:left="358"/>
        <w:rPr>
          <w:szCs w:val="24"/>
        </w:rPr>
      </w:pPr>
      <w:r>
        <w:rPr>
          <w:szCs w:val="24"/>
        </w:rPr>
        <w:t xml:space="preserve">W jednym przypadku pozostawiono odwołanie bez rozpoznania z uwagi na nieuzupełnienie braku formalnego w postaci podpisania odwołania. </w:t>
      </w:r>
    </w:p>
    <w:p w:rsidR="00D3667F" w:rsidRDefault="00D3667F" w:rsidP="00BA1D31">
      <w:pPr>
        <w:pStyle w:val="Tekstpodstawowy"/>
        <w:numPr>
          <w:ilvl w:val="1"/>
          <w:numId w:val="9"/>
        </w:numPr>
        <w:tabs>
          <w:tab w:val="num" w:pos="300"/>
        </w:tabs>
        <w:spacing w:after="120" w:line="360" w:lineRule="auto"/>
        <w:ind w:left="400" w:hanging="400"/>
        <w:rPr>
          <w:szCs w:val="24"/>
        </w:rPr>
      </w:pPr>
      <w:r>
        <w:rPr>
          <w:b/>
        </w:rPr>
        <w:t>Inne sprawy załatwiane przez</w:t>
      </w:r>
      <w:r w:rsidR="00F8524C">
        <w:rPr>
          <w:b/>
        </w:rPr>
        <w:t xml:space="preserve"> GKO i</w:t>
      </w:r>
      <w:r>
        <w:rPr>
          <w:b/>
        </w:rPr>
        <w:t xml:space="preserve"> Przewodniczącego GKO</w:t>
      </w:r>
      <w:r w:rsidR="00F1302A">
        <w:rPr>
          <w:b/>
        </w:rPr>
        <w:t xml:space="preserve"> w </w:t>
      </w:r>
      <w:r w:rsidR="00BB424F">
        <w:rPr>
          <w:b/>
        </w:rPr>
        <w:t xml:space="preserve">2018 </w:t>
      </w:r>
      <w:r w:rsidR="00F1302A">
        <w:rPr>
          <w:b/>
        </w:rPr>
        <w:t>r.</w:t>
      </w:r>
    </w:p>
    <w:p w:rsidR="00BE3E47" w:rsidRDefault="004F6F15" w:rsidP="00BE3E47">
      <w:pPr>
        <w:numPr>
          <w:ilvl w:val="0"/>
          <w:numId w:val="31"/>
        </w:numPr>
        <w:tabs>
          <w:tab w:val="clear" w:pos="720"/>
          <w:tab w:val="num" w:pos="426"/>
        </w:tabs>
        <w:overflowPunct w:val="0"/>
        <w:autoSpaceDE w:val="0"/>
        <w:autoSpaceDN w:val="0"/>
        <w:adjustRightInd w:val="0"/>
        <w:spacing w:after="120" w:line="360" w:lineRule="auto"/>
        <w:ind w:left="426" w:hanging="426"/>
        <w:jc w:val="both"/>
      </w:pPr>
      <w:r>
        <w:t>GKO rozpozn</w:t>
      </w:r>
      <w:r w:rsidR="009B64EE">
        <w:t xml:space="preserve">ała </w:t>
      </w:r>
      <w:r w:rsidR="00767661">
        <w:rPr>
          <w:b/>
        </w:rPr>
        <w:t>2</w:t>
      </w:r>
      <w:r w:rsidR="00767661">
        <w:t xml:space="preserve"> </w:t>
      </w:r>
      <w:r>
        <w:t>zażalenia</w:t>
      </w:r>
      <w:r w:rsidR="001D0C9E" w:rsidRPr="00A0033A">
        <w:t xml:space="preserve"> </w:t>
      </w:r>
      <w:r w:rsidR="009B64EE">
        <w:t xml:space="preserve">(złożone przez </w:t>
      </w:r>
      <w:r w:rsidR="00D23B75">
        <w:t>zawiadamiając</w:t>
      </w:r>
      <w:r w:rsidR="009B64EE">
        <w:t>ych)</w:t>
      </w:r>
      <w:r w:rsidR="001D0C9E" w:rsidRPr="00A0033A">
        <w:t xml:space="preserve"> </w:t>
      </w:r>
      <w:r w:rsidR="009B64EE">
        <w:t xml:space="preserve">na </w:t>
      </w:r>
      <w:r>
        <w:t>postanowieni</w:t>
      </w:r>
      <w:r w:rsidR="009B64EE">
        <w:t>a</w:t>
      </w:r>
      <w:r w:rsidR="001D0C9E" w:rsidRPr="00A0033A">
        <w:t xml:space="preserve"> Głównego</w:t>
      </w:r>
      <w:r w:rsidR="00DE02C3" w:rsidRPr="00DE02C3">
        <w:t xml:space="preserve"> </w:t>
      </w:r>
      <w:r w:rsidR="001D0C9E" w:rsidRPr="00A0033A">
        <w:t>Rzecznika Dyscypliny Finansów Publicznych</w:t>
      </w:r>
      <w:r w:rsidR="00A0033A" w:rsidRPr="00A0033A">
        <w:t>,</w:t>
      </w:r>
      <w:r w:rsidR="00404F82">
        <w:t xml:space="preserve"> dotyczące umorzenia </w:t>
      </w:r>
      <w:r w:rsidR="001D0C9E" w:rsidRPr="00A0033A">
        <w:t xml:space="preserve">postępowania </w:t>
      </w:r>
      <w:r w:rsidR="00404F82">
        <w:t>wyjaśniającego</w:t>
      </w:r>
      <w:r w:rsidR="009B64EE">
        <w:t xml:space="preserve">. </w:t>
      </w:r>
      <w:r w:rsidR="00EC41D9">
        <w:t xml:space="preserve">Jedno postanowienie </w:t>
      </w:r>
      <w:r w:rsidR="004625A0">
        <w:t>GKO</w:t>
      </w:r>
      <w:r w:rsidR="009B64EE">
        <w:t xml:space="preserve"> </w:t>
      </w:r>
      <w:r w:rsidR="00300F2D">
        <w:t>uchyliła i przekazała do rozpoznania</w:t>
      </w:r>
      <w:r w:rsidR="009B64EE">
        <w:t xml:space="preserve"> rzecznikowi dyscypliny (w pierwszej instancji)</w:t>
      </w:r>
      <w:r w:rsidR="00EC41D9">
        <w:t>, drugie natomiast</w:t>
      </w:r>
      <w:r w:rsidR="00BE3E47">
        <w:t xml:space="preserve"> zaskarżone postanowienie GKO utrzymała w mocy</w:t>
      </w:r>
      <w:r w:rsidR="001D0C9E" w:rsidRPr="00E27C23">
        <w:t>.</w:t>
      </w:r>
    </w:p>
    <w:p w:rsidR="00F304C5" w:rsidRDefault="00BE3E47" w:rsidP="00BE3E47">
      <w:pPr>
        <w:numPr>
          <w:ilvl w:val="0"/>
          <w:numId w:val="31"/>
        </w:numPr>
        <w:tabs>
          <w:tab w:val="clear" w:pos="720"/>
          <w:tab w:val="num" w:pos="426"/>
        </w:tabs>
        <w:overflowPunct w:val="0"/>
        <w:autoSpaceDE w:val="0"/>
        <w:autoSpaceDN w:val="0"/>
        <w:adjustRightInd w:val="0"/>
        <w:spacing w:after="120" w:line="360" w:lineRule="auto"/>
        <w:ind w:left="426" w:hanging="426"/>
        <w:jc w:val="both"/>
      </w:pPr>
      <w:r>
        <w:t>GKO</w:t>
      </w:r>
      <w:r w:rsidR="00DE02C3">
        <w:t xml:space="preserve"> rozpozna</w:t>
      </w:r>
      <w:r>
        <w:t>ła</w:t>
      </w:r>
      <w:r w:rsidR="00DE02C3">
        <w:t xml:space="preserve"> </w:t>
      </w:r>
      <w:r w:rsidRPr="00BE3E47">
        <w:rPr>
          <w:b/>
        </w:rPr>
        <w:t>1</w:t>
      </w:r>
      <w:r w:rsidR="00300F2D">
        <w:t xml:space="preserve"> </w:t>
      </w:r>
      <w:r w:rsidR="00DE02C3">
        <w:t>zażaleni</w:t>
      </w:r>
      <w:r>
        <w:t>e</w:t>
      </w:r>
      <w:r w:rsidR="00DE02C3">
        <w:t xml:space="preserve"> </w:t>
      </w:r>
      <w:r>
        <w:t>rzecznika dyscypliny finansów publicznych (w pierwszej instancji) na postanowienie Komisji Orzekającej I instancji umarzające</w:t>
      </w:r>
      <w:r w:rsidRPr="00BE3E47">
        <w:t xml:space="preserve"> postępowanie prowadzone wobec</w:t>
      </w:r>
      <w:r>
        <w:t xml:space="preserve"> obwinionego z uwagi na przedawnienia karalności części </w:t>
      </w:r>
      <w:r w:rsidRPr="00BE3E47">
        <w:t>czynów</w:t>
      </w:r>
      <w:r w:rsidR="00043E58" w:rsidRPr="00BE3E47">
        <w:t xml:space="preserve"> </w:t>
      </w:r>
      <w:r w:rsidRPr="00BE3E47">
        <w:t>– GKO utrzymała w mocy zaskarżone postanowienie</w:t>
      </w:r>
      <w:r w:rsidR="00DE02C3" w:rsidRPr="00BE3E47">
        <w:t>.</w:t>
      </w:r>
    </w:p>
    <w:p w:rsidR="00767661" w:rsidRDefault="00767661" w:rsidP="00695C9D">
      <w:pPr>
        <w:numPr>
          <w:ilvl w:val="0"/>
          <w:numId w:val="31"/>
        </w:numPr>
        <w:tabs>
          <w:tab w:val="clear" w:pos="720"/>
          <w:tab w:val="num" w:pos="426"/>
        </w:tabs>
        <w:overflowPunct w:val="0"/>
        <w:autoSpaceDE w:val="0"/>
        <w:autoSpaceDN w:val="0"/>
        <w:adjustRightInd w:val="0"/>
        <w:spacing w:after="120" w:line="360" w:lineRule="auto"/>
        <w:ind w:left="426" w:hanging="426"/>
        <w:jc w:val="both"/>
      </w:pPr>
      <w:r w:rsidRPr="00767661">
        <w:t xml:space="preserve">Przewodniczący GKO wydał </w:t>
      </w:r>
      <w:r w:rsidRPr="00695C9D">
        <w:rPr>
          <w:b/>
        </w:rPr>
        <w:t>1</w:t>
      </w:r>
      <w:r>
        <w:t xml:space="preserve"> zarządzenie uchylające zarządzenie Przewodniczącego </w:t>
      </w:r>
      <w:r w:rsidRPr="00767661">
        <w:t>Regionalnej Komisji Orzekającej w sprawach o naruszenie dyscypliny finansów publicznych przy Regionalnej Izbie Obrachunkowej w K</w:t>
      </w:r>
      <w:r>
        <w:t>ielcach o zwrocie wniosku o</w:t>
      </w:r>
      <w:r w:rsidR="00F56CA0">
        <w:t> </w:t>
      </w:r>
      <w:r>
        <w:t>ukaranie do rzecznika w celu uzupełnienia.</w:t>
      </w:r>
    </w:p>
    <w:p w:rsidR="00666CDB" w:rsidRDefault="00577CFA" w:rsidP="00695C9D">
      <w:pPr>
        <w:numPr>
          <w:ilvl w:val="0"/>
          <w:numId w:val="31"/>
        </w:numPr>
        <w:tabs>
          <w:tab w:val="clear" w:pos="720"/>
          <w:tab w:val="num" w:pos="426"/>
        </w:tabs>
        <w:overflowPunct w:val="0"/>
        <w:autoSpaceDE w:val="0"/>
        <w:autoSpaceDN w:val="0"/>
        <w:adjustRightInd w:val="0"/>
        <w:spacing w:after="120" w:line="360" w:lineRule="auto"/>
        <w:ind w:left="426" w:hanging="426"/>
        <w:jc w:val="both"/>
      </w:pPr>
      <w:r w:rsidRPr="00577CFA">
        <w:t xml:space="preserve">Przewodniczący GKO wydał </w:t>
      </w:r>
      <w:r w:rsidR="00767661">
        <w:rPr>
          <w:b/>
        </w:rPr>
        <w:t>2</w:t>
      </w:r>
      <w:r w:rsidR="00767661" w:rsidRPr="00577CFA">
        <w:t xml:space="preserve"> </w:t>
      </w:r>
      <w:r w:rsidRPr="00577CFA">
        <w:t xml:space="preserve">postanowienia </w:t>
      </w:r>
      <w:r>
        <w:t>o odmowie przyjęcia środka zaskarżenia z</w:t>
      </w:r>
      <w:r w:rsidR="00F56CA0">
        <w:t> </w:t>
      </w:r>
      <w:r>
        <w:t xml:space="preserve">uwagi na </w:t>
      </w:r>
      <w:r w:rsidR="00F656FA">
        <w:t>uchybiania formalne, tj. brak podpisania odwołania przez osobę uprawnion</w:t>
      </w:r>
      <w:r w:rsidR="00767661">
        <w:t>ą oraz wniesienie odwołania po terminie</w:t>
      </w:r>
      <w:r w:rsidR="00F656FA">
        <w:t>.</w:t>
      </w:r>
    </w:p>
    <w:p w:rsidR="00E458DB" w:rsidRDefault="00EC520D" w:rsidP="00695C9D">
      <w:pPr>
        <w:numPr>
          <w:ilvl w:val="0"/>
          <w:numId w:val="31"/>
        </w:numPr>
        <w:tabs>
          <w:tab w:val="clear" w:pos="720"/>
          <w:tab w:val="num" w:pos="426"/>
        </w:tabs>
        <w:overflowPunct w:val="0"/>
        <w:autoSpaceDE w:val="0"/>
        <w:autoSpaceDN w:val="0"/>
        <w:adjustRightInd w:val="0"/>
        <w:spacing w:after="120" w:line="360" w:lineRule="auto"/>
        <w:ind w:left="426" w:hanging="426"/>
        <w:jc w:val="both"/>
      </w:pPr>
      <w:r>
        <w:t xml:space="preserve">Przewodniczący </w:t>
      </w:r>
      <w:r w:rsidRPr="00EC520D">
        <w:t xml:space="preserve">GKO </w:t>
      </w:r>
      <w:r>
        <w:t xml:space="preserve">wydał </w:t>
      </w:r>
      <w:r w:rsidR="00767661">
        <w:rPr>
          <w:b/>
        </w:rPr>
        <w:t>1</w:t>
      </w:r>
      <w:r w:rsidR="00767661">
        <w:t xml:space="preserve"> postanowienie</w:t>
      </w:r>
      <w:r w:rsidR="00767661" w:rsidRPr="00EC520D">
        <w:t xml:space="preserve"> </w:t>
      </w:r>
      <w:r w:rsidRPr="00EC520D">
        <w:t>uchylające w postanowieni</w:t>
      </w:r>
      <w:r w:rsidR="004625A0">
        <w:t>a</w:t>
      </w:r>
      <w:r w:rsidRPr="00EC520D">
        <w:t xml:space="preserve"> </w:t>
      </w:r>
      <w:r w:rsidR="004625A0" w:rsidRPr="00EC520D">
        <w:t xml:space="preserve">o odmowie </w:t>
      </w:r>
      <w:r w:rsidR="00767661">
        <w:t xml:space="preserve">przywrócenia terminu do wniesienia odwołania </w:t>
      </w:r>
      <w:r>
        <w:t>Przewodnicząc</w:t>
      </w:r>
      <w:r w:rsidR="004625A0">
        <w:t xml:space="preserve">ego </w:t>
      </w:r>
      <w:r w:rsidR="00767661">
        <w:t xml:space="preserve">Regionalnej </w:t>
      </w:r>
      <w:r>
        <w:t xml:space="preserve">Komisji </w:t>
      </w:r>
      <w:r w:rsidR="00767661">
        <w:t>Orzekającej w sprawach o naruszenie dyscypliny finansów publicznych przy</w:t>
      </w:r>
      <w:r w:rsidR="00666CDB">
        <w:t xml:space="preserve"> Regional</w:t>
      </w:r>
      <w:r w:rsidR="00767661">
        <w:t>nej Izbie Obrachunkowej w Krakowie</w:t>
      </w:r>
      <w:r w:rsidR="004625A0">
        <w:t>.</w:t>
      </w:r>
      <w:r w:rsidRPr="00EC520D">
        <w:t xml:space="preserve"> </w:t>
      </w:r>
    </w:p>
    <w:p w:rsidR="00E458DB" w:rsidRDefault="00E458DB"/>
    <w:p w:rsidR="008832C3" w:rsidRDefault="002C1A0B" w:rsidP="00695C9D">
      <w:pPr>
        <w:numPr>
          <w:ilvl w:val="0"/>
          <w:numId w:val="31"/>
        </w:numPr>
        <w:tabs>
          <w:tab w:val="clear" w:pos="720"/>
          <w:tab w:val="num" w:pos="426"/>
        </w:tabs>
        <w:overflowPunct w:val="0"/>
        <w:autoSpaceDE w:val="0"/>
        <w:autoSpaceDN w:val="0"/>
        <w:adjustRightInd w:val="0"/>
        <w:spacing w:after="120" w:line="360" w:lineRule="auto"/>
        <w:ind w:left="426" w:hanging="426"/>
        <w:jc w:val="both"/>
      </w:pPr>
      <w:r>
        <w:t xml:space="preserve">Przewodniczącego GKO </w:t>
      </w:r>
      <w:r w:rsidR="00E26798" w:rsidRPr="00053A54">
        <w:t>za</w:t>
      </w:r>
      <w:r w:rsidR="00D95939">
        <w:t xml:space="preserve">akceptował </w:t>
      </w:r>
      <w:r w:rsidR="00D65636" w:rsidRPr="008832C3">
        <w:rPr>
          <w:b/>
        </w:rPr>
        <w:t>6</w:t>
      </w:r>
      <w:r w:rsidR="00D65636">
        <w:t xml:space="preserve"> programów </w:t>
      </w:r>
      <w:r w:rsidR="00E26798" w:rsidRPr="00053A54">
        <w:t>szkole</w:t>
      </w:r>
      <w:r w:rsidR="008E63E5">
        <w:t>ń</w:t>
      </w:r>
      <w:r w:rsidR="008832C3">
        <w:t>.</w:t>
      </w:r>
      <w:r w:rsidR="00D95939">
        <w:t xml:space="preserve"> </w:t>
      </w:r>
    </w:p>
    <w:p w:rsidR="008832C3" w:rsidRDefault="008832C3" w:rsidP="00695C9D">
      <w:pPr>
        <w:overflowPunct w:val="0"/>
        <w:autoSpaceDE w:val="0"/>
        <w:autoSpaceDN w:val="0"/>
        <w:adjustRightInd w:val="0"/>
        <w:spacing w:after="120" w:line="360" w:lineRule="auto"/>
        <w:ind w:left="426"/>
        <w:jc w:val="both"/>
      </w:pPr>
      <w:r>
        <w:t>Dwóch wstępnych dla:</w:t>
      </w:r>
    </w:p>
    <w:p w:rsidR="008832C3" w:rsidRDefault="008832C3" w:rsidP="00695C9D">
      <w:pPr>
        <w:numPr>
          <w:ilvl w:val="0"/>
          <w:numId w:val="46"/>
        </w:numPr>
        <w:overflowPunct w:val="0"/>
        <w:autoSpaceDE w:val="0"/>
        <w:autoSpaceDN w:val="0"/>
        <w:adjustRightInd w:val="0"/>
        <w:spacing w:after="120" w:line="360" w:lineRule="auto"/>
        <w:jc w:val="both"/>
      </w:pPr>
      <w:r w:rsidRPr="008832C3">
        <w:t xml:space="preserve">Regionalnej Komisji Orzekającej w sprawach o naruszenie dyscypliny finansów publicznych przy Regionalnej Izbie Obrachunkowej w </w:t>
      </w:r>
      <w:r>
        <w:t xml:space="preserve">Olsztynie </w:t>
      </w:r>
    </w:p>
    <w:p w:rsidR="008832C3" w:rsidRDefault="008832C3" w:rsidP="00695C9D">
      <w:pPr>
        <w:numPr>
          <w:ilvl w:val="0"/>
          <w:numId w:val="46"/>
        </w:numPr>
        <w:overflowPunct w:val="0"/>
        <w:autoSpaceDE w:val="0"/>
        <w:autoSpaceDN w:val="0"/>
        <w:adjustRightInd w:val="0"/>
        <w:spacing w:after="120" w:line="360" w:lineRule="auto"/>
        <w:jc w:val="both"/>
      </w:pPr>
      <w:r w:rsidRPr="008832C3">
        <w:t xml:space="preserve">Komisji Orzekającej w sprawach o naruszenie dyscypliny finansów publicznych przy </w:t>
      </w:r>
      <w:r>
        <w:t>Szefie Kancelarii Prezesa Rady Ministrów</w:t>
      </w:r>
      <w:r w:rsidR="00D95939">
        <w:t xml:space="preserve"> </w:t>
      </w:r>
    </w:p>
    <w:p w:rsidR="008832C3" w:rsidRDefault="008832C3" w:rsidP="00695C9D">
      <w:pPr>
        <w:overflowPunct w:val="0"/>
        <w:autoSpaceDE w:val="0"/>
        <w:autoSpaceDN w:val="0"/>
        <w:adjustRightInd w:val="0"/>
        <w:spacing w:after="120" w:line="360" w:lineRule="auto"/>
        <w:ind w:left="426"/>
        <w:jc w:val="both"/>
      </w:pPr>
      <w:r>
        <w:t xml:space="preserve">oraz czterech </w:t>
      </w:r>
      <w:r w:rsidR="00A06512">
        <w:t>dodatkow</w:t>
      </w:r>
      <w:r>
        <w:t>ych</w:t>
      </w:r>
      <w:r w:rsidR="00E26798" w:rsidRPr="00053A54">
        <w:t xml:space="preserve"> dla</w:t>
      </w:r>
      <w:r>
        <w:t>:</w:t>
      </w:r>
    </w:p>
    <w:p w:rsidR="008832C3" w:rsidRDefault="00EC520D" w:rsidP="00695C9D">
      <w:pPr>
        <w:pStyle w:val="Akapitzlist"/>
        <w:numPr>
          <w:ilvl w:val="0"/>
          <w:numId w:val="47"/>
        </w:numPr>
        <w:overflowPunct w:val="0"/>
        <w:autoSpaceDE w:val="0"/>
        <w:autoSpaceDN w:val="0"/>
        <w:adjustRightInd w:val="0"/>
        <w:spacing w:after="120" w:line="360" w:lineRule="auto"/>
        <w:jc w:val="both"/>
      </w:pPr>
      <w:r>
        <w:t xml:space="preserve">Międzyresortowej Komisji Orzekających </w:t>
      </w:r>
      <w:r w:rsidR="008832C3" w:rsidRPr="008832C3">
        <w:t>w sprawach o naruszenie dyscypliny finansów publicznych przy</w:t>
      </w:r>
      <w:r w:rsidR="008832C3">
        <w:t xml:space="preserve"> ministrze właściwym do spraw finansów publicznych, </w:t>
      </w:r>
    </w:p>
    <w:p w:rsidR="008832C3" w:rsidRDefault="008832C3" w:rsidP="00695C9D">
      <w:pPr>
        <w:pStyle w:val="Akapitzlist"/>
        <w:numPr>
          <w:ilvl w:val="0"/>
          <w:numId w:val="47"/>
        </w:numPr>
        <w:overflowPunct w:val="0"/>
        <w:autoSpaceDE w:val="0"/>
        <w:autoSpaceDN w:val="0"/>
        <w:adjustRightInd w:val="0"/>
        <w:spacing w:after="120" w:line="360" w:lineRule="auto"/>
        <w:jc w:val="both"/>
      </w:pPr>
      <w:r w:rsidRPr="008832C3">
        <w:t xml:space="preserve">Międzyresortowej Komisji Orzekających w sprawach o naruszenie dyscypliny finansów publicznych przy </w:t>
      </w:r>
      <w:r>
        <w:t xml:space="preserve">ministrze właściwym do spraw administracji publicznej, </w:t>
      </w:r>
    </w:p>
    <w:p w:rsidR="008832C3" w:rsidRDefault="008832C3" w:rsidP="00695C9D">
      <w:pPr>
        <w:pStyle w:val="Akapitzlist"/>
        <w:numPr>
          <w:ilvl w:val="0"/>
          <w:numId w:val="47"/>
        </w:numPr>
        <w:overflowPunct w:val="0"/>
        <w:autoSpaceDE w:val="0"/>
        <w:autoSpaceDN w:val="0"/>
        <w:adjustRightInd w:val="0"/>
        <w:spacing w:after="120" w:line="360" w:lineRule="auto"/>
        <w:jc w:val="both"/>
      </w:pPr>
      <w:r w:rsidRPr="008832C3">
        <w:t xml:space="preserve">Międzyresortowej Komisji Orzekających w sprawach o naruszenie dyscypliny finansów publicznych przy </w:t>
      </w:r>
      <w:r>
        <w:t>ministrze sprawiedliwości,</w:t>
      </w:r>
    </w:p>
    <w:p w:rsidR="00E26798" w:rsidRDefault="008832C3" w:rsidP="00695C9D">
      <w:pPr>
        <w:pStyle w:val="Akapitzlist"/>
        <w:numPr>
          <w:ilvl w:val="0"/>
          <w:numId w:val="47"/>
        </w:numPr>
        <w:overflowPunct w:val="0"/>
        <w:autoSpaceDE w:val="0"/>
        <w:autoSpaceDN w:val="0"/>
        <w:adjustRightInd w:val="0"/>
        <w:spacing w:after="120" w:line="360" w:lineRule="auto"/>
        <w:jc w:val="both"/>
      </w:pPr>
      <w:r w:rsidRPr="008832C3">
        <w:t xml:space="preserve">Regionalnej Komisji Orzekającej w sprawach o naruszenie dyscypliny finansów publicznych przy Regionalnej Izbie Obrachunkowej w </w:t>
      </w:r>
      <w:r>
        <w:t>Kielcach</w:t>
      </w:r>
      <w:r w:rsidR="000B1A3C">
        <w:t>.</w:t>
      </w:r>
    </w:p>
    <w:p w:rsidR="00C564EF" w:rsidRPr="00053A54" w:rsidRDefault="00C564EF" w:rsidP="00695C9D">
      <w:pPr>
        <w:overflowPunct w:val="0"/>
        <w:autoSpaceDE w:val="0"/>
        <w:autoSpaceDN w:val="0"/>
        <w:adjustRightInd w:val="0"/>
        <w:spacing w:after="120" w:line="360" w:lineRule="auto"/>
        <w:jc w:val="both"/>
      </w:pPr>
    </w:p>
    <w:p w:rsidR="00D3667F" w:rsidRPr="00A20597" w:rsidRDefault="00D3667F" w:rsidP="00BA1D31">
      <w:pPr>
        <w:pStyle w:val="Tekstpodstawowy"/>
        <w:numPr>
          <w:ilvl w:val="1"/>
          <w:numId w:val="9"/>
        </w:numPr>
        <w:tabs>
          <w:tab w:val="num" w:pos="300"/>
        </w:tabs>
        <w:spacing w:after="120" w:line="360" w:lineRule="auto"/>
        <w:ind w:left="400" w:hanging="400"/>
        <w:rPr>
          <w:b/>
        </w:rPr>
      </w:pPr>
      <w:r w:rsidRPr="00A20597">
        <w:rPr>
          <w:b/>
        </w:rPr>
        <w:t>Rozstrzygnięcia GKO zaskarżone do sądów administracyjnych</w:t>
      </w:r>
      <w:r w:rsidR="00DB1112">
        <w:rPr>
          <w:b/>
        </w:rPr>
        <w:t>.</w:t>
      </w:r>
    </w:p>
    <w:p w:rsidR="00931C63" w:rsidRDefault="00931C63" w:rsidP="00BA1D31">
      <w:pPr>
        <w:numPr>
          <w:ilvl w:val="0"/>
          <w:numId w:val="32"/>
        </w:numPr>
        <w:overflowPunct w:val="0"/>
        <w:spacing w:after="120" w:line="360" w:lineRule="auto"/>
        <w:jc w:val="both"/>
      </w:pPr>
      <w:r>
        <w:t xml:space="preserve">W </w:t>
      </w:r>
      <w:r w:rsidR="00EC5F3C">
        <w:t>201</w:t>
      </w:r>
      <w:r w:rsidR="00E17ECE">
        <w:t>8</w:t>
      </w:r>
      <w:r w:rsidR="00EC5F3C">
        <w:t xml:space="preserve"> </w:t>
      </w:r>
      <w:r>
        <w:t xml:space="preserve">r. do Wojewódzkiego Sądu Administracyjnego w Warszawie wpłynęło </w:t>
      </w:r>
      <w:r w:rsidR="00E17ECE">
        <w:rPr>
          <w:b/>
        </w:rPr>
        <w:t xml:space="preserve">14 </w:t>
      </w:r>
      <w:r>
        <w:t xml:space="preserve">skarg na orzeczenia GKO. </w:t>
      </w:r>
    </w:p>
    <w:p w:rsidR="00931C63" w:rsidRDefault="00931C63" w:rsidP="003016C6">
      <w:pPr>
        <w:numPr>
          <w:ilvl w:val="0"/>
          <w:numId w:val="32"/>
        </w:numPr>
        <w:overflowPunct w:val="0"/>
        <w:spacing w:after="120" w:line="360" w:lineRule="auto"/>
        <w:jc w:val="both"/>
      </w:pPr>
      <w:r>
        <w:t xml:space="preserve">Z rozpoznanych w </w:t>
      </w:r>
      <w:r w:rsidR="00E17ECE">
        <w:t xml:space="preserve">2018 </w:t>
      </w:r>
      <w:r>
        <w:t xml:space="preserve">r. przez WSA w Warszawie skarg na orzeczenia GKO, które wpłynęły do Sądu w </w:t>
      </w:r>
      <w:r w:rsidR="00E17ECE">
        <w:t xml:space="preserve">2018 </w:t>
      </w:r>
      <w:r>
        <w:t xml:space="preserve">r. i wcześniej, WSA w Warszawie </w:t>
      </w:r>
      <w:r w:rsidR="00895CAE">
        <w:rPr>
          <w:b/>
        </w:rPr>
        <w:t>4</w:t>
      </w:r>
      <w:r w:rsidR="00E17ECE">
        <w:t xml:space="preserve"> </w:t>
      </w:r>
      <w:r w:rsidR="00922924">
        <w:t>skarg</w:t>
      </w:r>
      <w:r w:rsidR="00E17ECE">
        <w:t>i</w:t>
      </w:r>
      <w:r w:rsidR="00922924">
        <w:t xml:space="preserve"> uwzględnił, </w:t>
      </w:r>
      <w:r w:rsidR="00FB2F51">
        <w:rPr>
          <w:b/>
        </w:rPr>
        <w:t>2</w:t>
      </w:r>
      <w:r w:rsidR="00E17ECE">
        <w:rPr>
          <w:b/>
        </w:rPr>
        <w:t xml:space="preserve"> </w:t>
      </w:r>
      <w:r w:rsidR="003C0A6F">
        <w:t>skarg</w:t>
      </w:r>
      <w:r w:rsidR="00FB2F51">
        <w:t>i</w:t>
      </w:r>
      <w:r w:rsidR="00762505">
        <w:t xml:space="preserve"> </w:t>
      </w:r>
      <w:r w:rsidR="00922924">
        <w:t>odrzucił</w:t>
      </w:r>
      <w:r w:rsidR="003016C6">
        <w:t xml:space="preserve">, w przypadku </w:t>
      </w:r>
      <w:r w:rsidR="003016C6" w:rsidRPr="00695C9D">
        <w:rPr>
          <w:b/>
        </w:rPr>
        <w:t>1</w:t>
      </w:r>
      <w:r w:rsidR="003016C6">
        <w:t xml:space="preserve"> skargi</w:t>
      </w:r>
      <w:r w:rsidR="00922924">
        <w:t xml:space="preserve"> </w:t>
      </w:r>
      <w:r w:rsidR="003016C6">
        <w:t>umorzył postępowanie</w:t>
      </w:r>
      <w:r w:rsidR="003016C6" w:rsidRPr="003016C6">
        <w:t xml:space="preserve"> z powodu </w:t>
      </w:r>
      <w:r w:rsidR="003016C6">
        <w:t xml:space="preserve">jej cofnięcia, </w:t>
      </w:r>
      <w:r w:rsidR="00922924">
        <w:t>a</w:t>
      </w:r>
      <w:r w:rsidR="00B528DE">
        <w:t> </w:t>
      </w:r>
      <w:r>
        <w:t>w</w:t>
      </w:r>
      <w:r w:rsidR="00B528DE">
        <w:t> </w:t>
      </w:r>
      <w:r>
        <w:t xml:space="preserve">odniesieniu do </w:t>
      </w:r>
      <w:r w:rsidR="00895CAE">
        <w:rPr>
          <w:b/>
        </w:rPr>
        <w:t>1</w:t>
      </w:r>
      <w:r w:rsidR="00C2782E">
        <w:rPr>
          <w:b/>
        </w:rPr>
        <w:t>3</w:t>
      </w:r>
      <w:r w:rsidR="00E17ECE">
        <w:rPr>
          <w:b/>
          <w:bCs/>
        </w:rPr>
        <w:t xml:space="preserve"> </w:t>
      </w:r>
      <w:r w:rsidRPr="007F1996">
        <w:rPr>
          <w:bCs/>
        </w:rPr>
        <w:t>orzeczeń</w:t>
      </w:r>
      <w:r w:rsidR="00505F21">
        <w:t xml:space="preserve"> oddalił skargi.</w:t>
      </w:r>
    </w:p>
    <w:p w:rsidR="00ED7836" w:rsidRDefault="00931C63" w:rsidP="00ED7836">
      <w:pPr>
        <w:numPr>
          <w:ilvl w:val="0"/>
          <w:numId w:val="32"/>
        </w:numPr>
        <w:overflowPunct w:val="0"/>
        <w:spacing w:after="120" w:line="360" w:lineRule="auto"/>
        <w:jc w:val="both"/>
      </w:pPr>
      <w:r>
        <w:t xml:space="preserve">W </w:t>
      </w:r>
      <w:r w:rsidR="00832323">
        <w:t>201</w:t>
      </w:r>
      <w:r w:rsidR="003016C6">
        <w:t>8</w:t>
      </w:r>
      <w:r w:rsidR="00832323" w:rsidRPr="00AD2639">
        <w:t xml:space="preserve"> </w:t>
      </w:r>
      <w:r w:rsidRPr="00AD2639">
        <w:t>r. NSA</w:t>
      </w:r>
      <w:r>
        <w:t xml:space="preserve"> </w:t>
      </w:r>
      <w:r w:rsidR="0012051F">
        <w:t xml:space="preserve">w </w:t>
      </w:r>
      <w:r w:rsidR="00FB2F51">
        <w:rPr>
          <w:b/>
        </w:rPr>
        <w:t>2</w:t>
      </w:r>
      <w:r w:rsidR="0012051F">
        <w:t xml:space="preserve"> sprawach </w:t>
      </w:r>
      <w:r>
        <w:t xml:space="preserve">oddalił </w:t>
      </w:r>
      <w:r w:rsidR="0012051F">
        <w:t>skargi kasacyjne</w:t>
      </w:r>
      <w:r w:rsidR="00762505">
        <w:t xml:space="preserve"> </w:t>
      </w:r>
      <w:r w:rsidR="00001AD2">
        <w:t xml:space="preserve">na korzystne dla GKO wyroki </w:t>
      </w:r>
      <w:r w:rsidR="00E35E1A">
        <w:t>WSA w </w:t>
      </w:r>
      <w:r w:rsidR="00001AD2">
        <w:t>Warszawie.</w:t>
      </w:r>
    </w:p>
    <w:p w:rsidR="00B528DE" w:rsidRDefault="00B528DE" w:rsidP="00B528DE">
      <w:pPr>
        <w:overflowPunct w:val="0"/>
        <w:spacing w:after="120" w:line="360" w:lineRule="auto"/>
        <w:ind w:left="360"/>
        <w:jc w:val="both"/>
      </w:pPr>
    </w:p>
    <w:p w:rsidR="00D3667F" w:rsidRDefault="00D3667F" w:rsidP="00BA1D31">
      <w:pPr>
        <w:pStyle w:val="Tekstpodstawowy"/>
        <w:numPr>
          <w:ilvl w:val="1"/>
          <w:numId w:val="9"/>
        </w:numPr>
        <w:tabs>
          <w:tab w:val="num" w:pos="300"/>
        </w:tabs>
        <w:spacing w:after="120" w:line="360" w:lineRule="auto"/>
        <w:ind w:left="400" w:hanging="400"/>
        <w:rPr>
          <w:b/>
        </w:rPr>
      </w:pPr>
      <w:r>
        <w:rPr>
          <w:b/>
        </w:rPr>
        <w:t>Rejestr osób odpowiedzialnych za naruszenie dyscypliny finansów publicznych</w:t>
      </w:r>
      <w:r w:rsidR="00124040">
        <w:rPr>
          <w:b/>
        </w:rPr>
        <w:t>.</w:t>
      </w:r>
      <w:r>
        <w:rPr>
          <w:b/>
        </w:rPr>
        <w:t xml:space="preserve"> </w:t>
      </w:r>
    </w:p>
    <w:p w:rsidR="00D3667F" w:rsidRDefault="00D3667F" w:rsidP="00E668D1">
      <w:pPr>
        <w:overflowPunct w:val="0"/>
        <w:autoSpaceDE w:val="0"/>
        <w:autoSpaceDN w:val="0"/>
        <w:adjustRightInd w:val="0"/>
        <w:spacing w:after="120" w:line="360" w:lineRule="auto"/>
        <w:ind w:left="300"/>
        <w:jc w:val="both"/>
      </w:pPr>
      <w:r>
        <w:t xml:space="preserve">W myśl art. 188 – 191 uondfp, GKO prowadzi rejestr osób odpowiedzialnych </w:t>
      </w:r>
      <w:r w:rsidR="00FC2D5A">
        <w:br/>
      </w:r>
      <w:r>
        <w:t>za naruszenie dyscypliny finansów publicznych, w ramach którego udziela się odpowiedzi na zapytania o karalność za naruszenie dyscypliny finansów publicznych. W</w:t>
      </w:r>
      <w:r w:rsidR="0044783A">
        <w:t xml:space="preserve"> rejestrze </w:t>
      </w:r>
      <w:r w:rsidR="0044783A">
        <w:lastRenderedPageBreak/>
        <w:t>zarejestrowano w </w:t>
      </w:r>
      <w:r w:rsidR="005F4492">
        <w:t>201</w:t>
      </w:r>
      <w:r w:rsidR="008832C3">
        <w:t>8</w:t>
      </w:r>
      <w:r w:rsidR="005F4492">
        <w:t xml:space="preserve"> </w:t>
      </w:r>
      <w:r>
        <w:t>r</w:t>
      </w:r>
      <w:r w:rsidR="00922924">
        <w:t xml:space="preserve"> </w:t>
      </w:r>
      <w:r w:rsidR="008832C3">
        <w:rPr>
          <w:b/>
          <w:bCs/>
          <w:sz w:val="26"/>
          <w:szCs w:val="26"/>
        </w:rPr>
        <w:t>740</w:t>
      </w:r>
      <w:r w:rsidR="008832C3" w:rsidRPr="00922924" w:rsidDel="008832C3">
        <w:rPr>
          <w:b/>
        </w:rPr>
        <w:t xml:space="preserve"> </w:t>
      </w:r>
      <w:r w:rsidR="0029156B">
        <w:t>osoby</w:t>
      </w:r>
      <w:r>
        <w:t xml:space="preserve"> oraz usunięto z niego dane dotyczące </w:t>
      </w:r>
      <w:r w:rsidR="008832C3">
        <w:rPr>
          <w:b/>
          <w:bCs/>
          <w:sz w:val="26"/>
          <w:szCs w:val="26"/>
        </w:rPr>
        <w:t>602</w:t>
      </w:r>
      <w:r w:rsidR="008832C3" w:rsidDel="008832C3">
        <w:rPr>
          <w:b/>
        </w:rPr>
        <w:t xml:space="preserve"> </w:t>
      </w:r>
      <w:r w:rsidR="005F4492">
        <w:t xml:space="preserve"> </w:t>
      </w:r>
      <w:r>
        <w:t xml:space="preserve">osób, wobec których nastąpiło zatarcie ukarania. Ponadto, udzielono </w:t>
      </w:r>
      <w:r w:rsidR="0032317B" w:rsidRPr="0032317B">
        <w:rPr>
          <w:b/>
        </w:rPr>
        <w:t xml:space="preserve">1966 </w:t>
      </w:r>
      <w:r w:rsidR="000F26C3">
        <w:t>odpowiedzi</w:t>
      </w:r>
      <w:r w:rsidR="00C521EA">
        <w:t xml:space="preserve"> </w:t>
      </w:r>
      <w:r w:rsidR="000F26C3">
        <w:t>na zapytania o </w:t>
      </w:r>
      <w:r>
        <w:t xml:space="preserve">karalność za naruszenie dyscypliny finansów publicznych. </w:t>
      </w:r>
    </w:p>
    <w:p w:rsidR="0029156B" w:rsidRDefault="0029156B" w:rsidP="00BA1D31">
      <w:pPr>
        <w:pStyle w:val="Tekstpodstawowy"/>
        <w:numPr>
          <w:ilvl w:val="1"/>
          <w:numId w:val="9"/>
        </w:numPr>
        <w:tabs>
          <w:tab w:val="num" w:pos="300"/>
        </w:tabs>
        <w:spacing w:after="120" w:line="360" w:lineRule="auto"/>
        <w:ind w:left="400" w:hanging="400"/>
        <w:rPr>
          <w:b/>
        </w:rPr>
      </w:pPr>
      <w:r>
        <w:rPr>
          <w:b/>
        </w:rPr>
        <w:t xml:space="preserve">Nadzór nad działalnością administracyjną komisji orzekających pierwszej instancji. </w:t>
      </w:r>
    </w:p>
    <w:p w:rsidR="0029156B" w:rsidRDefault="0029156B" w:rsidP="00E668D1">
      <w:pPr>
        <w:pStyle w:val="Tekstpodstawowy"/>
        <w:spacing w:after="120" w:line="360" w:lineRule="auto"/>
        <w:ind w:left="400"/>
        <w:rPr>
          <w:szCs w:val="24"/>
        </w:rPr>
      </w:pPr>
      <w:r>
        <w:t xml:space="preserve">Zgodnie z art. 194 uondfp., Przewodniczący GKO sprawuje nadzór nad działalnością administracyjną komisji orzekających pierwszej instancji. </w:t>
      </w:r>
      <w:r>
        <w:rPr>
          <w:szCs w:val="24"/>
        </w:rPr>
        <w:t>W ramach nadzoru administracyjnego prowadzone były następujące działania.</w:t>
      </w:r>
    </w:p>
    <w:p w:rsidR="00001AD2" w:rsidRDefault="0029156B" w:rsidP="009B0514">
      <w:pPr>
        <w:pStyle w:val="Akapitzlist"/>
        <w:numPr>
          <w:ilvl w:val="0"/>
          <w:numId w:val="41"/>
        </w:numPr>
        <w:overflowPunct w:val="0"/>
        <w:spacing w:after="120" w:line="360" w:lineRule="auto"/>
        <w:jc w:val="both"/>
      </w:pPr>
      <w:r w:rsidRPr="00001AD2">
        <w:rPr>
          <w:bCs/>
        </w:rPr>
        <w:t>Komisje orzekające pierwszej instancji były zobowiązane do przekazywania elektronicznych raportów – przygotowanych przez Biuro Dyscypliny Finansów Publicznych Ministerstwa Finansów – zawierających informacje o załatwianych sprawach, w szczególności pozwalających na monitorowanie terminowości załatwiania tych spraw. Uondfp nie określa terminu rozpoznania wniosku o ukaranie, jednakże Przewodniczący GKO założył, że załatwienie sprawy przez komisję orzekającą nie powinno trwać dłużej niż 180 dni. Wyznaczenie tego terminu służyć ma zapobieganiu przewlekłości postępowań przed komisjami orzekającymi. Komisje orzekające przedstawiały kwartalne raporty w terminie do 15 dnia miesiąca przypadającego po zakończeniu każdego</w:t>
      </w:r>
      <w:r w:rsidRPr="004157B7">
        <w:t xml:space="preserve"> kwartału. </w:t>
      </w:r>
    </w:p>
    <w:p w:rsidR="0029156B" w:rsidRDefault="0029156B" w:rsidP="009B0514">
      <w:pPr>
        <w:pStyle w:val="Akapitzlist"/>
        <w:numPr>
          <w:ilvl w:val="0"/>
          <w:numId w:val="41"/>
        </w:numPr>
        <w:overflowPunct w:val="0"/>
        <w:spacing w:after="120" w:line="360" w:lineRule="auto"/>
        <w:jc w:val="both"/>
      </w:pPr>
      <w:r>
        <w:t>Liczba</w:t>
      </w:r>
      <w:r w:rsidRPr="006276F0">
        <w:t xml:space="preserve"> spraw niezakończonych</w:t>
      </w:r>
      <w:r>
        <w:t xml:space="preserve"> pomimo upływu 180 dni od daty wpływu (czerwony kolor na wykresie) stanowi </w:t>
      </w:r>
      <w:r w:rsidR="006C5602">
        <w:t>24,4</w:t>
      </w:r>
      <w:r>
        <w:t> % ogółu spraw niezałatwionych.</w:t>
      </w:r>
    </w:p>
    <w:p w:rsidR="0029156B" w:rsidRDefault="0029156B" w:rsidP="00C564EF">
      <w:pPr>
        <w:pStyle w:val="Tekstpodstawowy"/>
        <w:spacing w:after="120" w:line="360" w:lineRule="auto"/>
        <w:ind w:left="760"/>
      </w:pPr>
    </w:p>
    <w:p w:rsidR="0029156B" w:rsidRDefault="0029156B" w:rsidP="0029156B">
      <w:pPr>
        <w:pStyle w:val="Tekstpodstawowy"/>
        <w:spacing w:after="120" w:line="360" w:lineRule="auto"/>
        <w:ind w:left="700"/>
        <w:sectPr w:rsidR="0029156B" w:rsidSect="00CA212A">
          <w:pgSz w:w="11907" w:h="16840" w:code="9"/>
          <w:pgMar w:top="1247" w:right="1418" w:bottom="1247" w:left="1418" w:header="709" w:footer="709" w:gutter="0"/>
          <w:pgNumType w:start="3"/>
          <w:cols w:space="708"/>
        </w:sectPr>
      </w:pPr>
    </w:p>
    <w:p w:rsidR="0029156B" w:rsidRPr="00DE4BE9" w:rsidRDefault="00BB2C2B" w:rsidP="00B009AD">
      <w:pPr>
        <w:pStyle w:val="Tekstpodstawowy"/>
        <w:spacing w:after="120" w:line="360" w:lineRule="auto"/>
        <w:ind w:left="700"/>
        <w:jc w:val="left"/>
        <w:sectPr w:rsidR="0029156B" w:rsidRPr="00DE4BE9" w:rsidSect="00BB2C2B">
          <w:pgSz w:w="16840" w:h="11907" w:orient="landscape" w:code="9"/>
          <w:pgMar w:top="720" w:right="720" w:bottom="720" w:left="720" w:header="709" w:footer="709" w:gutter="0"/>
          <w:cols w:space="708"/>
          <w:titlePg/>
          <w:docGrid w:linePitch="326"/>
        </w:sectPr>
      </w:pPr>
      <w:r w:rsidRPr="00695C9D">
        <w:lastRenderedPageBreak/>
        <w:t>Wykres nr 5:</w:t>
      </w:r>
      <w:r w:rsidRPr="00695C9D">
        <w:rPr>
          <w:szCs w:val="24"/>
        </w:rPr>
        <w:t xml:space="preserve"> </w:t>
      </w:r>
      <w:r w:rsidRPr="00695C9D">
        <w:rPr>
          <w:bCs/>
          <w:szCs w:val="24"/>
        </w:rPr>
        <w:t xml:space="preserve">Sprawy pozostające do rozpoznania w komisjach orzekających w </w:t>
      </w:r>
      <w:r w:rsidR="004D732D" w:rsidRPr="00695C9D">
        <w:rPr>
          <w:bCs/>
          <w:szCs w:val="24"/>
        </w:rPr>
        <w:t>2018</w:t>
      </w:r>
      <w:r w:rsidRPr="00695C9D">
        <w:rPr>
          <w:bCs/>
          <w:szCs w:val="24"/>
        </w:rPr>
        <w:t xml:space="preserve">r. (stan na 31 XII </w:t>
      </w:r>
      <w:r w:rsidR="00BB36E6" w:rsidRPr="00695C9D">
        <w:rPr>
          <w:bCs/>
          <w:szCs w:val="24"/>
        </w:rPr>
        <w:t xml:space="preserve">2018 </w:t>
      </w:r>
      <w:r w:rsidRPr="00695C9D">
        <w:rPr>
          <w:bCs/>
          <w:szCs w:val="24"/>
        </w:rPr>
        <w:t>r.)</w:t>
      </w:r>
      <w:r w:rsidR="0088513B" w:rsidRPr="0088513B">
        <w:rPr>
          <w:noProof/>
        </w:rPr>
        <w:t xml:space="preserve"> </w:t>
      </w:r>
      <w:r w:rsidR="008A1B4F">
        <w:rPr>
          <w:noProof/>
        </w:rPr>
        <w:drawing>
          <wp:inline distT="0" distB="0" distL="0" distR="0" wp14:anchorId="69357E76" wp14:editId="6E37C671">
            <wp:extent cx="9177655" cy="5502303"/>
            <wp:effectExtent l="0" t="0" r="4445" b="3175"/>
            <wp:docPr id="20" name="Wykres 20" title="Liczba spraw pozostających do rozpoznania w komisjach orzekających w 2014 r. (stan na 31.12.2014 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8A1B4F" w:rsidDel="008A1B4F">
        <w:rPr>
          <w:noProof/>
        </w:rPr>
        <w:t xml:space="preserve"> </w:t>
      </w:r>
    </w:p>
    <w:p w:rsidR="00465A5C" w:rsidRPr="003C0A6F" w:rsidRDefault="00D95939" w:rsidP="00465A5C">
      <w:pPr>
        <w:pStyle w:val="Akapitzlist"/>
        <w:numPr>
          <w:ilvl w:val="0"/>
          <w:numId w:val="41"/>
        </w:numPr>
        <w:overflowPunct w:val="0"/>
        <w:spacing w:after="120" w:line="360" w:lineRule="auto"/>
        <w:jc w:val="both"/>
      </w:pPr>
      <w:r w:rsidRPr="0020790B">
        <w:rPr>
          <w:bCs/>
        </w:rPr>
        <w:lastRenderedPageBreak/>
        <w:t xml:space="preserve">Ponadto </w:t>
      </w:r>
      <w:r w:rsidR="00465A5C" w:rsidRPr="0020790B">
        <w:rPr>
          <w:bCs/>
        </w:rPr>
        <w:t xml:space="preserve">Przewodniczący GKO </w:t>
      </w:r>
      <w:r w:rsidR="004D732D">
        <w:rPr>
          <w:bCs/>
        </w:rPr>
        <w:t>s</w:t>
      </w:r>
      <w:r w:rsidR="00465A5C" w:rsidRPr="0020790B">
        <w:rPr>
          <w:bCs/>
        </w:rPr>
        <w:t>kierował indywidualne wystąpienia dotyczące:</w:t>
      </w:r>
    </w:p>
    <w:p w:rsidR="004D732D" w:rsidRDefault="004D732D" w:rsidP="00695C9D">
      <w:pPr>
        <w:pStyle w:val="Akapitzlist"/>
        <w:numPr>
          <w:ilvl w:val="0"/>
          <w:numId w:val="48"/>
        </w:numPr>
        <w:overflowPunct w:val="0"/>
        <w:spacing w:after="120" w:line="360" w:lineRule="auto"/>
        <w:ind w:left="1134" w:hanging="283"/>
        <w:jc w:val="both"/>
        <w:rPr>
          <w:bCs/>
        </w:rPr>
      </w:pPr>
      <w:r w:rsidRPr="004D732D">
        <w:rPr>
          <w:bCs/>
        </w:rPr>
        <w:t>interpretacji art. 25 ust. 2 uondfp w przedmiocie obligatoryjnego zawieszenia postępowania w sprawie o naruszenie dyscypliny finansów publicznych w razie wszczęcia postępowania w sprawie o przestępstwo, przestępstwo skarbowe, wykroczenie albo wykroczenie skarbowe, o czyn stanowiący równocześnie naruszenie dyscypliny finansów publicznych, postępowanie o naruszenie dyscypliny finansów publicznych zawiesza się do czasu zakończenia postępowania karnego, postępowania w sprawie o wykroczenie albo postępowania w sprawie o</w:t>
      </w:r>
      <w:r w:rsidR="006C5602">
        <w:rPr>
          <w:bCs/>
        </w:rPr>
        <w:t> </w:t>
      </w:r>
      <w:r w:rsidRPr="004D732D">
        <w:rPr>
          <w:bCs/>
        </w:rPr>
        <w:t>przestępstwo skarbowe albo wykroczenie skarbowe</w:t>
      </w:r>
      <w:r>
        <w:rPr>
          <w:bCs/>
        </w:rPr>
        <w:t>,</w:t>
      </w:r>
    </w:p>
    <w:p w:rsidR="00465A5C" w:rsidRPr="004D732D" w:rsidRDefault="004D732D" w:rsidP="00695C9D">
      <w:pPr>
        <w:pStyle w:val="Akapitzlist"/>
        <w:numPr>
          <w:ilvl w:val="0"/>
          <w:numId w:val="48"/>
        </w:numPr>
        <w:overflowPunct w:val="0"/>
        <w:spacing w:after="120" w:line="360" w:lineRule="auto"/>
        <w:ind w:left="1134" w:hanging="283"/>
        <w:jc w:val="both"/>
        <w:rPr>
          <w:bCs/>
        </w:rPr>
      </w:pPr>
      <w:r w:rsidRPr="004D732D">
        <w:rPr>
          <w:bCs/>
        </w:rPr>
        <w:t xml:space="preserve">interpretacji art. 167 uondfp </w:t>
      </w:r>
      <w:r w:rsidR="00BB36E6">
        <w:rPr>
          <w:bCs/>
        </w:rPr>
        <w:t>w</w:t>
      </w:r>
      <w:r w:rsidRPr="004D732D">
        <w:rPr>
          <w:bCs/>
        </w:rPr>
        <w:t xml:space="preserve"> kwestii obciążania kosztami postepowania obwinionych w sprawach</w:t>
      </w:r>
      <w:r w:rsidR="00BB36E6">
        <w:rPr>
          <w:bCs/>
        </w:rPr>
        <w:t xml:space="preserve"> w sytuacji uchylenia orzeczenia komisji I instancji i</w:t>
      </w:r>
      <w:r w:rsidR="006C5602">
        <w:rPr>
          <w:bCs/>
        </w:rPr>
        <w:t> </w:t>
      </w:r>
      <w:r w:rsidR="00BB36E6">
        <w:rPr>
          <w:bCs/>
        </w:rPr>
        <w:t>przekazania przez GKO sprawy do ponownego rozpoznania</w:t>
      </w:r>
      <w:r w:rsidRPr="004D732D">
        <w:rPr>
          <w:bCs/>
        </w:rPr>
        <w:t>.</w:t>
      </w:r>
      <w:r w:rsidR="00465A5C" w:rsidRPr="004D732D">
        <w:rPr>
          <w:bCs/>
        </w:rPr>
        <w:t xml:space="preserve">  </w:t>
      </w:r>
    </w:p>
    <w:p w:rsidR="00465A5C" w:rsidRDefault="00465A5C" w:rsidP="00695C9D">
      <w:pPr>
        <w:overflowPunct w:val="0"/>
        <w:spacing w:after="120" w:line="360" w:lineRule="auto"/>
        <w:ind w:left="851"/>
        <w:jc w:val="both"/>
      </w:pPr>
    </w:p>
    <w:p w:rsidR="00465A5C" w:rsidRPr="004F28AA" w:rsidRDefault="00465A5C" w:rsidP="00465A5C">
      <w:pPr>
        <w:pStyle w:val="Akapitzlist"/>
        <w:numPr>
          <w:ilvl w:val="0"/>
          <w:numId w:val="41"/>
        </w:numPr>
        <w:overflowPunct w:val="0"/>
        <w:spacing w:after="120" w:line="360" w:lineRule="auto"/>
        <w:jc w:val="both"/>
      </w:pPr>
      <w:r w:rsidRPr="00465A5C">
        <w:rPr>
          <w:bCs/>
        </w:rPr>
        <w:t>W art. 19 ust. 1 ustawy z dnia 19 sierpnia 2011 r. o zmianie ustawy o odpowiedzialności za naruszenie dyscypliny finansów publicznych oraz niektórych innych ustaw (Dz. U. z 2011 r. Nr 240, poz. 1429) określono limity wydatków jednostek sektora finansów publicznych na okres 10 lat wykonywania tej ustawy: na 201</w:t>
      </w:r>
      <w:r w:rsidR="006C5602">
        <w:rPr>
          <w:bCs/>
        </w:rPr>
        <w:t>8</w:t>
      </w:r>
      <w:r w:rsidRPr="00465A5C">
        <w:rPr>
          <w:bCs/>
        </w:rPr>
        <w:t xml:space="preserve"> r. przewidziana kwota wynosiła </w:t>
      </w:r>
      <w:r w:rsidR="006C5602">
        <w:rPr>
          <w:bCs/>
        </w:rPr>
        <w:t>12 719</w:t>
      </w:r>
      <w:r w:rsidRPr="00465A5C">
        <w:rPr>
          <w:bCs/>
        </w:rPr>
        <w:t xml:space="preserve"> tys. zł. W myśl powołanego artykułu, minister właściwy do spraw finansów publicznych został zobowiązany do monitorowania wykorzystania tych środków, aby w przypadku zagrożenia przekroczenia wyznaczonego limitu wprowadzić mechanizm korygujący. W związku z prowadzonym przez Ministerstwo Finansów monitoringiem wskazać można, że wydatki budżetu państwa na funkcjonowanie systemu odpowiedzialności za naruszenie dyscypliny finansów publicznych w </w:t>
      </w:r>
      <w:r w:rsidR="003B79DD" w:rsidRPr="00465A5C">
        <w:rPr>
          <w:bCs/>
        </w:rPr>
        <w:t>201</w:t>
      </w:r>
      <w:r w:rsidR="003B79DD">
        <w:rPr>
          <w:bCs/>
        </w:rPr>
        <w:t>8</w:t>
      </w:r>
      <w:r w:rsidR="003B79DD" w:rsidRPr="00465A5C">
        <w:rPr>
          <w:bCs/>
        </w:rPr>
        <w:t xml:space="preserve"> </w:t>
      </w:r>
      <w:r w:rsidRPr="00465A5C">
        <w:rPr>
          <w:bCs/>
        </w:rPr>
        <w:t xml:space="preserve">r. wyniosły około </w:t>
      </w:r>
      <w:r w:rsidR="006C5602" w:rsidRPr="00695C9D">
        <w:rPr>
          <w:bCs/>
        </w:rPr>
        <w:t>9 265</w:t>
      </w:r>
      <w:r w:rsidRPr="00695C9D">
        <w:rPr>
          <w:bCs/>
        </w:rPr>
        <w:t xml:space="preserve"> tys. zł, w tym wynagrodzenia dla osób pełniących funkcje rzeczników lub będących członkami komisji orzekających – około </w:t>
      </w:r>
      <w:r w:rsidR="006C5602" w:rsidRPr="00695C9D">
        <w:rPr>
          <w:bCs/>
        </w:rPr>
        <w:t>4 815</w:t>
      </w:r>
      <w:r w:rsidRPr="00695C9D">
        <w:rPr>
          <w:bCs/>
        </w:rPr>
        <w:t xml:space="preserve"> tys. zł, a pozostałe koszty – około </w:t>
      </w:r>
      <w:r w:rsidR="006C5602" w:rsidRPr="00695C9D">
        <w:rPr>
          <w:bCs/>
        </w:rPr>
        <w:t>4 450</w:t>
      </w:r>
      <w:r w:rsidRPr="00695C9D">
        <w:rPr>
          <w:bCs/>
        </w:rPr>
        <w:t> tys. zł. Przedstawione dane, wyliczone na podstawie wydatków poniesionych do końca trzeciego kwartału oraz planowanych kosztów na czwarty</w:t>
      </w:r>
      <w:r w:rsidRPr="00465A5C">
        <w:rPr>
          <w:bCs/>
        </w:rPr>
        <w:t xml:space="preserve"> kwartał 201</w:t>
      </w:r>
      <w:r w:rsidR="006C5602">
        <w:rPr>
          <w:bCs/>
        </w:rPr>
        <w:t>8</w:t>
      </w:r>
      <w:r w:rsidRPr="00465A5C">
        <w:rPr>
          <w:bCs/>
        </w:rPr>
        <w:t xml:space="preserve"> r., wskazują, że przewidywany limit nie został przekroczony.</w:t>
      </w:r>
    </w:p>
    <w:p w:rsidR="006C5602" w:rsidRDefault="006C5602" w:rsidP="00C564EF">
      <w:pPr>
        <w:pStyle w:val="Akapitzlist"/>
        <w:overflowPunct w:val="0"/>
        <w:spacing w:after="120" w:line="360" w:lineRule="auto"/>
        <w:ind w:left="760"/>
        <w:jc w:val="both"/>
      </w:pPr>
    </w:p>
    <w:p w:rsidR="006C5602" w:rsidRDefault="006C5602">
      <w:r>
        <w:br w:type="page"/>
      </w:r>
    </w:p>
    <w:p w:rsidR="0029156B" w:rsidRDefault="0029156B" w:rsidP="00BA1D31">
      <w:pPr>
        <w:pStyle w:val="Tekstpodstawowy"/>
        <w:numPr>
          <w:ilvl w:val="1"/>
          <w:numId w:val="9"/>
        </w:numPr>
        <w:tabs>
          <w:tab w:val="num" w:pos="600"/>
        </w:tabs>
        <w:spacing w:after="120" w:line="360" w:lineRule="auto"/>
        <w:ind w:left="700" w:hanging="400"/>
        <w:rPr>
          <w:b/>
        </w:rPr>
      </w:pPr>
      <w:r>
        <w:rPr>
          <w:b/>
        </w:rPr>
        <w:lastRenderedPageBreak/>
        <w:t xml:space="preserve">Szkolenia i działalność informacyjna. </w:t>
      </w:r>
    </w:p>
    <w:p w:rsidR="003B79DD" w:rsidRDefault="0029156B" w:rsidP="00695C9D">
      <w:pPr>
        <w:numPr>
          <w:ilvl w:val="0"/>
          <w:numId w:val="17"/>
        </w:numPr>
        <w:tabs>
          <w:tab w:val="clear" w:pos="932"/>
          <w:tab w:val="num" w:pos="709"/>
        </w:tabs>
        <w:overflowPunct w:val="0"/>
        <w:autoSpaceDE w:val="0"/>
        <w:autoSpaceDN w:val="0"/>
        <w:adjustRightInd w:val="0"/>
        <w:spacing w:line="360" w:lineRule="auto"/>
        <w:ind w:left="709" w:hanging="391"/>
        <w:jc w:val="both"/>
      </w:pPr>
      <w:r w:rsidRPr="00D77170">
        <w:t xml:space="preserve">W </w:t>
      </w:r>
      <w:r w:rsidR="003B79DD" w:rsidRPr="00D77170">
        <w:t>201</w:t>
      </w:r>
      <w:r w:rsidR="003B79DD">
        <w:t>8</w:t>
      </w:r>
      <w:r w:rsidR="003B79DD" w:rsidRPr="00D77170">
        <w:t xml:space="preserve"> </w:t>
      </w:r>
      <w:r w:rsidRPr="00D77170">
        <w:t xml:space="preserve">r. </w:t>
      </w:r>
      <w:r w:rsidR="00422164" w:rsidRPr="00D77170">
        <w:t>odbył</w:t>
      </w:r>
      <w:r w:rsidR="003B79DD">
        <w:t>o</w:t>
      </w:r>
      <w:r w:rsidR="00422164" w:rsidRPr="00D77170">
        <w:t xml:space="preserve"> </w:t>
      </w:r>
      <w:r w:rsidRPr="00D77170">
        <w:t>się</w:t>
      </w:r>
      <w:r w:rsidR="00422164">
        <w:t xml:space="preserve"> </w:t>
      </w:r>
      <w:r w:rsidR="00422164" w:rsidRPr="00D77170">
        <w:t>szkoleni</w:t>
      </w:r>
      <w:r w:rsidR="003B79DD">
        <w:t>e dodatkowe</w:t>
      </w:r>
      <w:r w:rsidR="00422164" w:rsidRPr="00D77170">
        <w:t xml:space="preserve"> </w:t>
      </w:r>
      <w:r w:rsidR="00D77170" w:rsidRPr="00D77170">
        <w:t>dla członków Głównej Komisji Orzekającej w</w:t>
      </w:r>
      <w:r w:rsidR="000036BE">
        <w:t> </w:t>
      </w:r>
      <w:r w:rsidR="00D77170" w:rsidRPr="00D77170">
        <w:t>Sprawach o Naruszenie Dyscypliny Finansów Publicznych</w:t>
      </w:r>
      <w:r w:rsidR="00422164">
        <w:t>.</w:t>
      </w:r>
      <w:r w:rsidR="001F0813" w:rsidRPr="00D77170">
        <w:t xml:space="preserve"> </w:t>
      </w:r>
    </w:p>
    <w:p w:rsidR="0029156B" w:rsidRPr="00D77170" w:rsidRDefault="001F0813" w:rsidP="00695C9D">
      <w:pPr>
        <w:overflowPunct w:val="0"/>
        <w:autoSpaceDE w:val="0"/>
        <w:autoSpaceDN w:val="0"/>
        <w:adjustRightInd w:val="0"/>
        <w:spacing w:line="360" w:lineRule="auto"/>
        <w:ind w:left="697"/>
        <w:jc w:val="both"/>
      </w:pPr>
      <w:r w:rsidRPr="00D77170">
        <w:t xml:space="preserve">Na </w:t>
      </w:r>
      <w:r w:rsidR="00422164" w:rsidRPr="00D77170">
        <w:t>szkoleni</w:t>
      </w:r>
      <w:r w:rsidR="00465A5C">
        <w:t xml:space="preserve">u </w:t>
      </w:r>
      <w:r w:rsidR="0029156B" w:rsidRPr="00D77170">
        <w:t>omówiono w szczególności problematykę dotyczącą:</w:t>
      </w:r>
    </w:p>
    <w:p w:rsidR="003B79DD" w:rsidRPr="00B61D75" w:rsidRDefault="003B79DD" w:rsidP="00695C9D">
      <w:pPr>
        <w:pStyle w:val="Akapitzlist"/>
        <w:numPr>
          <w:ilvl w:val="0"/>
          <w:numId w:val="49"/>
        </w:numPr>
        <w:overflowPunct w:val="0"/>
        <w:autoSpaceDE w:val="0"/>
        <w:autoSpaceDN w:val="0"/>
        <w:adjustRightInd w:val="0"/>
        <w:spacing w:line="360" w:lineRule="auto"/>
        <w:jc w:val="both"/>
        <w:rPr>
          <w:bCs/>
        </w:rPr>
      </w:pPr>
      <w:r w:rsidRPr="00B61D75">
        <w:rPr>
          <w:bCs/>
        </w:rPr>
        <w:t>Możliwość przypisania odpowiedzialności za naruszenie dyscypliny finansów publicznych w kontekście zachowania zawinionego, usprawiedliwionej nieświadomości naruszenia dyscypliny finansów publicznych oraz oceny szkodliwości czynu dla finansów publicznych, a także prawidłowe odniesienie się do tych kwestii w uzasadnieniu orzeczenia.</w:t>
      </w:r>
    </w:p>
    <w:p w:rsidR="003B79DD" w:rsidRPr="00B61D75" w:rsidRDefault="003B79DD" w:rsidP="00695C9D">
      <w:pPr>
        <w:pStyle w:val="Akapitzlist"/>
        <w:numPr>
          <w:ilvl w:val="0"/>
          <w:numId w:val="49"/>
        </w:numPr>
        <w:overflowPunct w:val="0"/>
        <w:autoSpaceDE w:val="0"/>
        <w:autoSpaceDN w:val="0"/>
        <w:adjustRightInd w:val="0"/>
        <w:spacing w:line="360" w:lineRule="auto"/>
        <w:jc w:val="both"/>
        <w:rPr>
          <w:bCs/>
        </w:rPr>
      </w:pPr>
      <w:r w:rsidRPr="00B61D75">
        <w:rPr>
          <w:bCs/>
        </w:rPr>
        <w:t>Zmian</w:t>
      </w:r>
      <w:r w:rsidR="00B61D75">
        <w:rPr>
          <w:bCs/>
        </w:rPr>
        <w:t>y</w:t>
      </w:r>
      <w:r w:rsidRPr="00B61D75">
        <w:rPr>
          <w:bCs/>
        </w:rPr>
        <w:t xml:space="preserve"> normatywn</w:t>
      </w:r>
      <w:r w:rsidR="00B61D75">
        <w:rPr>
          <w:bCs/>
        </w:rPr>
        <w:t>ej</w:t>
      </w:r>
      <w:r w:rsidRPr="00B61D75">
        <w:rPr>
          <w:bCs/>
        </w:rPr>
        <w:t xml:space="preserve"> a odpowiedzialność za naruszenie dyscypliny finansów publicznych</w:t>
      </w:r>
      <w:r w:rsidR="00B61D75">
        <w:rPr>
          <w:bCs/>
        </w:rPr>
        <w:t>.</w:t>
      </w:r>
    </w:p>
    <w:p w:rsidR="003B79DD" w:rsidRPr="00B61D75" w:rsidRDefault="003B79DD" w:rsidP="00695C9D">
      <w:pPr>
        <w:pStyle w:val="Akapitzlist"/>
        <w:numPr>
          <w:ilvl w:val="0"/>
          <w:numId w:val="49"/>
        </w:numPr>
        <w:overflowPunct w:val="0"/>
        <w:autoSpaceDE w:val="0"/>
        <w:autoSpaceDN w:val="0"/>
        <w:adjustRightInd w:val="0"/>
        <w:spacing w:line="360" w:lineRule="auto"/>
        <w:jc w:val="both"/>
        <w:rPr>
          <w:bCs/>
        </w:rPr>
      </w:pPr>
      <w:r w:rsidRPr="00B61D75">
        <w:rPr>
          <w:bCs/>
        </w:rPr>
        <w:t>Zakres</w:t>
      </w:r>
      <w:r w:rsidR="00B61D75">
        <w:rPr>
          <w:bCs/>
        </w:rPr>
        <w:t>u</w:t>
      </w:r>
      <w:r w:rsidRPr="00B61D75">
        <w:rPr>
          <w:bCs/>
        </w:rPr>
        <w:t xml:space="preserve"> podmiotow</w:t>
      </w:r>
      <w:r w:rsidR="00B61D75">
        <w:rPr>
          <w:bCs/>
        </w:rPr>
        <w:t>ego</w:t>
      </w:r>
      <w:r w:rsidRPr="00B61D75">
        <w:rPr>
          <w:bCs/>
        </w:rPr>
        <w:t xml:space="preserve"> odpowiedzialności za naruszenie dyscypliny finansów publicznych, w szczególności w odniesieniu do czynów związanych z udzielaniem zamówień publicznych.</w:t>
      </w:r>
    </w:p>
    <w:p w:rsidR="003B79DD" w:rsidRPr="00B61D75" w:rsidRDefault="003B79DD" w:rsidP="00695C9D">
      <w:pPr>
        <w:pStyle w:val="Akapitzlist"/>
        <w:numPr>
          <w:ilvl w:val="0"/>
          <w:numId w:val="49"/>
        </w:numPr>
        <w:overflowPunct w:val="0"/>
        <w:autoSpaceDE w:val="0"/>
        <w:autoSpaceDN w:val="0"/>
        <w:adjustRightInd w:val="0"/>
        <w:spacing w:line="360" w:lineRule="auto"/>
        <w:jc w:val="both"/>
        <w:rPr>
          <w:bCs/>
        </w:rPr>
      </w:pPr>
      <w:r w:rsidRPr="00B61D75">
        <w:rPr>
          <w:bCs/>
        </w:rPr>
        <w:t xml:space="preserve">Artykuł 21 </w:t>
      </w:r>
      <w:r w:rsidR="00B61D75">
        <w:rPr>
          <w:bCs/>
        </w:rPr>
        <w:t xml:space="preserve">uondfp </w:t>
      </w:r>
      <w:r w:rsidRPr="00B61D75">
        <w:rPr>
          <w:bCs/>
        </w:rPr>
        <w:t>w świetle rozstrzygnięć GKO</w:t>
      </w:r>
      <w:r w:rsidR="00B61D75">
        <w:rPr>
          <w:bCs/>
        </w:rPr>
        <w:t xml:space="preserve"> – problematyka dotycząca czasu popełnienia naruszenia dyscypliny finansów publicznych. </w:t>
      </w:r>
    </w:p>
    <w:p w:rsidR="003B79DD" w:rsidRPr="00B61D75" w:rsidRDefault="003B79DD" w:rsidP="00695C9D">
      <w:pPr>
        <w:pStyle w:val="Akapitzlist"/>
        <w:numPr>
          <w:ilvl w:val="0"/>
          <w:numId w:val="49"/>
        </w:numPr>
        <w:overflowPunct w:val="0"/>
        <w:autoSpaceDE w:val="0"/>
        <w:autoSpaceDN w:val="0"/>
        <w:adjustRightInd w:val="0"/>
        <w:spacing w:line="360" w:lineRule="auto"/>
        <w:jc w:val="both"/>
        <w:rPr>
          <w:bCs/>
        </w:rPr>
      </w:pPr>
      <w:r w:rsidRPr="00B61D75">
        <w:rPr>
          <w:bCs/>
        </w:rPr>
        <w:t>Zakres</w:t>
      </w:r>
      <w:r w:rsidR="00B61D75">
        <w:rPr>
          <w:bCs/>
        </w:rPr>
        <w:t>u</w:t>
      </w:r>
      <w:r w:rsidRPr="00B61D75">
        <w:rPr>
          <w:bCs/>
        </w:rPr>
        <w:t xml:space="preserve"> orzekania, zmian</w:t>
      </w:r>
      <w:r w:rsidR="00B61D75">
        <w:rPr>
          <w:bCs/>
        </w:rPr>
        <w:t>y</w:t>
      </w:r>
      <w:r w:rsidRPr="00B61D75">
        <w:rPr>
          <w:bCs/>
        </w:rPr>
        <w:t xml:space="preserve"> </w:t>
      </w:r>
      <w:r w:rsidR="00B61D75">
        <w:rPr>
          <w:bCs/>
        </w:rPr>
        <w:t>kwalifikacji prawnej czynu, kar</w:t>
      </w:r>
      <w:r w:rsidRPr="00B61D75">
        <w:rPr>
          <w:bCs/>
        </w:rPr>
        <w:t xml:space="preserve"> za naruszeni</w:t>
      </w:r>
      <w:r w:rsidR="00B61D75">
        <w:rPr>
          <w:bCs/>
        </w:rPr>
        <w:t>e</w:t>
      </w:r>
      <w:r w:rsidRPr="00B61D75">
        <w:rPr>
          <w:bCs/>
        </w:rPr>
        <w:t xml:space="preserve"> dyscypliny finansów publicznych</w:t>
      </w:r>
      <w:r w:rsidR="00B61D75">
        <w:rPr>
          <w:bCs/>
        </w:rPr>
        <w:t>.</w:t>
      </w:r>
    </w:p>
    <w:p w:rsidR="003B79DD" w:rsidRPr="00B61D75" w:rsidRDefault="00B61D75" w:rsidP="00695C9D">
      <w:pPr>
        <w:pStyle w:val="Akapitzlist"/>
        <w:numPr>
          <w:ilvl w:val="0"/>
          <w:numId w:val="49"/>
        </w:numPr>
        <w:overflowPunct w:val="0"/>
        <w:autoSpaceDE w:val="0"/>
        <w:autoSpaceDN w:val="0"/>
        <w:adjustRightInd w:val="0"/>
        <w:spacing w:line="360" w:lineRule="auto"/>
        <w:jc w:val="both"/>
        <w:rPr>
          <w:bCs/>
        </w:rPr>
      </w:pPr>
      <w:r>
        <w:rPr>
          <w:bCs/>
        </w:rPr>
        <w:t>Zdarzenia losowego</w:t>
      </w:r>
      <w:r w:rsidR="003B79DD" w:rsidRPr="00B61D75">
        <w:rPr>
          <w:bCs/>
        </w:rPr>
        <w:t>, zakłóceni</w:t>
      </w:r>
      <w:r>
        <w:rPr>
          <w:bCs/>
        </w:rPr>
        <w:t>a</w:t>
      </w:r>
      <w:r w:rsidR="003B79DD" w:rsidRPr="00B61D75">
        <w:rPr>
          <w:bCs/>
        </w:rPr>
        <w:t xml:space="preserve"> czynności psychicznych, w kontekście możliwości przypisania odpowiedzialności za naruszenie dyscypliny finansów publicznych</w:t>
      </w:r>
      <w:r>
        <w:rPr>
          <w:bCs/>
        </w:rPr>
        <w:t>.</w:t>
      </w:r>
    </w:p>
    <w:p w:rsidR="003B79DD" w:rsidRPr="00B61D75" w:rsidRDefault="00B61D75" w:rsidP="00695C9D">
      <w:pPr>
        <w:pStyle w:val="Akapitzlist"/>
        <w:numPr>
          <w:ilvl w:val="0"/>
          <w:numId w:val="49"/>
        </w:numPr>
        <w:overflowPunct w:val="0"/>
        <w:autoSpaceDE w:val="0"/>
        <w:autoSpaceDN w:val="0"/>
        <w:adjustRightInd w:val="0"/>
        <w:spacing w:line="360" w:lineRule="auto"/>
        <w:jc w:val="both"/>
        <w:rPr>
          <w:bCs/>
        </w:rPr>
      </w:pPr>
      <w:r>
        <w:rPr>
          <w:bCs/>
        </w:rPr>
        <w:t>Czynów związanych</w:t>
      </w:r>
      <w:r w:rsidR="003B79DD" w:rsidRPr="00B61D75">
        <w:rPr>
          <w:bCs/>
        </w:rPr>
        <w:t xml:space="preserve"> z zaciąganiem zobowiązań</w:t>
      </w:r>
      <w:r>
        <w:rPr>
          <w:bCs/>
        </w:rPr>
        <w:t>.</w:t>
      </w:r>
    </w:p>
    <w:p w:rsidR="003B79DD" w:rsidRPr="00B61D75" w:rsidRDefault="003B79DD" w:rsidP="00695C9D">
      <w:pPr>
        <w:pStyle w:val="Akapitzlist"/>
        <w:numPr>
          <w:ilvl w:val="0"/>
          <w:numId w:val="49"/>
        </w:numPr>
        <w:overflowPunct w:val="0"/>
        <w:autoSpaceDE w:val="0"/>
        <w:autoSpaceDN w:val="0"/>
        <w:adjustRightInd w:val="0"/>
        <w:spacing w:line="360" w:lineRule="auto"/>
        <w:jc w:val="both"/>
        <w:rPr>
          <w:bCs/>
        </w:rPr>
      </w:pPr>
      <w:r w:rsidRPr="00B61D75">
        <w:rPr>
          <w:bCs/>
        </w:rPr>
        <w:t>Dokonanie zmian w budżecie lub planie finansowym w świetle odpowiedzialności za naruszenie dyscypliny finansów publicznych</w:t>
      </w:r>
      <w:r w:rsidR="00B61D75">
        <w:rPr>
          <w:bCs/>
        </w:rPr>
        <w:t>.</w:t>
      </w:r>
    </w:p>
    <w:p w:rsidR="003B79DD" w:rsidRPr="00B61D75" w:rsidRDefault="003B79DD" w:rsidP="00695C9D">
      <w:pPr>
        <w:pStyle w:val="Akapitzlist"/>
        <w:numPr>
          <w:ilvl w:val="0"/>
          <w:numId w:val="49"/>
        </w:numPr>
        <w:overflowPunct w:val="0"/>
        <w:autoSpaceDE w:val="0"/>
        <w:autoSpaceDN w:val="0"/>
        <w:adjustRightInd w:val="0"/>
        <w:spacing w:line="360" w:lineRule="auto"/>
        <w:jc w:val="both"/>
        <w:rPr>
          <w:bCs/>
        </w:rPr>
      </w:pPr>
      <w:r w:rsidRPr="00B61D75">
        <w:rPr>
          <w:bCs/>
        </w:rPr>
        <w:t>Dopuszczalność zawarcia ugody przez jednostkę sektora finansów publicznych</w:t>
      </w:r>
      <w:r w:rsidR="00B61D75">
        <w:rPr>
          <w:bCs/>
        </w:rPr>
        <w:t>.</w:t>
      </w:r>
    </w:p>
    <w:p w:rsidR="003B79DD" w:rsidRDefault="00B61D75" w:rsidP="00695C9D">
      <w:pPr>
        <w:pStyle w:val="Akapitzlist"/>
        <w:numPr>
          <w:ilvl w:val="0"/>
          <w:numId w:val="49"/>
        </w:numPr>
        <w:overflowPunct w:val="0"/>
        <w:autoSpaceDE w:val="0"/>
        <w:autoSpaceDN w:val="0"/>
        <w:adjustRightInd w:val="0"/>
        <w:spacing w:line="360" w:lineRule="auto"/>
        <w:jc w:val="both"/>
        <w:rPr>
          <w:bCs/>
        </w:rPr>
      </w:pPr>
      <w:r>
        <w:rPr>
          <w:bCs/>
        </w:rPr>
        <w:t>Identyfikacji</w:t>
      </w:r>
      <w:r w:rsidR="003B79DD" w:rsidRPr="00B61D75">
        <w:rPr>
          <w:bCs/>
        </w:rPr>
        <w:t xml:space="preserve"> zachowań stanowiących czyny z art. 8 i 9 </w:t>
      </w:r>
      <w:r>
        <w:rPr>
          <w:bCs/>
        </w:rPr>
        <w:t>uondfp (nieprawidłowości w zakresie  udzielania oraz korzystania z dotacji).</w:t>
      </w:r>
    </w:p>
    <w:p w:rsidR="00B61D75" w:rsidRPr="00B61D75" w:rsidRDefault="00B61D75" w:rsidP="00695C9D">
      <w:pPr>
        <w:pStyle w:val="Akapitzlist"/>
        <w:overflowPunct w:val="0"/>
        <w:autoSpaceDE w:val="0"/>
        <w:autoSpaceDN w:val="0"/>
        <w:adjustRightInd w:val="0"/>
        <w:spacing w:line="360" w:lineRule="auto"/>
        <w:ind w:left="1417"/>
        <w:jc w:val="both"/>
        <w:rPr>
          <w:bCs/>
        </w:rPr>
      </w:pPr>
    </w:p>
    <w:p w:rsidR="004B685C" w:rsidRDefault="00667198" w:rsidP="00695C9D">
      <w:pPr>
        <w:numPr>
          <w:ilvl w:val="0"/>
          <w:numId w:val="17"/>
        </w:numPr>
        <w:tabs>
          <w:tab w:val="clear" w:pos="932"/>
          <w:tab w:val="num" w:pos="851"/>
        </w:tabs>
        <w:overflowPunct w:val="0"/>
        <w:autoSpaceDE w:val="0"/>
        <w:autoSpaceDN w:val="0"/>
        <w:adjustRightInd w:val="0"/>
        <w:spacing w:after="120" w:line="360" w:lineRule="auto"/>
        <w:ind w:left="851" w:hanging="261"/>
        <w:jc w:val="both"/>
      </w:pPr>
      <w:r>
        <w:rPr>
          <w:bCs/>
        </w:rPr>
        <w:t xml:space="preserve">W 2018 r. </w:t>
      </w:r>
      <w:r>
        <w:t>n</w:t>
      </w:r>
      <w:r w:rsidR="0029156B">
        <w:t xml:space="preserve">a </w:t>
      </w:r>
      <w:r w:rsidR="0029156B" w:rsidRPr="003E2601">
        <w:t>portalu Ministerstwa Finansów</w:t>
      </w:r>
      <w:r w:rsidR="0029156B">
        <w:t>,</w:t>
      </w:r>
      <w:r w:rsidR="0029156B" w:rsidRPr="003E2601">
        <w:t xml:space="preserve"> </w:t>
      </w:r>
      <w:r>
        <w:t>kontynuowano aktualizację</w:t>
      </w:r>
      <w:r w:rsidR="0029156B" w:rsidRPr="003E2601">
        <w:t xml:space="preserve"> baz</w:t>
      </w:r>
      <w:r>
        <w:t>y</w:t>
      </w:r>
      <w:r w:rsidR="0029156B" w:rsidRPr="003E2601">
        <w:t xml:space="preserve"> orzecznictwa GKO (</w:t>
      </w:r>
      <w:r>
        <w:t xml:space="preserve">znajdują się w niej </w:t>
      </w:r>
      <w:r w:rsidR="0029156B" w:rsidRPr="003E2601">
        <w:t>orzeczenia wydane od 1 lipca 2005</w:t>
      </w:r>
      <w:r w:rsidR="008201BF">
        <w:t> </w:t>
      </w:r>
      <w:r w:rsidR="0029156B" w:rsidRPr="003E2601">
        <w:t>r</w:t>
      </w:r>
      <w:r w:rsidR="0029156B">
        <w:t xml:space="preserve">.). </w:t>
      </w:r>
      <w:r>
        <w:t>P</w:t>
      </w:r>
      <w:r w:rsidR="0029156B">
        <w:t>rowadzenie bazy orzecznictwa,</w:t>
      </w:r>
      <w:r w:rsidR="0029156B" w:rsidRPr="003E2601">
        <w:t xml:space="preserve"> ma służyć poszerzeniu wiedzy z zakresu finansów publicznych oraz wspomaganiu funkcji prewencyjnej orzeczeń.</w:t>
      </w:r>
      <w:r w:rsidR="0029156B">
        <w:t xml:space="preserve"> Działania te mają również na celu wypełnienie obowiązku wynikającego z art. 44a uondfp, to jest zapewnienie jednolitego stosowania przepisów o odpowiedzialności za naruszenie </w:t>
      </w:r>
      <w:r w:rsidR="0029156B">
        <w:lastRenderedPageBreak/>
        <w:t>dyscypliny finansów publicznych przez organy orzekające w sprawach o takie naruszenie.</w:t>
      </w:r>
      <w:r w:rsidR="00B61D75">
        <w:t xml:space="preserve"> Co więcej trwają prace przy współpracy z</w:t>
      </w:r>
      <w:r w:rsidR="008201BF">
        <w:t> </w:t>
      </w:r>
      <w:r w:rsidR="00B61D75">
        <w:t>Ministerstwem Cyfryzacji</w:t>
      </w:r>
      <w:r w:rsidR="003643DD">
        <w:t xml:space="preserve"> (organ odpowiedzialny w sferze informatycznej) </w:t>
      </w:r>
      <w:r w:rsidR="00B61D75">
        <w:t>w</w:t>
      </w:r>
      <w:r w:rsidR="008201BF">
        <w:t> </w:t>
      </w:r>
      <w:r w:rsidR="00B61D75">
        <w:t>ramach projektu „gov.pl” nad stworzeniem bazy orzecznictwa w sprawach o</w:t>
      </w:r>
      <w:r w:rsidR="008201BF">
        <w:t> </w:t>
      </w:r>
      <w:r w:rsidR="00B61D75">
        <w:t>naruszeni</w:t>
      </w:r>
      <w:r w:rsidR="00554D2D">
        <w:t>u</w:t>
      </w:r>
      <w:r w:rsidR="00B61D75">
        <w:t xml:space="preserve"> dyscypliny finansów publicznych, która ma być wzorowana na centralnej bazie orzeczeń sądów administracyjnych i zapewnić </w:t>
      </w:r>
      <w:r w:rsidR="003643DD">
        <w:t xml:space="preserve">jeszcze bardziej </w:t>
      </w:r>
      <w:r w:rsidR="00B61D75">
        <w:t>usprawniony</w:t>
      </w:r>
      <w:r w:rsidR="003643DD">
        <w:t xml:space="preserve"> i</w:t>
      </w:r>
      <w:r w:rsidR="008201BF">
        <w:t> </w:t>
      </w:r>
      <w:r w:rsidR="003643DD">
        <w:t>funkcjonalny</w:t>
      </w:r>
      <w:r w:rsidR="00B61D75">
        <w:t xml:space="preserve"> dostęp do orzecznictwa w sprawach o naruszenie dyscypliny finansów </w:t>
      </w:r>
      <w:r w:rsidR="004B685C">
        <w:t>publicznych.</w:t>
      </w:r>
    </w:p>
    <w:p w:rsidR="00C564EF" w:rsidRDefault="00C564EF" w:rsidP="00C564EF">
      <w:pPr>
        <w:tabs>
          <w:tab w:val="num" w:pos="1100"/>
        </w:tabs>
        <w:overflowPunct w:val="0"/>
        <w:autoSpaceDE w:val="0"/>
        <w:autoSpaceDN w:val="0"/>
        <w:adjustRightInd w:val="0"/>
        <w:spacing w:after="120" w:line="360" w:lineRule="auto"/>
        <w:ind w:left="1100"/>
        <w:jc w:val="both"/>
      </w:pPr>
    </w:p>
    <w:p w:rsidR="0029156B" w:rsidRPr="00615BD1" w:rsidRDefault="0029156B" w:rsidP="00BA1D31">
      <w:pPr>
        <w:pStyle w:val="Tekstpodstawowy"/>
        <w:numPr>
          <w:ilvl w:val="1"/>
          <w:numId w:val="9"/>
        </w:numPr>
        <w:tabs>
          <w:tab w:val="num" w:pos="600"/>
        </w:tabs>
        <w:spacing w:after="120" w:line="360" w:lineRule="auto"/>
        <w:ind w:left="700" w:hanging="400"/>
        <w:rPr>
          <w:b/>
        </w:rPr>
      </w:pPr>
      <w:r>
        <w:rPr>
          <w:b/>
        </w:rPr>
        <w:t xml:space="preserve"> </w:t>
      </w:r>
      <w:r w:rsidR="006D38CC">
        <w:rPr>
          <w:b/>
        </w:rPr>
        <w:t>Istotne z</w:t>
      </w:r>
      <w:r w:rsidR="009C7D18">
        <w:rPr>
          <w:b/>
        </w:rPr>
        <w:t xml:space="preserve">agadnienia </w:t>
      </w:r>
      <w:r w:rsidR="00CE1C7D">
        <w:rPr>
          <w:b/>
        </w:rPr>
        <w:t>poruszane w orzecznictwie</w:t>
      </w:r>
      <w:r w:rsidR="009C7D18" w:rsidRPr="00615BD1">
        <w:rPr>
          <w:b/>
        </w:rPr>
        <w:t xml:space="preserve"> </w:t>
      </w:r>
      <w:r w:rsidRPr="00615BD1">
        <w:rPr>
          <w:b/>
        </w:rPr>
        <w:t>GKO</w:t>
      </w:r>
      <w:r w:rsidR="00D819F6">
        <w:rPr>
          <w:b/>
        </w:rPr>
        <w:t xml:space="preserve"> w 2018 r</w:t>
      </w:r>
      <w:r w:rsidRPr="00615BD1">
        <w:rPr>
          <w:b/>
        </w:rPr>
        <w:t>.</w:t>
      </w:r>
    </w:p>
    <w:p w:rsidR="003643DD" w:rsidRDefault="003643DD" w:rsidP="00695C9D"/>
    <w:p w:rsidR="00667198" w:rsidRPr="00695C9D" w:rsidRDefault="009C7D18" w:rsidP="00695C9D">
      <w:pPr>
        <w:pStyle w:val="Akapitzlist"/>
        <w:numPr>
          <w:ilvl w:val="0"/>
          <w:numId w:val="51"/>
        </w:numPr>
        <w:overflowPunct w:val="0"/>
        <w:autoSpaceDE w:val="0"/>
        <w:autoSpaceDN w:val="0"/>
        <w:adjustRightInd w:val="0"/>
        <w:spacing w:after="120" w:line="360" w:lineRule="auto"/>
        <w:jc w:val="both"/>
        <w:rPr>
          <w:b/>
        </w:rPr>
      </w:pPr>
      <w:r w:rsidRPr="00695C9D">
        <w:rPr>
          <w:b/>
        </w:rPr>
        <w:t>Wpływ oceny stopnia szkodliwości czynu dla finansów publicznych na wymiar kary:</w:t>
      </w:r>
    </w:p>
    <w:p w:rsidR="004523F8" w:rsidRDefault="003F6690" w:rsidP="00695C9D">
      <w:pPr>
        <w:pStyle w:val="Akapitzlist"/>
        <w:numPr>
          <w:ilvl w:val="0"/>
          <w:numId w:val="55"/>
        </w:numPr>
        <w:overflowPunct w:val="0"/>
        <w:autoSpaceDE w:val="0"/>
        <w:autoSpaceDN w:val="0"/>
        <w:adjustRightInd w:val="0"/>
        <w:spacing w:after="120" w:line="360" w:lineRule="auto"/>
        <w:ind w:left="709" w:hanging="283"/>
        <w:jc w:val="both"/>
      </w:pPr>
      <w:r>
        <w:t>Orzeczenie</w:t>
      </w:r>
      <w:r w:rsidR="00CE1C7D">
        <w:t>m</w:t>
      </w:r>
      <w:r w:rsidR="00034DD3">
        <w:t xml:space="preserve"> z </w:t>
      </w:r>
      <w:r w:rsidR="00FF62F6">
        <w:t>dnia</w:t>
      </w:r>
      <w:r w:rsidR="00034DD3">
        <w:t xml:space="preserve"> </w:t>
      </w:r>
      <w:r w:rsidR="00FF62F6">
        <w:t>21 czerwca</w:t>
      </w:r>
      <w:r w:rsidR="00034DD3">
        <w:t xml:space="preserve"> 2018 r. </w:t>
      </w:r>
      <w:r w:rsidR="00034DD3" w:rsidRPr="00034DD3">
        <w:t>BDF1.4800.41.2018</w:t>
      </w:r>
      <w:r w:rsidR="00034DD3">
        <w:t xml:space="preserve"> </w:t>
      </w:r>
      <w:r w:rsidR="00CE1C7D">
        <w:t>opublikowanym</w:t>
      </w:r>
      <w:r w:rsidR="008A0952">
        <w:t xml:space="preserve"> w </w:t>
      </w:r>
      <w:r w:rsidR="00034DD3" w:rsidRPr="00034DD3">
        <w:t>bazie orzecznictwa w sprawach o naruszenie dyscypliny fi</w:t>
      </w:r>
      <w:r w:rsidR="00392649">
        <w:t xml:space="preserve">nansów publicznych </w:t>
      </w:r>
      <w:r w:rsidR="00034DD3" w:rsidRPr="00034DD3">
        <w:t>(przyporządkowane do art. 11</w:t>
      </w:r>
      <w:r w:rsidR="00721BB2">
        <w:t xml:space="preserve"> ust. 1</w:t>
      </w:r>
      <w:r w:rsidR="00392649">
        <w:t xml:space="preserve"> oraz</w:t>
      </w:r>
      <w:r w:rsidR="00034DD3">
        <w:t xml:space="preserve"> art. 15 </w:t>
      </w:r>
      <w:r w:rsidR="00721BB2">
        <w:t xml:space="preserve">ust. 1 </w:t>
      </w:r>
      <w:r w:rsidR="00392649">
        <w:t>uondfp</w:t>
      </w:r>
      <w:r w:rsidR="00034DD3">
        <w:t>)</w:t>
      </w:r>
      <w:r w:rsidR="00CE1C7D">
        <w:t>,</w:t>
      </w:r>
      <w:r w:rsidR="00034DD3">
        <w:t xml:space="preserve"> GKO </w:t>
      </w:r>
      <w:r w:rsidR="00392649">
        <w:t xml:space="preserve">podtrzymała stanowisko Komisji I instancji </w:t>
      </w:r>
      <w:r w:rsidR="0044249B">
        <w:t>uznając</w:t>
      </w:r>
      <w:r w:rsidR="00392649">
        <w:t>, że wielokrotne działania kierownika jednostki w</w:t>
      </w:r>
      <w:r w:rsidR="008201BF">
        <w:t> </w:t>
      </w:r>
      <w:r w:rsidR="00392649">
        <w:t>zakresie zaciągania zobowiązań lub dokonywania wydatków z naruszeniem podstawowych przepisów dotyczących gospodarki finansowej, charakteryzuj</w:t>
      </w:r>
      <w:r w:rsidR="0044249B">
        <w:t>ą</w:t>
      </w:r>
      <w:r w:rsidR="00392649">
        <w:t xml:space="preserve"> się bez wątpienia znacznym stopieniem szkodliwości czynów dla finansów publicznych</w:t>
      </w:r>
      <w:r w:rsidR="0044249B">
        <w:t>,</w:t>
      </w:r>
      <w:r w:rsidR="00392649">
        <w:t xml:space="preserve"> uznając przy tym prawidłowość wymierzenia w takim wypadku kary pieniężnej (orzeczeni</w:t>
      </w:r>
      <w:r w:rsidR="00721BB2">
        <w:t>e</w:t>
      </w:r>
      <w:r w:rsidR="00392649">
        <w:t xml:space="preserve"> to zostało utrzymane w mocy przez Wojewódzki Sąd Administracyjny w Warszawie wyrokiem z 21 lutego 201</w:t>
      </w:r>
      <w:r w:rsidR="00552258">
        <w:t>9</w:t>
      </w:r>
      <w:r w:rsidR="00392649">
        <w:t xml:space="preserve"> r.  o sygn.. akt V SA/W</w:t>
      </w:r>
      <w:r w:rsidR="00392649" w:rsidRPr="00392649">
        <w:t>a 1614/18</w:t>
      </w:r>
      <w:r w:rsidR="00392649">
        <w:t>)</w:t>
      </w:r>
      <w:r>
        <w:t>.</w:t>
      </w:r>
    </w:p>
    <w:p w:rsidR="009C7D18" w:rsidRDefault="0038653F" w:rsidP="00695C9D">
      <w:pPr>
        <w:pStyle w:val="Akapitzlist"/>
        <w:numPr>
          <w:ilvl w:val="0"/>
          <w:numId w:val="55"/>
        </w:numPr>
        <w:overflowPunct w:val="0"/>
        <w:autoSpaceDE w:val="0"/>
        <w:autoSpaceDN w:val="0"/>
        <w:adjustRightInd w:val="0"/>
        <w:spacing w:after="120" w:line="360" w:lineRule="auto"/>
        <w:ind w:left="709" w:hanging="283"/>
        <w:jc w:val="both"/>
      </w:pPr>
      <w:r>
        <w:t>Orzeczenie</w:t>
      </w:r>
      <w:r w:rsidR="00CE1C7D">
        <w:t>m</w:t>
      </w:r>
      <w:r>
        <w:t xml:space="preserve"> z 21 czerwca 2018 r. o s</w:t>
      </w:r>
      <w:r w:rsidRPr="0038653F">
        <w:t>ygn. akt BDF1.4800.48.</w:t>
      </w:r>
      <w:r w:rsidR="006115FF">
        <w:t>2018 opublikowanym</w:t>
      </w:r>
      <w:r w:rsidRPr="0038653F">
        <w:t xml:space="preserve"> w bazie orzecznictwa w sprawach o naruszenie dyscypliny finansów publicznych (przyporządkowane do art. 11 ust. 1 oraz art. 1</w:t>
      </w:r>
      <w:r>
        <w:t>6</w:t>
      </w:r>
      <w:r w:rsidR="00CE1C7D">
        <w:t xml:space="preserve"> ust. 1 uondfp),</w:t>
      </w:r>
      <w:r w:rsidRPr="0038653F">
        <w:t xml:space="preserve"> GKO </w:t>
      </w:r>
      <w:r>
        <w:t>uznała za zasadne utrzymanie w mocy orzeczenia Komisji I instancji</w:t>
      </w:r>
      <w:r w:rsidR="005765F4">
        <w:t xml:space="preserve"> przypisującego odpowiedzialność za dokonywania wydatków z naruszeniem przepisów oraz niewykonanie w terminie zobowiązania, które skutkowało koniecznością zapłaty odsetek</w:t>
      </w:r>
      <w:r>
        <w:t>, wskazuj</w:t>
      </w:r>
      <w:r w:rsidR="0044249B">
        <w:t>ąc</w:t>
      </w:r>
      <w:r>
        <w:t xml:space="preserve"> przy tym, na </w:t>
      </w:r>
      <w:r w:rsidR="006D510C">
        <w:t>prawidłowość wymierzonej kary pieniężnej i brak podstaw do zastosowania innej kary z uwagi na brzmienie</w:t>
      </w:r>
      <w:r w:rsidRPr="0038653F">
        <w:t xml:space="preserve"> art. 34a pkt 3</w:t>
      </w:r>
      <w:r w:rsidR="006D510C">
        <w:t xml:space="preserve">, który stanowi, że </w:t>
      </w:r>
      <w:r w:rsidRPr="0038653F">
        <w:t>jeżeli w skutek naruszenia dyscypliny finansów publicznych zapłacono ze środków publicznych m. in. odsetki lub opłaty</w:t>
      </w:r>
      <w:r w:rsidR="006D510C">
        <w:t xml:space="preserve"> </w:t>
      </w:r>
      <w:r w:rsidRPr="0038653F">
        <w:t xml:space="preserve">w znacznej wysokości </w:t>
      </w:r>
      <w:r w:rsidR="006D510C">
        <w:t>(a taka sytuacja miała miejsce w nieniniejsze sprawie)</w:t>
      </w:r>
      <w:r w:rsidR="006D510C" w:rsidRPr="0038653F">
        <w:t xml:space="preserve"> </w:t>
      </w:r>
      <w:r w:rsidRPr="0038653F">
        <w:t>wymierza się kar</w:t>
      </w:r>
      <w:r w:rsidR="0044249B">
        <w:t>ę</w:t>
      </w:r>
      <w:r w:rsidRPr="0038653F">
        <w:t xml:space="preserve"> pieniężną.</w:t>
      </w:r>
      <w:r w:rsidR="009C7D18">
        <w:t xml:space="preserve"> </w:t>
      </w:r>
    </w:p>
    <w:p w:rsidR="009C7D18" w:rsidRDefault="006D510C" w:rsidP="00695C9D">
      <w:pPr>
        <w:pStyle w:val="Akapitzlist"/>
        <w:numPr>
          <w:ilvl w:val="0"/>
          <w:numId w:val="55"/>
        </w:numPr>
        <w:overflowPunct w:val="0"/>
        <w:autoSpaceDE w:val="0"/>
        <w:autoSpaceDN w:val="0"/>
        <w:adjustRightInd w:val="0"/>
        <w:spacing w:after="120" w:line="360" w:lineRule="auto"/>
        <w:ind w:left="709" w:hanging="283"/>
        <w:jc w:val="both"/>
      </w:pPr>
      <w:r>
        <w:t>Orzeczenie</w:t>
      </w:r>
      <w:r w:rsidR="006115FF">
        <w:t>m</w:t>
      </w:r>
      <w:r>
        <w:t xml:space="preserve"> z dnia 25 czerwca 2018 r. o s</w:t>
      </w:r>
      <w:r w:rsidRPr="00550CD3">
        <w:t>ygn. akt BDF1.4800.44.2018</w:t>
      </w:r>
      <w:r w:rsidR="006115FF">
        <w:t xml:space="preserve"> opublikowanym</w:t>
      </w:r>
      <w:r w:rsidRPr="00550CD3">
        <w:t xml:space="preserve"> w</w:t>
      </w:r>
      <w:r w:rsidR="008201BF">
        <w:t> </w:t>
      </w:r>
      <w:r w:rsidRPr="00550CD3">
        <w:t>bazie orzecznictwa w sprawach o naruszenie d</w:t>
      </w:r>
      <w:r>
        <w:t xml:space="preserve">yscypliny finansów </w:t>
      </w:r>
      <w:r>
        <w:lastRenderedPageBreak/>
        <w:t>publicznych (</w:t>
      </w:r>
      <w:r w:rsidRPr="00550CD3">
        <w:t xml:space="preserve">przyporządkowane do art. </w:t>
      </w:r>
      <w:r>
        <w:t>9 pkt 3</w:t>
      </w:r>
      <w:r w:rsidRPr="00550CD3">
        <w:t xml:space="preserve"> uondfp)</w:t>
      </w:r>
      <w:r w:rsidR="001C55A7">
        <w:t>,</w:t>
      </w:r>
      <w:r w:rsidRPr="00360BA4">
        <w:t xml:space="preserve"> GKO</w:t>
      </w:r>
      <w:r>
        <w:t xml:space="preserve"> rozpatrując znaczną szkodliwość </w:t>
      </w:r>
      <w:r w:rsidR="0044249B">
        <w:t xml:space="preserve">naruszenia dyscypliny finansów publicznych </w:t>
      </w:r>
      <w:r>
        <w:t>dla finansów publicznych</w:t>
      </w:r>
      <w:r w:rsidR="00C86A7A">
        <w:t xml:space="preserve"> polegającego na niedokonaniu w terminie zwrotu dotacji w należnej wysokości,</w:t>
      </w:r>
      <w:r>
        <w:t xml:space="preserve"> uznała</w:t>
      </w:r>
      <w:r w:rsidRPr="00360BA4">
        <w:t xml:space="preserve"> że orzeczona kara zakazu pełnienia funkcji związanych z dysponowaniem środkami publicznymi na okres trzech lat jest adekwatna do stwierdzonego naruszenia dyscypliny finansów publicznych</w:t>
      </w:r>
      <w:r w:rsidR="001C55A7">
        <w:t>.</w:t>
      </w:r>
      <w:r w:rsidRPr="00360BA4">
        <w:t xml:space="preserve"> </w:t>
      </w:r>
      <w:r w:rsidR="0044249B">
        <w:t xml:space="preserve">GKO wzięła </w:t>
      </w:r>
      <w:r w:rsidRPr="00360BA4">
        <w:t>pod uwagę naganny sposób działania Obwinionego zarówno przed, jak i po popełnieniu naruszenia d</w:t>
      </w:r>
      <w:r>
        <w:t>yscypliny finansów publicznych</w:t>
      </w:r>
      <w:r w:rsidR="0044249B">
        <w:t>,</w:t>
      </w:r>
      <w:r>
        <w:t xml:space="preserve"> </w:t>
      </w:r>
      <w:r w:rsidRPr="00360BA4">
        <w:t>lekceważącą postawę Obwinionego wobec przestrzegania reguł</w:t>
      </w:r>
      <w:r>
        <w:t xml:space="preserve"> wynikających z przepisów prawa. Wskazując przy tym, że </w:t>
      </w:r>
      <w:r w:rsidRPr="00360BA4">
        <w:t xml:space="preserve">wymierzenie kary łagodniejszej </w:t>
      </w:r>
      <w:r>
        <w:t xml:space="preserve">nie </w:t>
      </w:r>
      <w:r w:rsidRPr="00360BA4">
        <w:t>byłoby wystarczające dla osiągnięcia wobec Obwinionego</w:t>
      </w:r>
      <w:r>
        <w:t xml:space="preserve"> celów prewencj</w:t>
      </w:r>
      <w:r w:rsidR="001C55A7">
        <w:t>i indywidualnej</w:t>
      </w:r>
      <w:r>
        <w:t xml:space="preserve"> i tylko </w:t>
      </w:r>
      <w:r w:rsidRPr="00360BA4">
        <w:t>kara adekwatna do wagi naruszonych obowiązków może pozwolić na osiągnięcie celów prewencji ogólnej, realizując cele zapobiegawcze i dyscyplinujące</w:t>
      </w:r>
      <w:r>
        <w:t xml:space="preserve"> </w:t>
      </w:r>
      <w:r w:rsidRPr="00360BA4">
        <w:t>z uwagi na dbałość o dobro finansów publicznych</w:t>
      </w:r>
      <w:r>
        <w:t>.</w:t>
      </w:r>
    </w:p>
    <w:p w:rsidR="00667198" w:rsidRPr="00695C9D" w:rsidRDefault="00667198" w:rsidP="00695C9D">
      <w:pPr>
        <w:pStyle w:val="Akapitzlist"/>
        <w:numPr>
          <w:ilvl w:val="0"/>
          <w:numId w:val="51"/>
        </w:numPr>
        <w:overflowPunct w:val="0"/>
        <w:autoSpaceDE w:val="0"/>
        <w:autoSpaceDN w:val="0"/>
        <w:adjustRightInd w:val="0"/>
        <w:spacing w:after="120" w:line="360" w:lineRule="auto"/>
        <w:jc w:val="both"/>
        <w:rPr>
          <w:b/>
        </w:rPr>
      </w:pPr>
      <w:r w:rsidRPr="00695C9D">
        <w:rPr>
          <w:b/>
        </w:rPr>
        <w:t>Możliwość</w:t>
      </w:r>
      <w:r w:rsidR="009C7D18" w:rsidRPr="00695C9D">
        <w:rPr>
          <w:b/>
        </w:rPr>
        <w:t xml:space="preserve"> zastosowania nadzwyczajnego</w:t>
      </w:r>
      <w:r w:rsidR="006D38CC" w:rsidRPr="00942A87">
        <w:rPr>
          <w:b/>
        </w:rPr>
        <w:t xml:space="preserve"> środka jaki jest</w:t>
      </w:r>
      <w:r w:rsidR="009C7D18" w:rsidRPr="00695C9D">
        <w:rPr>
          <w:b/>
        </w:rPr>
        <w:t xml:space="preserve"> odstąpienia od wymierzenia kary wobec stwierdzonych okoliczności faktycznych w sprawie</w:t>
      </w:r>
      <w:r w:rsidRPr="00695C9D">
        <w:rPr>
          <w:b/>
        </w:rPr>
        <w:t>:</w:t>
      </w:r>
    </w:p>
    <w:p w:rsidR="009C7D18" w:rsidRDefault="00667198" w:rsidP="00695C9D">
      <w:pPr>
        <w:pStyle w:val="Akapitzlist"/>
        <w:numPr>
          <w:ilvl w:val="0"/>
          <w:numId w:val="57"/>
        </w:numPr>
        <w:overflowPunct w:val="0"/>
        <w:autoSpaceDE w:val="0"/>
        <w:autoSpaceDN w:val="0"/>
        <w:adjustRightInd w:val="0"/>
        <w:spacing w:after="120" w:line="360" w:lineRule="auto"/>
        <w:jc w:val="both"/>
      </w:pPr>
      <w:r>
        <w:t>O</w:t>
      </w:r>
      <w:r w:rsidR="00FF62F6">
        <w:t>rzeczenie</w:t>
      </w:r>
      <w:r w:rsidR="006115FF">
        <w:t>m</w:t>
      </w:r>
      <w:r w:rsidR="00FF62F6">
        <w:t xml:space="preserve"> z dnia 22 stycznia 2018 r. o sygn. akt: </w:t>
      </w:r>
      <w:r w:rsidR="00FF62F6" w:rsidRPr="00FF62F6">
        <w:t>BDF1.4800.59.2017</w:t>
      </w:r>
      <w:r w:rsidR="006115FF">
        <w:t xml:space="preserve"> opublikowanym</w:t>
      </w:r>
      <w:r w:rsidR="00FF62F6">
        <w:t xml:space="preserve"> w</w:t>
      </w:r>
      <w:r w:rsidR="008201BF">
        <w:t> </w:t>
      </w:r>
      <w:r w:rsidR="00FF62F6" w:rsidRPr="00FF62F6">
        <w:t>bazie orzecznictwa w sprawach o naruszenie dyscypliny finansów publicznych (przyporządkowane do art. 18b uondfp)</w:t>
      </w:r>
      <w:r w:rsidR="006115FF">
        <w:t>,</w:t>
      </w:r>
      <w:r w:rsidR="00FF62F6">
        <w:t xml:space="preserve"> GKO dokonując subsumcji zaistniałego stanu faktycznego w sprawie</w:t>
      </w:r>
      <w:r w:rsidR="00C86A7A">
        <w:t xml:space="preserve"> odnoszącego się do nienależytego dokonania wstępnej kontroli zgodności operacji gospodarczych</w:t>
      </w:r>
      <w:r w:rsidR="00FF62F6">
        <w:t xml:space="preserve">, poddała szczególnej analizie kwestię art. 36 uondfp odnoszącego się do możliwości złagodzenia kary lub odstąpienia </w:t>
      </w:r>
      <w:r w:rsidR="002C3269">
        <w:t>od jej wymierzenia, uznając że w</w:t>
      </w:r>
      <w:r w:rsidR="008201BF">
        <w:t> </w:t>
      </w:r>
      <w:r w:rsidR="002C3269">
        <w:t>realiach niniejszej sprawy jego dyspozycja została wypełniona.</w:t>
      </w:r>
    </w:p>
    <w:p w:rsidR="00667198" w:rsidRDefault="003F6690" w:rsidP="00695C9D">
      <w:pPr>
        <w:pStyle w:val="Akapitzlist"/>
        <w:numPr>
          <w:ilvl w:val="0"/>
          <w:numId w:val="57"/>
        </w:numPr>
        <w:overflowPunct w:val="0"/>
        <w:autoSpaceDE w:val="0"/>
        <w:autoSpaceDN w:val="0"/>
        <w:adjustRightInd w:val="0"/>
        <w:spacing w:after="120" w:line="360" w:lineRule="auto"/>
        <w:jc w:val="both"/>
      </w:pPr>
      <w:r>
        <w:t>Orzeczenie</w:t>
      </w:r>
      <w:r w:rsidR="002C3269">
        <w:t xml:space="preserve"> z dnia 26 lutego 2018 r. o s</w:t>
      </w:r>
      <w:r w:rsidR="002C3269" w:rsidRPr="002C3269">
        <w:t>ygn. akt BDF1.4800.56.2017</w:t>
      </w:r>
      <w:r>
        <w:t xml:space="preserve"> </w:t>
      </w:r>
      <w:r w:rsidR="002C3269">
        <w:t>opublikowan</w:t>
      </w:r>
      <w:r w:rsidR="0044249B">
        <w:t>e</w:t>
      </w:r>
      <w:r w:rsidR="002C3269" w:rsidRPr="002C3269">
        <w:t xml:space="preserve"> w bazie orzecznictwa w sprawach o naruszenie dyscypliny finansów publicznych (przyporządkowane do art. </w:t>
      </w:r>
      <w:r w:rsidR="002C3269">
        <w:t>11 ust. 1</w:t>
      </w:r>
      <w:r w:rsidR="002C3269" w:rsidRPr="002C3269">
        <w:t xml:space="preserve"> uondfp) </w:t>
      </w:r>
      <w:r w:rsidR="002C3269">
        <w:t xml:space="preserve">Również tym orzeczeniem </w:t>
      </w:r>
      <w:r w:rsidR="002C3269" w:rsidRPr="002C3269">
        <w:t>GKO dokonując subsumcji zaistniałego stanu faktycznego w sprawie</w:t>
      </w:r>
      <w:r w:rsidR="00C86A7A">
        <w:t xml:space="preserve"> odnoszącego się do niezgodnego z prawem dokonania wydatku</w:t>
      </w:r>
      <w:r w:rsidR="002C3269" w:rsidRPr="002C3269">
        <w:t>, poddała szczególnej analizie kwestię art. 36 uondfp odnoszącego się do możliwości złagodzenia kary lub odstąpienia od jej wymierzenia</w:t>
      </w:r>
      <w:r w:rsidR="0044249B">
        <w:t>,</w:t>
      </w:r>
      <w:r w:rsidR="002C3269">
        <w:t xml:space="preserve"> uznając w tym wypadku</w:t>
      </w:r>
      <w:r w:rsidR="0044249B">
        <w:t>,</w:t>
      </w:r>
      <w:r w:rsidR="002C3269">
        <w:t xml:space="preserve"> </w:t>
      </w:r>
      <w:r w:rsidR="0044249B">
        <w:t>ż</w:t>
      </w:r>
      <w:r w:rsidR="002C3269">
        <w:t>e brak było podstaw do zastosowania normy tego artykułu</w:t>
      </w:r>
      <w:r w:rsidR="00550CD3">
        <w:t>.</w:t>
      </w:r>
    </w:p>
    <w:p w:rsidR="00667198" w:rsidRPr="00695C9D" w:rsidRDefault="00667198" w:rsidP="0038653F">
      <w:pPr>
        <w:pStyle w:val="Akapitzlist"/>
        <w:numPr>
          <w:ilvl w:val="0"/>
          <w:numId w:val="51"/>
        </w:numPr>
        <w:overflowPunct w:val="0"/>
        <w:autoSpaceDE w:val="0"/>
        <w:autoSpaceDN w:val="0"/>
        <w:adjustRightInd w:val="0"/>
        <w:spacing w:after="120" w:line="360" w:lineRule="auto"/>
        <w:jc w:val="both"/>
        <w:rPr>
          <w:b/>
        </w:rPr>
      </w:pPr>
      <w:r w:rsidRPr="00695C9D">
        <w:rPr>
          <w:b/>
        </w:rPr>
        <w:t xml:space="preserve"> Obowiązek ścisłej interpretacji norm sankcjonujących zawartych w uondfp wobec brzmienia przepisów prawa materialnego:</w:t>
      </w:r>
    </w:p>
    <w:p w:rsidR="0038653F" w:rsidRDefault="0038653F" w:rsidP="00695C9D">
      <w:pPr>
        <w:pStyle w:val="Akapitzlist"/>
        <w:numPr>
          <w:ilvl w:val="0"/>
          <w:numId w:val="56"/>
        </w:numPr>
        <w:overflowPunct w:val="0"/>
        <w:autoSpaceDE w:val="0"/>
        <w:autoSpaceDN w:val="0"/>
        <w:adjustRightInd w:val="0"/>
        <w:spacing w:after="120" w:line="360" w:lineRule="auto"/>
        <w:jc w:val="both"/>
      </w:pPr>
      <w:r>
        <w:lastRenderedPageBreak/>
        <w:t>Orzeczenie</w:t>
      </w:r>
      <w:r w:rsidR="006115FF">
        <w:t>m</w:t>
      </w:r>
      <w:r>
        <w:t xml:space="preserve"> z 10 maja 2018 r. sygn. akt BDF1.4800.40.2018, opublikowan</w:t>
      </w:r>
      <w:r w:rsidR="006115FF">
        <w:t>ym</w:t>
      </w:r>
      <w:r>
        <w:t xml:space="preserve"> w bazie orzecznictwa w sprawach o naruszenie dyscypliny finansów publicznych (przyporzą</w:t>
      </w:r>
      <w:r w:rsidR="006115FF">
        <w:t xml:space="preserve">dkowane do art. 9 pkt 2 uondfp), </w:t>
      </w:r>
      <w:r>
        <w:t>GKO uniewinniła obwinionego z uwagi</w:t>
      </w:r>
      <w:r w:rsidR="0044249B">
        <w:t xml:space="preserve"> na to</w:t>
      </w:r>
      <w:r>
        <w:t>, że nie ma podstaw do przypisania odpowiedzialności z tytułu naruszenia art. 9 pkt 2</w:t>
      </w:r>
      <w:r w:rsidR="00C86A7A">
        <w:t xml:space="preserve"> uondfp</w:t>
      </w:r>
      <w:r>
        <w:t xml:space="preserve"> (nierozliczenia w terminie dotacji) w zakresie nieterminowego przekazywania informacji kwartalnych o wydatkowaniu środków finansowych pochodzących z dotacji, albowiem norma przywoływanego artykułu 9 pkt 2 uondfp nie odnosi się do tego rodzaju sytuacji. </w:t>
      </w:r>
    </w:p>
    <w:p w:rsidR="0038653F" w:rsidRDefault="0038653F" w:rsidP="00695C9D">
      <w:pPr>
        <w:pStyle w:val="Akapitzlist"/>
        <w:numPr>
          <w:ilvl w:val="0"/>
          <w:numId w:val="56"/>
        </w:numPr>
        <w:overflowPunct w:val="0"/>
        <w:autoSpaceDE w:val="0"/>
        <w:autoSpaceDN w:val="0"/>
        <w:adjustRightInd w:val="0"/>
        <w:spacing w:after="120" w:line="360" w:lineRule="auto"/>
        <w:jc w:val="both"/>
      </w:pPr>
      <w:r>
        <w:t>Orzeczenie</w:t>
      </w:r>
      <w:r w:rsidR="006115FF">
        <w:t>m</w:t>
      </w:r>
      <w:r>
        <w:t xml:space="preserve"> z dnia 10 września 2018 r. o sygn. akt: BDF1.4800.62.2018 opublikowan</w:t>
      </w:r>
      <w:r w:rsidR="006115FF">
        <w:t>ym</w:t>
      </w:r>
      <w:r>
        <w:t xml:space="preserve"> w</w:t>
      </w:r>
      <w:r w:rsidR="008201BF">
        <w:t> </w:t>
      </w:r>
      <w:r>
        <w:t>bazie orzecznictwa w sprawach o naruszenie dyscypliny finansów publicznych (przyporządkowane do art. 18 pkt 2 uondfp)</w:t>
      </w:r>
      <w:r w:rsidR="006115FF">
        <w:t>, GKO</w:t>
      </w:r>
      <w:r>
        <w:t xml:space="preserve"> uniewinniła obwinionego z uwagi na niemożności przypisania winy. Wskazano</w:t>
      </w:r>
      <w:r w:rsidR="006115FF">
        <w:t xml:space="preserve"> w nim</w:t>
      </w:r>
      <w:r>
        <w:t>, że celem art. 18 pkt 2 uondfp jest penalizowanie zachowań naruszających ład finansów publicznych w postaci czynów polegających na niewłaściwym odzwierciedleniu w sprawozdawczości stanu wynikającego z zapisów ewidencji księgowej, ale tylko prowadzonej w sposób prawidłowy. Dane podane w</w:t>
      </w:r>
      <w:r w:rsidR="008201BF">
        <w:t> </w:t>
      </w:r>
      <w:r>
        <w:t>sprawozdaniach przez obwinionego prawidłowo odzwierciedlały stan finansów jednostki, choć odbiegały od danych ewidencji księgowej, która była prowadzona nierzetelnie (co oceniono negatywnie z punktu przejrzystości finansów publicznych), jednakże nieprawidłowe prowadzenie ewidencji księgowej samo w sobie nie jest przedmiotem postępowania w sprawie o naruszanie dyscypliny finansów publicznych. Zatem jakkolwiek doszło do wypełnienia dyspozycji art. 18 pkt 2 uondfp, tak z uwagi na to</w:t>
      </w:r>
      <w:r w:rsidR="0044249B">
        <w:t>,</w:t>
      </w:r>
      <w:r>
        <w:t xml:space="preserve"> że w sprawozdaniach Rb-28S wykazano prawdziwy obraz sytuacji finansowej jednostki kierowanej przez obwinionego, orzeczono o jego uniewinnieniu. </w:t>
      </w:r>
    </w:p>
    <w:p w:rsidR="0038653F" w:rsidRPr="00AE615C" w:rsidRDefault="0038653F" w:rsidP="00695C9D">
      <w:pPr>
        <w:pStyle w:val="Akapitzlist"/>
        <w:overflowPunct w:val="0"/>
        <w:autoSpaceDE w:val="0"/>
        <w:autoSpaceDN w:val="0"/>
        <w:adjustRightInd w:val="0"/>
        <w:spacing w:after="120" w:line="360" w:lineRule="auto"/>
        <w:jc w:val="both"/>
      </w:pPr>
    </w:p>
    <w:p w:rsidR="0029156B" w:rsidRPr="00B05773" w:rsidRDefault="0029156B" w:rsidP="00465A5C">
      <w:pPr>
        <w:overflowPunct w:val="0"/>
        <w:autoSpaceDE w:val="0"/>
        <w:autoSpaceDN w:val="0"/>
        <w:adjustRightInd w:val="0"/>
        <w:spacing w:after="120" w:line="360" w:lineRule="auto"/>
        <w:jc w:val="both"/>
        <w:rPr>
          <w:b/>
          <w:sz w:val="26"/>
          <w:szCs w:val="20"/>
        </w:rPr>
      </w:pPr>
      <w:r w:rsidRPr="00B05773">
        <w:rPr>
          <w:b/>
        </w:rPr>
        <w:br w:type="page"/>
      </w:r>
    </w:p>
    <w:p w:rsidR="00023A76" w:rsidRDefault="00023A76" w:rsidP="00023A76">
      <w:pPr>
        <w:pStyle w:val="Tekstpodstawowy211"/>
        <w:spacing w:after="120" w:line="360" w:lineRule="auto"/>
        <w:ind w:left="300"/>
        <w:jc w:val="center"/>
        <w:outlineLvl w:val="0"/>
        <w:rPr>
          <w:b/>
        </w:rPr>
      </w:pPr>
    </w:p>
    <w:p w:rsidR="000B1334" w:rsidRPr="00AF25C9" w:rsidRDefault="000B1334" w:rsidP="000B1334">
      <w:pPr>
        <w:pStyle w:val="Tekstpodstawowy211"/>
        <w:spacing w:after="120" w:line="360" w:lineRule="auto"/>
        <w:ind w:left="300"/>
        <w:jc w:val="center"/>
        <w:outlineLvl w:val="0"/>
        <w:rPr>
          <w:b/>
        </w:rPr>
      </w:pPr>
      <w:r w:rsidRPr="00AF25C9">
        <w:rPr>
          <w:b/>
        </w:rPr>
        <w:t>II</w:t>
      </w:r>
    </w:p>
    <w:p w:rsidR="000B1334" w:rsidRDefault="000B1334" w:rsidP="000B1334">
      <w:pPr>
        <w:pStyle w:val="Tekstpodstawowy211"/>
        <w:spacing w:after="120" w:line="360" w:lineRule="auto"/>
        <w:ind w:left="300"/>
        <w:jc w:val="center"/>
      </w:pPr>
      <w:r>
        <w:rPr>
          <w:b/>
          <w:sz w:val="24"/>
          <w:szCs w:val="24"/>
        </w:rPr>
        <w:t>Działalność komisji orzekających pierwszej instancji w 2018 r.</w:t>
      </w:r>
    </w:p>
    <w:p w:rsidR="000B1334" w:rsidRPr="0052225B" w:rsidRDefault="000B1334" w:rsidP="000B1334">
      <w:pPr>
        <w:pStyle w:val="Tekstpodstawowy"/>
        <w:numPr>
          <w:ilvl w:val="0"/>
          <w:numId w:val="19"/>
        </w:numPr>
        <w:tabs>
          <w:tab w:val="clear" w:pos="720"/>
          <w:tab w:val="num" w:pos="360"/>
        </w:tabs>
        <w:spacing w:after="120" w:line="360" w:lineRule="auto"/>
        <w:ind w:left="719" w:hanging="720"/>
        <w:rPr>
          <w:b/>
        </w:rPr>
      </w:pPr>
      <w:r>
        <w:rPr>
          <w:b/>
        </w:rPr>
        <w:t>Zagadnienia ogólne.</w:t>
      </w:r>
    </w:p>
    <w:p w:rsidR="000B1334" w:rsidRDefault="000B1334" w:rsidP="000B1334">
      <w:pPr>
        <w:pStyle w:val="Tekstpodstawowy"/>
        <w:numPr>
          <w:ilvl w:val="0"/>
          <w:numId w:val="37"/>
        </w:numPr>
        <w:spacing w:line="360" w:lineRule="auto"/>
      </w:pPr>
      <w:r>
        <w:t xml:space="preserve">Organami orzekającymi w sprawach o naruszenie dyscypliny finansów publicznych pierwszej instancji są komisje orzekające w sprawach o naruszenie dyscypliny finansów publicznych. Działają one na podstawie art. 42 ust. 1 ustawy </w:t>
      </w:r>
      <w:r w:rsidRPr="00B706ED">
        <w:t>o odpowiedzialności za naruszenie dyscypliny finansów publicznych</w:t>
      </w:r>
      <w:r>
        <w:t xml:space="preserve">. Komisja orzeka na rozprawie lub posiedzeniu rozpoznając wniosek o ukaranie, który wniósł rzecznik dyscypliny finansów publicznych. </w:t>
      </w:r>
    </w:p>
    <w:p w:rsidR="000B1334" w:rsidRDefault="000B1334" w:rsidP="000B1334">
      <w:pPr>
        <w:pStyle w:val="Tekstpodstawowy"/>
        <w:numPr>
          <w:ilvl w:val="0"/>
          <w:numId w:val="37"/>
        </w:numPr>
        <w:spacing w:line="360" w:lineRule="auto"/>
      </w:pPr>
      <w:r>
        <w:t xml:space="preserve">Struktura organizacyjna. </w:t>
      </w:r>
    </w:p>
    <w:p w:rsidR="000B1334" w:rsidRDefault="000B1334" w:rsidP="000B1334">
      <w:pPr>
        <w:pStyle w:val="Tekstpodstawowy"/>
        <w:tabs>
          <w:tab w:val="left" w:pos="709"/>
        </w:tabs>
        <w:spacing w:line="360" w:lineRule="auto"/>
        <w:ind w:left="708"/>
      </w:pPr>
      <w:r>
        <w:t>Komisjami orzekającymi, zgodnie z art. 46 uondfp, są:</w:t>
      </w:r>
    </w:p>
    <w:p w:rsidR="000B1334" w:rsidRDefault="000B1334" w:rsidP="000B1334">
      <w:pPr>
        <w:pStyle w:val="Tekstpodstawowy"/>
        <w:numPr>
          <w:ilvl w:val="0"/>
          <w:numId w:val="9"/>
        </w:numPr>
        <w:tabs>
          <w:tab w:val="clear" w:pos="992"/>
          <w:tab w:val="num" w:pos="707"/>
          <w:tab w:val="left" w:pos="1134"/>
        </w:tabs>
        <w:spacing w:line="360" w:lineRule="auto"/>
        <w:ind w:left="1134" w:hanging="425"/>
      </w:pPr>
      <w:r>
        <w:t>Wspólna Komisja Orzekająca;</w:t>
      </w:r>
    </w:p>
    <w:p w:rsidR="000B1334" w:rsidRDefault="000B1334" w:rsidP="000B1334">
      <w:pPr>
        <w:pStyle w:val="Tekstpodstawowy"/>
        <w:numPr>
          <w:ilvl w:val="0"/>
          <w:numId w:val="9"/>
        </w:numPr>
        <w:tabs>
          <w:tab w:val="clear" w:pos="992"/>
          <w:tab w:val="num" w:pos="707"/>
          <w:tab w:val="left" w:pos="1134"/>
        </w:tabs>
        <w:spacing w:line="360" w:lineRule="auto"/>
        <w:ind w:left="1134" w:hanging="425"/>
      </w:pPr>
      <w:r>
        <w:t>międzyresortowe komisje orzekające przy ministrze właściwym do spraw finansów publicznych, ministrze właściwym do spraw administracji publicznej oraz Ministrze Sprawiedliwości (zwane dalej międzyresortowymi komisjami orzekającymi);</w:t>
      </w:r>
    </w:p>
    <w:p w:rsidR="000B1334" w:rsidRDefault="000B1334" w:rsidP="000B1334">
      <w:pPr>
        <w:pStyle w:val="Tekstpodstawowy"/>
        <w:numPr>
          <w:ilvl w:val="0"/>
          <w:numId w:val="9"/>
        </w:numPr>
        <w:tabs>
          <w:tab w:val="clear" w:pos="992"/>
          <w:tab w:val="num" w:pos="707"/>
          <w:tab w:val="left" w:pos="1134"/>
        </w:tabs>
        <w:spacing w:line="360" w:lineRule="auto"/>
        <w:ind w:left="1134" w:hanging="425"/>
      </w:pPr>
      <w:r>
        <w:t>Komisja Orzekająca przy Szefie Kancelarii Prezesa Rady Ministrów;</w:t>
      </w:r>
    </w:p>
    <w:p w:rsidR="000B1334" w:rsidRDefault="000B1334" w:rsidP="000B1334">
      <w:pPr>
        <w:pStyle w:val="Tekstpodstawowy"/>
        <w:numPr>
          <w:ilvl w:val="0"/>
          <w:numId w:val="9"/>
        </w:numPr>
        <w:tabs>
          <w:tab w:val="clear" w:pos="992"/>
          <w:tab w:val="num" w:pos="707"/>
          <w:tab w:val="left" w:pos="1134"/>
        </w:tabs>
        <w:spacing w:after="120" w:line="360" w:lineRule="auto"/>
        <w:ind w:left="1134" w:hanging="425"/>
      </w:pPr>
      <w:r>
        <w:t xml:space="preserve">regionalne komisje orzekające przy regionalnych izbach </w:t>
      </w:r>
      <w:r w:rsidRPr="00B75BCB">
        <w:t>obrachunkowych (zwane dalej regionalnymi komisjami orzekającymi) – 16</w:t>
      </w:r>
      <w:r>
        <w:t xml:space="preserve"> komisji.</w:t>
      </w:r>
    </w:p>
    <w:p w:rsidR="000B1334" w:rsidRDefault="000B1334" w:rsidP="000B1334">
      <w:pPr>
        <w:pStyle w:val="Tekstpodstawowy"/>
        <w:numPr>
          <w:ilvl w:val="0"/>
          <w:numId w:val="37"/>
        </w:numPr>
        <w:spacing w:line="360" w:lineRule="auto"/>
      </w:pPr>
      <w:r>
        <w:t xml:space="preserve">Przewodniczących komisji orzekających i ich zastępców powołuje i odwołuje, na wniosek ministra właściwego do spraw finansów publicznych, Prezes Rady Ministrów. Są oni powoływani spośród kandydatów zgłoszonych przez uprawnione podmioty (Szefa Kancelarii Prezesa Rady Ministrów, ministrów i prezesów regionalnych izb obrachunkowych). Członków komisji orzekających powołuje i odwołuje, na wniosek przewodniczącego komisji orzekającej, Prezes Rady Ministrów, przy czym przewodniczący międzyresortowych komisji orzekających występują do odpowiednich, uprawnionych podmiotów o przedstawienie kandydatów na członków określonej komisji. </w:t>
      </w:r>
    </w:p>
    <w:p w:rsidR="000B1334" w:rsidRDefault="000B1334" w:rsidP="000B1334">
      <w:pPr>
        <w:pStyle w:val="Tekstpodstawowy"/>
        <w:spacing w:after="120" w:line="360" w:lineRule="auto"/>
        <w:ind w:left="720"/>
      </w:pPr>
      <w:r>
        <w:t xml:space="preserve">Przewodniczącego, zastępców przewodniczącego i członków Wspólnej Komisji Orzekającej powołuje i odwołuje Prezydent RP, spośród kandydatów zgłoszonych przez uprawnione podmioty. </w:t>
      </w:r>
    </w:p>
    <w:p w:rsidR="000B1334" w:rsidRDefault="000B1334" w:rsidP="000B1334">
      <w:pPr>
        <w:pStyle w:val="Tekstpodstawowy"/>
        <w:spacing w:after="120" w:line="360" w:lineRule="auto"/>
        <w:ind w:left="720"/>
      </w:pPr>
      <w:r w:rsidRPr="00A01542">
        <w:lastRenderedPageBreak/>
        <w:t xml:space="preserve">Na podstawie informacji, które wpływają do Ministerstwa Finansów, w 2018 r. w komisjach orzekających pierwszej instancji działało około 233 osób. </w:t>
      </w:r>
    </w:p>
    <w:p w:rsidR="000B1334" w:rsidRPr="005D31F2" w:rsidRDefault="000B1334" w:rsidP="000B1334">
      <w:pPr>
        <w:pStyle w:val="Tekstpodstawowy"/>
        <w:numPr>
          <w:ilvl w:val="0"/>
          <w:numId w:val="19"/>
        </w:numPr>
        <w:tabs>
          <w:tab w:val="clear" w:pos="720"/>
          <w:tab w:val="num" w:pos="360"/>
        </w:tabs>
        <w:spacing w:after="120" w:line="360" w:lineRule="auto"/>
        <w:ind w:left="719" w:hanging="720"/>
        <w:rPr>
          <w:b/>
        </w:rPr>
      </w:pPr>
      <w:r>
        <w:rPr>
          <w:b/>
        </w:rPr>
        <w:t>Sprawy pozostające do rozpoznania</w:t>
      </w:r>
      <w:r w:rsidRPr="00846D77">
        <w:rPr>
          <w:b/>
        </w:rPr>
        <w:t xml:space="preserve"> </w:t>
      </w:r>
      <w:r>
        <w:rPr>
          <w:b/>
        </w:rPr>
        <w:t xml:space="preserve">w roku sprawozdawczym. </w:t>
      </w:r>
    </w:p>
    <w:p w:rsidR="000B1334" w:rsidRPr="00DF6B83" w:rsidRDefault="000B1334" w:rsidP="000B1334">
      <w:pPr>
        <w:pStyle w:val="Tekstpodstawowy"/>
        <w:numPr>
          <w:ilvl w:val="0"/>
          <w:numId w:val="52"/>
        </w:numPr>
        <w:spacing w:line="360" w:lineRule="auto"/>
        <w:ind w:left="851" w:hanging="473"/>
      </w:pPr>
      <w:r w:rsidRPr="00DF6B83">
        <w:t>Sprawy oczekujące na rozpoznanie na początku roku sprawozdawczego</w:t>
      </w:r>
    </w:p>
    <w:p w:rsidR="000B1334" w:rsidRDefault="000B1334" w:rsidP="000B1334">
      <w:pPr>
        <w:pStyle w:val="Tekstpodstawowy"/>
        <w:spacing w:line="360" w:lineRule="auto"/>
        <w:ind w:left="851"/>
      </w:pPr>
      <w:r w:rsidRPr="00786013">
        <w:rPr>
          <w:szCs w:val="24"/>
        </w:rPr>
        <w:t>Na</w:t>
      </w:r>
      <w:r>
        <w:t xml:space="preserve"> początku 2018 r. w komisjach orzekających pierwszej instancji oczekiwały na rozstrzygnięcie wnioski o ukaranie dotyczące 365 </w:t>
      </w:r>
      <w:r w:rsidRPr="000617AA">
        <w:t>obwinionych</w:t>
      </w:r>
      <w:r>
        <w:t xml:space="preserve"> (patrz zał. nr 1, 2 i 3), w </w:t>
      </w:r>
      <w:r w:rsidRPr="000617AA">
        <w:t>tym</w:t>
      </w:r>
      <w:r>
        <w:t>:</w:t>
      </w:r>
      <w:r w:rsidRPr="000617AA">
        <w:t xml:space="preserve"> </w:t>
      </w:r>
    </w:p>
    <w:p w:rsidR="000B1334" w:rsidRDefault="000B1334" w:rsidP="00695C9D">
      <w:pPr>
        <w:pStyle w:val="Tekstpodstawowy"/>
        <w:numPr>
          <w:ilvl w:val="0"/>
          <w:numId w:val="9"/>
        </w:numPr>
        <w:spacing w:line="360" w:lineRule="auto"/>
      </w:pPr>
      <w:r w:rsidRPr="000617AA">
        <w:t>w regiona</w:t>
      </w:r>
      <w:r>
        <w:t xml:space="preserve">lnych komisjach orzekających – 261 obwinionych, </w:t>
      </w:r>
    </w:p>
    <w:p w:rsidR="000B1334" w:rsidRDefault="000B1334" w:rsidP="00695C9D">
      <w:pPr>
        <w:pStyle w:val="Tekstpodstawowy"/>
        <w:numPr>
          <w:ilvl w:val="0"/>
          <w:numId w:val="9"/>
        </w:numPr>
        <w:spacing w:line="360" w:lineRule="auto"/>
      </w:pPr>
      <w:r>
        <w:t>w</w:t>
      </w:r>
      <w:r w:rsidRPr="000617AA">
        <w:t xml:space="preserve"> </w:t>
      </w:r>
      <w:r>
        <w:t>międzyresortowych</w:t>
      </w:r>
      <w:r w:rsidRPr="000617AA">
        <w:t xml:space="preserve"> komisjach orzekających</w:t>
      </w:r>
      <w:r>
        <w:t xml:space="preserve"> –</w:t>
      </w:r>
      <w:r w:rsidRPr="000617AA">
        <w:t xml:space="preserve"> </w:t>
      </w:r>
      <w:r>
        <w:t>103 obwinionych,</w:t>
      </w:r>
    </w:p>
    <w:p w:rsidR="000B1334" w:rsidRDefault="000B1334" w:rsidP="00695C9D">
      <w:pPr>
        <w:pStyle w:val="Tekstpodstawowy"/>
        <w:numPr>
          <w:ilvl w:val="0"/>
          <w:numId w:val="9"/>
        </w:numPr>
        <w:spacing w:line="360" w:lineRule="auto"/>
      </w:pPr>
      <w:r>
        <w:t xml:space="preserve">w Komisji Orzekającej przy Szefie </w:t>
      </w:r>
      <w:r w:rsidRPr="00783DCA">
        <w:t>Kancelarii Prezesa Rady Ministrów</w:t>
      </w:r>
      <w:r w:rsidRPr="00783DCA" w:rsidDel="00783DCA">
        <w:t xml:space="preserve"> </w:t>
      </w:r>
      <w:r w:rsidR="00E458DB">
        <w:t xml:space="preserve"> – 1 </w:t>
      </w:r>
      <w:r>
        <w:t>obwiniony</w:t>
      </w:r>
    </w:p>
    <w:p w:rsidR="000B1334" w:rsidRDefault="000B1334" w:rsidP="000B1334">
      <w:pPr>
        <w:pStyle w:val="Tekstpodstawowy"/>
        <w:spacing w:line="360" w:lineRule="auto"/>
        <w:ind w:left="708"/>
      </w:pPr>
      <w:r w:rsidRPr="007D3346">
        <w:t xml:space="preserve">Na początku 2018 r. </w:t>
      </w:r>
      <w:r>
        <w:t xml:space="preserve">we </w:t>
      </w:r>
      <w:r w:rsidRPr="007D3346">
        <w:t xml:space="preserve">Wspólnej Komisji Orzekającej </w:t>
      </w:r>
      <w:r>
        <w:t xml:space="preserve">nie było </w:t>
      </w:r>
      <w:r w:rsidRPr="007D3346">
        <w:t>wnioskó</w:t>
      </w:r>
      <w:r>
        <w:t>w</w:t>
      </w:r>
      <w:r w:rsidRPr="007D3346">
        <w:t xml:space="preserve"> o ukaranie </w:t>
      </w:r>
      <w:r>
        <w:t>oczekujących</w:t>
      </w:r>
      <w:r w:rsidRPr="007D3346">
        <w:t xml:space="preserve"> na rozstrzygnięcie</w:t>
      </w:r>
      <w:r>
        <w:t>.</w:t>
      </w:r>
    </w:p>
    <w:p w:rsidR="000B1334" w:rsidRDefault="000B1334" w:rsidP="000B1334">
      <w:pPr>
        <w:pStyle w:val="Tekstpodstawowy"/>
        <w:spacing w:after="120" w:line="360" w:lineRule="auto"/>
      </w:pPr>
    </w:p>
    <w:p w:rsidR="000B1334" w:rsidRDefault="00951915" w:rsidP="000B1334">
      <w:pPr>
        <w:pStyle w:val="Tekstpodstawowy"/>
        <w:spacing w:after="120" w:line="360" w:lineRule="auto"/>
        <w:ind w:left="1843" w:hanging="1843"/>
      </w:pPr>
      <w:r>
        <w:t>Wykres nr 6</w:t>
      </w:r>
      <w:r w:rsidR="000B1334">
        <w:t xml:space="preserve">: Sprawy oczekujące na rozstrzygnięcie wg stanu na początek roku sprawozdawczego (ujęcie porównawcze lata 2015 – 2018) </w:t>
      </w:r>
    </w:p>
    <w:p w:rsidR="00E458DB" w:rsidRDefault="000B1334" w:rsidP="000B1334">
      <w:pPr>
        <w:pStyle w:val="Tekstpodstawowy"/>
        <w:spacing w:after="120" w:line="360" w:lineRule="auto"/>
      </w:pPr>
      <w:r>
        <w:rPr>
          <w:noProof/>
        </w:rPr>
        <w:drawing>
          <wp:inline distT="0" distB="0" distL="0" distR="0" wp14:anchorId="2CD3474B" wp14:editId="4062DF3D">
            <wp:extent cx="5757062" cy="3467735"/>
            <wp:effectExtent l="0" t="0" r="34290" b="37465"/>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458DB" w:rsidRDefault="00E458DB">
      <w:pPr>
        <w:rPr>
          <w:szCs w:val="20"/>
        </w:rPr>
      </w:pPr>
      <w:r>
        <w:br w:type="page"/>
      </w:r>
    </w:p>
    <w:p w:rsidR="000B1334" w:rsidRDefault="000B1334" w:rsidP="000B1334">
      <w:pPr>
        <w:pStyle w:val="Tekstpodstawowy"/>
        <w:numPr>
          <w:ilvl w:val="0"/>
          <w:numId w:val="53"/>
        </w:numPr>
        <w:spacing w:line="360" w:lineRule="auto"/>
      </w:pPr>
      <w:r>
        <w:lastRenderedPageBreak/>
        <w:t xml:space="preserve">Sprawy, </w:t>
      </w:r>
      <w:r w:rsidRPr="00DF6B83">
        <w:t>które wpłynęły do rozpoznania w roku sprawozdawczym</w:t>
      </w:r>
      <w:r w:rsidRPr="00846D77">
        <w:t xml:space="preserve"> </w:t>
      </w:r>
    </w:p>
    <w:p w:rsidR="000B1334" w:rsidRDefault="000B1334" w:rsidP="000B1334">
      <w:pPr>
        <w:pStyle w:val="Tekstpodstawowy"/>
        <w:spacing w:line="360" w:lineRule="auto"/>
        <w:ind w:left="708"/>
      </w:pPr>
      <w:r>
        <w:t>W 2018</w:t>
      </w:r>
      <w:r w:rsidRPr="007E5B67">
        <w:t xml:space="preserve"> r. do komisji orzekających pierwszej instancji wpłynęły wnioski o ukaranie dotyczące </w:t>
      </w:r>
      <w:r>
        <w:t> 1 021</w:t>
      </w:r>
      <w:r w:rsidRPr="007E5B67">
        <w:t xml:space="preserve"> obwinionych, przy czym do:</w:t>
      </w:r>
    </w:p>
    <w:p w:rsidR="000B1334" w:rsidRDefault="000B1334" w:rsidP="000B1334">
      <w:pPr>
        <w:pStyle w:val="Tekstpodstawowy"/>
        <w:numPr>
          <w:ilvl w:val="0"/>
          <w:numId w:val="9"/>
        </w:numPr>
        <w:tabs>
          <w:tab w:val="clear" w:pos="992"/>
          <w:tab w:val="num" w:pos="993"/>
        </w:tabs>
        <w:spacing w:line="360" w:lineRule="auto"/>
        <w:ind w:left="993"/>
      </w:pPr>
      <w:r w:rsidRPr="000617AA">
        <w:t>regionalnych</w:t>
      </w:r>
      <w:r>
        <w:t xml:space="preserve"> komisji orzekających – wobec 824 </w:t>
      </w:r>
      <w:r w:rsidRPr="000617AA">
        <w:t>obwinionych</w:t>
      </w:r>
      <w:r>
        <w:t xml:space="preserve">, </w:t>
      </w:r>
    </w:p>
    <w:p w:rsidR="000B1334" w:rsidRDefault="000B1334" w:rsidP="000B1334">
      <w:pPr>
        <w:pStyle w:val="Tekstpodstawowy"/>
        <w:numPr>
          <w:ilvl w:val="0"/>
          <w:numId w:val="9"/>
        </w:numPr>
        <w:tabs>
          <w:tab w:val="clear" w:pos="992"/>
          <w:tab w:val="num" w:pos="993"/>
        </w:tabs>
        <w:spacing w:line="360" w:lineRule="auto"/>
        <w:ind w:left="993"/>
      </w:pPr>
      <w:r>
        <w:t>między</w:t>
      </w:r>
      <w:r w:rsidRPr="005C5AB8">
        <w:t>resortowyc</w:t>
      </w:r>
      <w:r>
        <w:t>h komisji orzekających – wobec 195 obwinionych,</w:t>
      </w:r>
    </w:p>
    <w:p w:rsidR="000B1334" w:rsidRDefault="000B1334" w:rsidP="000B1334">
      <w:pPr>
        <w:pStyle w:val="Tekstpodstawowy"/>
        <w:numPr>
          <w:ilvl w:val="0"/>
          <w:numId w:val="9"/>
        </w:numPr>
        <w:tabs>
          <w:tab w:val="clear" w:pos="992"/>
          <w:tab w:val="num" w:pos="993"/>
        </w:tabs>
        <w:spacing w:line="360" w:lineRule="auto"/>
        <w:ind w:left="993"/>
      </w:pPr>
      <w:r>
        <w:t xml:space="preserve">Komisji Orzekającej przy Szefie </w:t>
      </w:r>
      <w:r w:rsidRPr="00783DCA">
        <w:t>Kancelarii Prezesa Rady Ministrów</w:t>
      </w:r>
      <w:r w:rsidRPr="00783DCA" w:rsidDel="00783DCA">
        <w:t xml:space="preserve"> </w:t>
      </w:r>
      <w:r>
        <w:t>– wobec 2 obwinionych.</w:t>
      </w:r>
    </w:p>
    <w:p w:rsidR="000B1334" w:rsidRDefault="000B1334" w:rsidP="000B1334">
      <w:pPr>
        <w:pStyle w:val="Tekstpodstawowy"/>
        <w:spacing w:line="360" w:lineRule="auto"/>
        <w:ind w:left="709"/>
      </w:pPr>
      <w:r>
        <w:t>Do Wspólnej Komisji Orzekającej nie wpłynął żaden wniosek.</w:t>
      </w:r>
    </w:p>
    <w:p w:rsidR="000B1334" w:rsidRDefault="000B1334" w:rsidP="000B1334">
      <w:pPr>
        <w:pStyle w:val="Tekstpodstawowy"/>
        <w:spacing w:line="360" w:lineRule="auto"/>
        <w:ind w:left="709"/>
      </w:pPr>
    </w:p>
    <w:p w:rsidR="000B1334" w:rsidRDefault="00951915" w:rsidP="000B1334">
      <w:pPr>
        <w:pStyle w:val="Tekstpodstawowy"/>
        <w:spacing w:line="360" w:lineRule="auto"/>
        <w:ind w:left="1418" w:hanging="1418"/>
      </w:pPr>
      <w:r>
        <w:t>Wykres nr 7</w:t>
      </w:r>
      <w:r w:rsidR="000B1334" w:rsidRPr="00252775">
        <w:t xml:space="preserve">: </w:t>
      </w:r>
      <w:r w:rsidR="000B1334">
        <w:t>S</w:t>
      </w:r>
      <w:r w:rsidR="000B1334" w:rsidRPr="00252775">
        <w:t>praw</w:t>
      </w:r>
      <w:r w:rsidR="000B1334">
        <w:t>y</w:t>
      </w:r>
      <w:r w:rsidR="000B1334" w:rsidRPr="00252775">
        <w:t>, które wpłynęły do rozpozna</w:t>
      </w:r>
      <w:r w:rsidR="000B1334">
        <w:t xml:space="preserve">nia w roku sprawozdawczym </w:t>
      </w:r>
    </w:p>
    <w:p w:rsidR="000B1334" w:rsidRDefault="000B1334" w:rsidP="000B1334">
      <w:pPr>
        <w:pStyle w:val="Tekstpodstawowy"/>
        <w:spacing w:after="120" w:line="360" w:lineRule="auto"/>
        <w:ind w:left="1418" w:hanging="60"/>
      </w:pPr>
      <w:r w:rsidRPr="00252775">
        <w:t>(ujęcie porównawcze</w:t>
      </w:r>
      <w:r>
        <w:t xml:space="preserve"> lata 2015 - 2018</w:t>
      </w:r>
      <w:r w:rsidRPr="00252775">
        <w:t>)</w:t>
      </w:r>
    </w:p>
    <w:p w:rsidR="000B1334" w:rsidRDefault="000B1334" w:rsidP="000B1334">
      <w:pPr>
        <w:pStyle w:val="Tekstpodstawowy"/>
        <w:tabs>
          <w:tab w:val="left" w:pos="7320"/>
        </w:tabs>
        <w:spacing w:line="360" w:lineRule="auto"/>
        <w:ind w:left="62"/>
      </w:pPr>
      <w:r w:rsidRPr="00A01542">
        <w:rPr>
          <w:noProof/>
          <w:sz w:val="4"/>
          <w:szCs w:val="4"/>
        </w:rPr>
        <w:t xml:space="preserve"> </w:t>
      </w:r>
      <w:r>
        <w:rPr>
          <w:noProof/>
        </w:rPr>
        <w:drawing>
          <wp:inline distT="0" distB="0" distL="0" distR="0" wp14:anchorId="2C1AFC94" wp14:editId="2258964E">
            <wp:extent cx="5649595" cy="3372592"/>
            <wp:effectExtent l="0" t="0" r="46355" b="37465"/>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B1334" w:rsidRDefault="000B1334" w:rsidP="000B1334">
      <w:pPr>
        <w:pStyle w:val="Tekstpodstawowy"/>
        <w:tabs>
          <w:tab w:val="left" w:pos="7320"/>
        </w:tabs>
        <w:spacing w:before="240" w:after="120" w:line="360" w:lineRule="auto"/>
      </w:pPr>
      <w:r>
        <w:t>P</w:t>
      </w:r>
      <w:r w:rsidRPr="000617AA">
        <w:t>onadto, GKO zwróciła do ponownego</w:t>
      </w:r>
      <w:r>
        <w:t xml:space="preserve"> rozpoznania sprawy dotyczące 36 </w:t>
      </w:r>
      <w:r w:rsidRPr="000617AA">
        <w:t>obwinionych (do</w:t>
      </w:r>
      <w:r>
        <w:t> </w:t>
      </w:r>
      <w:r w:rsidRPr="000617AA">
        <w:t xml:space="preserve">regionalnych komisji </w:t>
      </w:r>
      <w:r>
        <w:t xml:space="preserve">orzekających – sprawy dotyczące 31 </w:t>
      </w:r>
      <w:r w:rsidRPr="000617AA">
        <w:t xml:space="preserve">obwinionych i </w:t>
      </w:r>
      <w:r>
        <w:t>do między</w:t>
      </w:r>
      <w:r w:rsidRPr="000617AA">
        <w:t>resor</w:t>
      </w:r>
      <w:r>
        <w:t xml:space="preserve">towych komisji orzekających – sprawy dotyczące 5 obwinionych). </w:t>
      </w:r>
    </w:p>
    <w:p w:rsidR="000B1334" w:rsidRDefault="000B1334" w:rsidP="000B1334">
      <w:pPr>
        <w:pStyle w:val="Tekstpodstawowy"/>
        <w:spacing w:after="120" w:line="360" w:lineRule="auto"/>
        <w:rPr>
          <w:b/>
        </w:rPr>
      </w:pPr>
      <w:r w:rsidRPr="00AD6DF7">
        <w:rPr>
          <w:b/>
        </w:rPr>
        <w:t>W komisjach orzekających pierwszej instancji pozostawały zatem łącznie do rozpo</w:t>
      </w:r>
      <w:r>
        <w:rPr>
          <w:b/>
        </w:rPr>
        <w:t>znania w 2018</w:t>
      </w:r>
      <w:r w:rsidRPr="00AD6DF7">
        <w:rPr>
          <w:b/>
        </w:rPr>
        <w:t xml:space="preserve"> r. sprawy dotyczące </w:t>
      </w:r>
      <w:r>
        <w:rPr>
          <w:b/>
        </w:rPr>
        <w:t>1421 obwinionych.</w:t>
      </w:r>
    </w:p>
    <w:p w:rsidR="000B1334" w:rsidRPr="00F06BF5" w:rsidRDefault="000B1334" w:rsidP="000B1334">
      <w:pPr>
        <w:pStyle w:val="Tekstpodstawowy"/>
        <w:numPr>
          <w:ilvl w:val="0"/>
          <w:numId w:val="20"/>
        </w:numPr>
        <w:tabs>
          <w:tab w:val="clear" w:pos="480"/>
          <w:tab w:val="num" w:pos="360"/>
          <w:tab w:val="num" w:pos="992"/>
        </w:tabs>
        <w:spacing w:after="120" w:line="360" w:lineRule="auto"/>
        <w:ind w:left="360"/>
        <w:rPr>
          <w:b/>
        </w:rPr>
      </w:pPr>
      <w:r>
        <w:rPr>
          <w:b/>
        </w:rPr>
        <w:t>Sprawy r</w:t>
      </w:r>
      <w:r w:rsidRPr="00F06BF5">
        <w:rPr>
          <w:b/>
        </w:rPr>
        <w:t>ozstrzygnięte w roku</w:t>
      </w:r>
      <w:r>
        <w:rPr>
          <w:b/>
        </w:rPr>
        <w:t xml:space="preserve"> sprawozdawczym.</w:t>
      </w:r>
    </w:p>
    <w:p w:rsidR="000B1334" w:rsidRDefault="000B1334" w:rsidP="000B1334">
      <w:pPr>
        <w:pStyle w:val="Tekstpodstawowy"/>
        <w:numPr>
          <w:ilvl w:val="0"/>
          <w:numId w:val="21"/>
        </w:numPr>
        <w:tabs>
          <w:tab w:val="clear" w:pos="580"/>
        </w:tabs>
        <w:spacing w:line="360" w:lineRule="auto"/>
        <w:ind w:left="709" w:hanging="359"/>
      </w:pPr>
      <w:r w:rsidRPr="00786013">
        <w:t>Komisje orze</w:t>
      </w:r>
      <w:r>
        <w:t>kające pierwszej instancji wydały w 2018</w:t>
      </w:r>
      <w:r w:rsidRPr="000617AA">
        <w:t xml:space="preserve"> r. rozstrzygnięcia wobec </w:t>
      </w:r>
      <w:r>
        <w:t>1 063 </w:t>
      </w:r>
      <w:r w:rsidRPr="000617AA">
        <w:t>obwinionych, w tym</w:t>
      </w:r>
      <w:r>
        <w:t>:</w:t>
      </w:r>
    </w:p>
    <w:p w:rsidR="000B1334" w:rsidRDefault="000B1334" w:rsidP="000B1334">
      <w:pPr>
        <w:pStyle w:val="Tekstpodstawowy"/>
        <w:numPr>
          <w:ilvl w:val="0"/>
          <w:numId w:val="10"/>
        </w:numPr>
        <w:tabs>
          <w:tab w:val="clear" w:pos="360"/>
          <w:tab w:val="num" w:pos="993"/>
        </w:tabs>
        <w:spacing w:line="360" w:lineRule="auto"/>
        <w:ind w:left="993" w:hanging="284"/>
      </w:pPr>
      <w:r w:rsidRPr="000617AA">
        <w:lastRenderedPageBreak/>
        <w:t>regional</w:t>
      </w:r>
      <w:r>
        <w:t xml:space="preserve">ne komisje orzekające – wobec 892 obwinionych, </w:t>
      </w:r>
    </w:p>
    <w:p w:rsidR="000B1334" w:rsidRDefault="000B1334" w:rsidP="000B1334">
      <w:pPr>
        <w:pStyle w:val="Tekstpodstawowy"/>
        <w:numPr>
          <w:ilvl w:val="0"/>
          <w:numId w:val="10"/>
        </w:numPr>
        <w:tabs>
          <w:tab w:val="clear" w:pos="360"/>
          <w:tab w:val="num" w:pos="993"/>
        </w:tabs>
        <w:spacing w:line="360" w:lineRule="auto"/>
        <w:ind w:left="993" w:hanging="284"/>
      </w:pPr>
      <w:r>
        <w:t>między</w:t>
      </w:r>
      <w:r w:rsidRPr="000617AA">
        <w:t>resort</w:t>
      </w:r>
      <w:r>
        <w:t xml:space="preserve">owe komisje orzekające – wobec 169 </w:t>
      </w:r>
      <w:r w:rsidRPr="000617AA">
        <w:t>obwinionych</w:t>
      </w:r>
      <w:r>
        <w:t>,</w:t>
      </w:r>
    </w:p>
    <w:p w:rsidR="000B1334" w:rsidRDefault="000B1334" w:rsidP="000B1334">
      <w:pPr>
        <w:pStyle w:val="Tekstpodstawowy"/>
        <w:numPr>
          <w:ilvl w:val="0"/>
          <w:numId w:val="10"/>
        </w:numPr>
        <w:tabs>
          <w:tab w:val="clear" w:pos="360"/>
          <w:tab w:val="num" w:pos="993"/>
        </w:tabs>
        <w:spacing w:line="360" w:lineRule="auto"/>
        <w:ind w:left="993" w:hanging="284"/>
      </w:pPr>
      <w:r>
        <w:t>Komisja Orzekająca przy Szefie Kancelarii Prezesa Rady Ministrów</w:t>
      </w:r>
      <w:r w:rsidRPr="006F041E">
        <w:t xml:space="preserve"> </w:t>
      </w:r>
      <w:r>
        <w:t>– wobec 2 obwinionych.</w:t>
      </w:r>
    </w:p>
    <w:p w:rsidR="000B1334" w:rsidRDefault="000B1334" w:rsidP="000B1334">
      <w:pPr>
        <w:pStyle w:val="Tekstpodstawowy"/>
        <w:spacing w:after="120" w:line="360" w:lineRule="auto"/>
        <w:ind w:left="709"/>
      </w:pPr>
      <w:r>
        <w:t>Wspólna Komisja Orzekająca  nie wydała żadnego rozstrzygnięcia</w:t>
      </w:r>
      <w:r w:rsidRPr="000617AA">
        <w:t xml:space="preserve">. </w:t>
      </w:r>
    </w:p>
    <w:p w:rsidR="000B1334" w:rsidRDefault="000B1334" w:rsidP="000B1334">
      <w:pPr>
        <w:pStyle w:val="Tekstpodstawowy"/>
        <w:spacing w:after="120" w:line="360" w:lineRule="auto"/>
        <w:ind w:left="709"/>
      </w:pPr>
    </w:p>
    <w:p w:rsidR="000B1334" w:rsidRDefault="000B1334" w:rsidP="00695C9D">
      <w:pPr>
        <w:pStyle w:val="Tekstpodstawowy"/>
        <w:spacing w:line="360" w:lineRule="auto"/>
        <w:ind w:left="301"/>
      </w:pPr>
      <w:r w:rsidRPr="000617AA">
        <w:t xml:space="preserve">Na koniec roku do rozstrzygnięcia pozostały </w:t>
      </w:r>
      <w:r>
        <w:t>wnioski o ukaranie dotyczące 352 </w:t>
      </w:r>
      <w:r w:rsidRPr="000617AA">
        <w:t>obwinionych, w</w:t>
      </w:r>
      <w:r>
        <w:t> </w:t>
      </w:r>
      <w:r w:rsidRPr="000617AA">
        <w:t>tym</w:t>
      </w:r>
      <w:r>
        <w:t>:</w:t>
      </w:r>
    </w:p>
    <w:p w:rsidR="000B1334" w:rsidRDefault="000B1334" w:rsidP="00695C9D">
      <w:pPr>
        <w:pStyle w:val="Tekstpodstawowy"/>
        <w:numPr>
          <w:ilvl w:val="0"/>
          <w:numId w:val="54"/>
        </w:numPr>
        <w:spacing w:line="360" w:lineRule="auto"/>
      </w:pPr>
      <w:r w:rsidRPr="000617AA">
        <w:t>w</w:t>
      </w:r>
      <w:r>
        <w:t> </w:t>
      </w:r>
      <w:r w:rsidRPr="000617AA">
        <w:t xml:space="preserve">regionalnych </w:t>
      </w:r>
      <w:r>
        <w:t xml:space="preserve">komisjach orzekających – wobec 216 obwinionych, </w:t>
      </w:r>
    </w:p>
    <w:p w:rsidR="000B1334" w:rsidRDefault="000B1334" w:rsidP="00695C9D">
      <w:pPr>
        <w:pStyle w:val="Tekstpodstawowy"/>
        <w:numPr>
          <w:ilvl w:val="0"/>
          <w:numId w:val="54"/>
        </w:numPr>
        <w:spacing w:line="360" w:lineRule="auto"/>
      </w:pPr>
      <w:r w:rsidRPr="001C1025">
        <w:t>w</w:t>
      </w:r>
      <w:r>
        <w:t> </w:t>
      </w:r>
      <w:r w:rsidRPr="001C1025">
        <w:t>międzyresortowych k</w:t>
      </w:r>
      <w:r>
        <w:t>omisjach orzekających – wobec 135 </w:t>
      </w:r>
      <w:r w:rsidRPr="001C1025">
        <w:t>obwinionych</w:t>
      </w:r>
      <w:r>
        <w:t xml:space="preserve"> </w:t>
      </w:r>
    </w:p>
    <w:p w:rsidR="000B1334" w:rsidRDefault="00E458DB" w:rsidP="000B1334">
      <w:pPr>
        <w:pStyle w:val="Tekstpodstawowy"/>
        <w:numPr>
          <w:ilvl w:val="0"/>
          <w:numId w:val="54"/>
        </w:numPr>
        <w:spacing w:after="120" w:line="360" w:lineRule="auto"/>
      </w:pPr>
      <w:r>
        <w:t xml:space="preserve">i w </w:t>
      </w:r>
      <w:r w:rsidR="000B1334">
        <w:t xml:space="preserve">Komisji przy Szefie </w:t>
      </w:r>
      <w:r w:rsidR="000B1334" w:rsidRPr="00783DCA">
        <w:t>Kancelarii Prezesa Rady Ministrów</w:t>
      </w:r>
      <w:r w:rsidR="000B1334">
        <w:t xml:space="preserve"> – wobec 1 obwinionego</w:t>
      </w:r>
      <w:r w:rsidR="000B1334" w:rsidRPr="001C1025">
        <w:t xml:space="preserve">. </w:t>
      </w:r>
    </w:p>
    <w:p w:rsidR="000B1334" w:rsidRDefault="000B1334" w:rsidP="000B1334">
      <w:pPr>
        <w:pStyle w:val="Tekstpodstawowy"/>
        <w:spacing w:after="120" w:line="360" w:lineRule="auto"/>
      </w:pPr>
      <w:r w:rsidRPr="00783DCA">
        <w:t xml:space="preserve">Na koniec roku </w:t>
      </w:r>
      <w:r>
        <w:t>we Wspólnej Komisji Orzekającej nie pozostawały do ro</w:t>
      </w:r>
      <w:r w:rsidR="00E458DB">
        <w:t>zstrzygnięcia wnioski o ukaranie</w:t>
      </w:r>
      <w:r>
        <w:t xml:space="preserve">. </w:t>
      </w:r>
    </w:p>
    <w:p w:rsidR="00E458DB" w:rsidRDefault="00E458DB" w:rsidP="000B1334">
      <w:pPr>
        <w:pStyle w:val="Tekstpodstawowy"/>
        <w:spacing w:after="120" w:line="360" w:lineRule="auto"/>
      </w:pPr>
    </w:p>
    <w:p w:rsidR="000B1334" w:rsidRDefault="000B1334" w:rsidP="000B1334">
      <w:pPr>
        <w:pStyle w:val="Tekstpodstawowy"/>
        <w:spacing w:line="360" w:lineRule="auto"/>
      </w:pPr>
      <w:r w:rsidRPr="001C1025">
        <w:t xml:space="preserve">Wykres nr </w:t>
      </w:r>
      <w:r w:rsidR="00951915">
        <w:t>8</w:t>
      </w:r>
      <w:r w:rsidRPr="001C1025">
        <w:t>: Spr</w:t>
      </w:r>
      <w:r>
        <w:t>awy rozstrzygnięte w latach 2015 - 2018</w:t>
      </w:r>
      <w:r w:rsidRPr="001C1025">
        <w:t xml:space="preserve"> (ujęcie porównawcze)</w:t>
      </w:r>
    </w:p>
    <w:p w:rsidR="00E458DB" w:rsidRDefault="000B1334" w:rsidP="000B1334">
      <w:pPr>
        <w:pStyle w:val="Tekstpodstawowy"/>
        <w:spacing w:line="360" w:lineRule="auto"/>
        <w:jc w:val="left"/>
        <w:rPr>
          <w:noProof/>
        </w:rPr>
      </w:pPr>
      <w:r>
        <w:rPr>
          <w:noProof/>
        </w:rPr>
        <w:drawing>
          <wp:inline distT="0" distB="0" distL="0" distR="0" wp14:anchorId="3B8AEE53" wp14:editId="5BE5C4A3">
            <wp:extent cx="5683250" cy="3581400"/>
            <wp:effectExtent l="0" t="0" r="31750" b="3810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Del="0032493F">
        <w:rPr>
          <w:noProof/>
        </w:rPr>
        <w:t xml:space="preserve"> </w:t>
      </w:r>
    </w:p>
    <w:p w:rsidR="00E458DB" w:rsidRDefault="00E458DB">
      <w:pPr>
        <w:rPr>
          <w:noProof/>
          <w:szCs w:val="20"/>
        </w:rPr>
      </w:pPr>
      <w:r>
        <w:rPr>
          <w:noProof/>
        </w:rPr>
        <w:br w:type="page"/>
      </w:r>
    </w:p>
    <w:p w:rsidR="000B1334" w:rsidRPr="00AD6DF7" w:rsidRDefault="000B1334" w:rsidP="000B1334">
      <w:pPr>
        <w:pStyle w:val="Tekstpodstawowy"/>
        <w:numPr>
          <w:ilvl w:val="0"/>
          <w:numId w:val="21"/>
        </w:numPr>
        <w:tabs>
          <w:tab w:val="num" w:pos="480"/>
        </w:tabs>
        <w:spacing w:before="240" w:line="360" w:lineRule="auto"/>
        <w:ind w:left="505" w:hanging="403"/>
      </w:pPr>
      <w:r w:rsidRPr="00AD6DF7">
        <w:lastRenderedPageBreak/>
        <w:t xml:space="preserve">Z ogółu spraw rozstrzygniętych w </w:t>
      </w:r>
      <w:r>
        <w:t>2018</w:t>
      </w:r>
      <w:r w:rsidRPr="00AD6DF7">
        <w:t xml:space="preserve"> r. przez regionalne komis</w:t>
      </w:r>
      <w:r>
        <w:t>je orzekające – dotyczących 892</w:t>
      </w:r>
      <w:r w:rsidRPr="00AD6DF7">
        <w:t xml:space="preserve"> obwinionych – najwięcej spraw rozstrzygnęły: </w:t>
      </w:r>
    </w:p>
    <w:p w:rsidR="000B1334" w:rsidRDefault="000B1334" w:rsidP="000B1334">
      <w:pPr>
        <w:pStyle w:val="Tekstpodstawowy211"/>
        <w:numPr>
          <w:ilvl w:val="4"/>
          <w:numId w:val="27"/>
        </w:numPr>
        <w:tabs>
          <w:tab w:val="clear" w:pos="927"/>
          <w:tab w:val="num" w:pos="900"/>
          <w:tab w:val="num" w:pos="1048"/>
          <w:tab w:val="num" w:pos="3666"/>
        </w:tabs>
        <w:overflowPunct/>
        <w:autoSpaceDE/>
        <w:autoSpaceDN/>
        <w:adjustRightInd/>
        <w:spacing w:after="0" w:line="360" w:lineRule="auto"/>
        <w:ind w:hanging="592"/>
        <w:textAlignment w:val="auto"/>
        <w:rPr>
          <w:sz w:val="24"/>
          <w:szCs w:val="24"/>
        </w:rPr>
      </w:pPr>
      <w:r>
        <w:rPr>
          <w:sz w:val="24"/>
          <w:szCs w:val="24"/>
        </w:rPr>
        <w:t xml:space="preserve">Regionalna Komisja </w:t>
      </w:r>
      <w:r w:rsidRPr="008E742E">
        <w:rPr>
          <w:sz w:val="24"/>
          <w:szCs w:val="24"/>
        </w:rPr>
        <w:t xml:space="preserve">Orzekająca przy RIO w </w:t>
      </w:r>
      <w:r>
        <w:rPr>
          <w:sz w:val="24"/>
          <w:szCs w:val="24"/>
        </w:rPr>
        <w:t>Łodzi</w:t>
      </w:r>
    </w:p>
    <w:p w:rsidR="000B1334" w:rsidRDefault="000B1334" w:rsidP="000B1334">
      <w:pPr>
        <w:pStyle w:val="Tekstpodstawowy211"/>
        <w:tabs>
          <w:tab w:val="clear" w:pos="927"/>
          <w:tab w:val="num" w:pos="900"/>
          <w:tab w:val="num" w:pos="1048"/>
        </w:tabs>
        <w:overflowPunct/>
        <w:autoSpaceDE/>
        <w:autoSpaceDN/>
        <w:adjustRightInd/>
        <w:spacing w:after="0" w:line="360" w:lineRule="auto"/>
        <w:ind w:left="300"/>
        <w:textAlignment w:val="auto"/>
        <w:rPr>
          <w:sz w:val="24"/>
          <w:szCs w:val="24"/>
        </w:rPr>
      </w:pPr>
      <w:r>
        <w:rPr>
          <w:sz w:val="24"/>
          <w:szCs w:val="24"/>
        </w:rPr>
        <w:tab/>
      </w:r>
      <w:r w:rsidRPr="00273B62">
        <w:rPr>
          <w:sz w:val="24"/>
          <w:szCs w:val="24"/>
        </w:rPr>
        <w:t>–</w:t>
      </w:r>
      <w:r>
        <w:rPr>
          <w:sz w:val="24"/>
          <w:szCs w:val="24"/>
        </w:rPr>
        <w:t xml:space="preserve"> w stosunku do 107 obwinionych, </w:t>
      </w:r>
    </w:p>
    <w:p w:rsidR="000B1334" w:rsidRDefault="000B1334" w:rsidP="000B1334">
      <w:pPr>
        <w:pStyle w:val="Tekstpodstawowy211"/>
        <w:numPr>
          <w:ilvl w:val="4"/>
          <w:numId w:val="27"/>
        </w:numPr>
        <w:tabs>
          <w:tab w:val="clear" w:pos="927"/>
          <w:tab w:val="num" w:pos="900"/>
          <w:tab w:val="num" w:pos="1048"/>
          <w:tab w:val="num" w:pos="3666"/>
        </w:tabs>
        <w:overflowPunct/>
        <w:autoSpaceDE/>
        <w:autoSpaceDN/>
        <w:adjustRightInd/>
        <w:spacing w:after="0" w:line="360" w:lineRule="auto"/>
        <w:ind w:hanging="592"/>
        <w:textAlignment w:val="auto"/>
        <w:rPr>
          <w:sz w:val="24"/>
          <w:szCs w:val="24"/>
        </w:rPr>
      </w:pPr>
      <w:r>
        <w:rPr>
          <w:sz w:val="24"/>
          <w:szCs w:val="24"/>
        </w:rPr>
        <w:t xml:space="preserve">Regionalna Komisja </w:t>
      </w:r>
      <w:r w:rsidRPr="008E742E">
        <w:rPr>
          <w:sz w:val="24"/>
          <w:szCs w:val="24"/>
        </w:rPr>
        <w:t xml:space="preserve">Orzekająca przy RIO </w:t>
      </w:r>
      <w:r>
        <w:rPr>
          <w:sz w:val="24"/>
          <w:szCs w:val="24"/>
        </w:rPr>
        <w:t>w Katowicach</w:t>
      </w:r>
    </w:p>
    <w:p w:rsidR="000B1334" w:rsidRDefault="000B1334" w:rsidP="000B1334">
      <w:pPr>
        <w:pStyle w:val="Tekstpodstawowy211"/>
        <w:tabs>
          <w:tab w:val="clear" w:pos="927"/>
          <w:tab w:val="num" w:pos="900"/>
          <w:tab w:val="num" w:pos="1048"/>
        </w:tabs>
        <w:overflowPunct/>
        <w:autoSpaceDE/>
        <w:autoSpaceDN/>
        <w:adjustRightInd/>
        <w:spacing w:after="0" w:line="360" w:lineRule="auto"/>
        <w:ind w:left="300"/>
        <w:textAlignment w:val="auto"/>
        <w:rPr>
          <w:sz w:val="24"/>
          <w:szCs w:val="24"/>
        </w:rPr>
      </w:pPr>
      <w:r>
        <w:rPr>
          <w:sz w:val="24"/>
          <w:szCs w:val="24"/>
        </w:rPr>
        <w:tab/>
      </w:r>
      <w:r w:rsidRPr="00AD6DF7">
        <w:t>–</w:t>
      </w:r>
      <w:r>
        <w:t xml:space="preserve"> </w:t>
      </w:r>
      <w:r>
        <w:rPr>
          <w:sz w:val="24"/>
          <w:szCs w:val="24"/>
        </w:rPr>
        <w:t xml:space="preserve">w stosunku do 105 obwinionych, </w:t>
      </w:r>
    </w:p>
    <w:p w:rsidR="000B1334" w:rsidRDefault="000B1334" w:rsidP="000B1334">
      <w:pPr>
        <w:pStyle w:val="Tekstpodstawowy211"/>
        <w:numPr>
          <w:ilvl w:val="4"/>
          <w:numId w:val="27"/>
        </w:numPr>
        <w:tabs>
          <w:tab w:val="clear" w:pos="927"/>
          <w:tab w:val="num" w:pos="900"/>
          <w:tab w:val="num" w:pos="1048"/>
          <w:tab w:val="num" w:pos="3666"/>
        </w:tabs>
        <w:overflowPunct/>
        <w:autoSpaceDE/>
        <w:autoSpaceDN/>
        <w:adjustRightInd/>
        <w:spacing w:after="0" w:line="360" w:lineRule="auto"/>
        <w:ind w:hanging="592"/>
        <w:textAlignment w:val="auto"/>
        <w:rPr>
          <w:sz w:val="24"/>
          <w:szCs w:val="24"/>
        </w:rPr>
      </w:pPr>
      <w:r>
        <w:rPr>
          <w:sz w:val="24"/>
          <w:szCs w:val="24"/>
        </w:rPr>
        <w:t xml:space="preserve">Regionalna Komisja </w:t>
      </w:r>
      <w:r w:rsidRPr="008E742E">
        <w:rPr>
          <w:sz w:val="24"/>
          <w:szCs w:val="24"/>
        </w:rPr>
        <w:t xml:space="preserve">Orzekająca przy RIO </w:t>
      </w:r>
      <w:r>
        <w:rPr>
          <w:sz w:val="24"/>
          <w:szCs w:val="24"/>
        </w:rPr>
        <w:t>w Warszawie</w:t>
      </w:r>
    </w:p>
    <w:p w:rsidR="000B1334" w:rsidRDefault="000B1334" w:rsidP="000B1334">
      <w:pPr>
        <w:pStyle w:val="Tekstpodstawowy211"/>
        <w:tabs>
          <w:tab w:val="clear" w:pos="927"/>
          <w:tab w:val="num" w:pos="900"/>
          <w:tab w:val="num" w:pos="1048"/>
        </w:tabs>
        <w:overflowPunct/>
        <w:autoSpaceDE/>
        <w:autoSpaceDN/>
        <w:adjustRightInd/>
        <w:spacing w:after="0" w:line="360" w:lineRule="auto"/>
        <w:ind w:left="300"/>
        <w:textAlignment w:val="auto"/>
        <w:rPr>
          <w:sz w:val="24"/>
          <w:szCs w:val="24"/>
        </w:rPr>
      </w:pPr>
      <w:r>
        <w:rPr>
          <w:sz w:val="24"/>
          <w:szCs w:val="24"/>
        </w:rPr>
        <w:tab/>
      </w:r>
      <w:r w:rsidRPr="00AD6DF7">
        <w:t xml:space="preserve">– </w:t>
      </w:r>
      <w:r>
        <w:rPr>
          <w:sz w:val="24"/>
          <w:szCs w:val="24"/>
        </w:rPr>
        <w:t xml:space="preserve">w stosunku do 91 obwinionych, </w:t>
      </w:r>
    </w:p>
    <w:p w:rsidR="000B1334" w:rsidRDefault="000B1334" w:rsidP="000B1334">
      <w:pPr>
        <w:pStyle w:val="Tekstpodstawowy211"/>
        <w:tabs>
          <w:tab w:val="clear" w:pos="927"/>
          <w:tab w:val="num" w:pos="700"/>
        </w:tabs>
        <w:overflowPunct/>
        <w:autoSpaceDE/>
        <w:autoSpaceDN/>
        <w:adjustRightInd/>
        <w:spacing w:after="120" w:line="360" w:lineRule="auto"/>
        <w:ind w:left="504" w:firstLine="63"/>
        <w:textAlignment w:val="auto"/>
        <w:rPr>
          <w:sz w:val="24"/>
          <w:szCs w:val="24"/>
        </w:rPr>
      </w:pPr>
      <w:r>
        <w:rPr>
          <w:sz w:val="24"/>
          <w:szCs w:val="24"/>
        </w:rPr>
        <w:t xml:space="preserve">a najmniej Regionalna Komisja </w:t>
      </w:r>
      <w:r w:rsidRPr="008E742E">
        <w:rPr>
          <w:sz w:val="24"/>
          <w:szCs w:val="24"/>
        </w:rPr>
        <w:t xml:space="preserve">Orzekająca przy RIO </w:t>
      </w:r>
      <w:r>
        <w:rPr>
          <w:sz w:val="24"/>
          <w:szCs w:val="24"/>
        </w:rPr>
        <w:t xml:space="preserve"> w Zielonej Górze (9 obwinionych).</w:t>
      </w:r>
    </w:p>
    <w:p w:rsidR="000B1334" w:rsidRDefault="000B1334" w:rsidP="000B1334">
      <w:pPr>
        <w:pStyle w:val="Tekstpodstawowy211"/>
        <w:tabs>
          <w:tab w:val="clear" w:pos="927"/>
          <w:tab w:val="num" w:pos="900"/>
        </w:tabs>
        <w:overflowPunct/>
        <w:autoSpaceDE/>
        <w:autoSpaceDN/>
        <w:adjustRightInd/>
        <w:spacing w:after="120" w:line="360" w:lineRule="auto"/>
        <w:ind w:left="300"/>
        <w:textAlignment w:val="auto"/>
        <w:rPr>
          <w:sz w:val="24"/>
          <w:szCs w:val="24"/>
        </w:rPr>
      </w:pPr>
      <w:r>
        <w:rPr>
          <w:sz w:val="24"/>
          <w:szCs w:val="24"/>
        </w:rPr>
        <w:t>Z ogółu spraw rozstrzygniętych w 2018 r. przez międzyresortowe komisje orzekające – dotyczących 169 osób – najwięcej spraw rozstrzygnęła Międzyresortowa Komisja Orzekająca przy ministrze właściwym do spraw finansów publicznych – w stosunku do 87 obwinionych. Najmniej spraw rozstrzygnęła Komisja Orzekająca przy Szefie Kancelarii Prezesa Rady Ministrów – orzekła w stosunku do 2 obwinionych, natomiast Wspólna Komisja Orzekająca nie orzekała w roku 2018 z uwagi na brak spraw.</w:t>
      </w:r>
    </w:p>
    <w:p w:rsidR="000B1334" w:rsidRDefault="000B1334" w:rsidP="000B1334">
      <w:pPr>
        <w:pStyle w:val="Tekstpodstawowy211"/>
        <w:tabs>
          <w:tab w:val="clear" w:pos="927"/>
          <w:tab w:val="num" w:pos="900"/>
        </w:tabs>
        <w:overflowPunct/>
        <w:autoSpaceDE/>
        <w:autoSpaceDN/>
        <w:adjustRightInd/>
        <w:spacing w:after="120" w:line="360" w:lineRule="auto"/>
        <w:ind w:left="300"/>
        <w:textAlignment w:val="auto"/>
        <w:rPr>
          <w:sz w:val="24"/>
          <w:szCs w:val="24"/>
        </w:rPr>
        <w:sectPr w:rsidR="000B1334" w:rsidSect="00D21305">
          <w:headerReference w:type="even" r:id="rId25"/>
          <w:headerReference w:type="default" r:id="rId26"/>
          <w:pgSz w:w="11907" w:h="16840" w:code="9"/>
          <w:pgMar w:top="1418" w:right="1418" w:bottom="1140" w:left="1418" w:header="709" w:footer="709" w:gutter="0"/>
          <w:cols w:space="708"/>
        </w:sectPr>
      </w:pPr>
    </w:p>
    <w:p w:rsidR="000B1334" w:rsidRPr="006E0123" w:rsidRDefault="00EA508E" w:rsidP="000B1334">
      <w:pPr>
        <w:pStyle w:val="Tekstpodstawowy211"/>
        <w:tabs>
          <w:tab w:val="clear" w:pos="927"/>
          <w:tab w:val="num" w:pos="300"/>
          <w:tab w:val="num" w:pos="500"/>
        </w:tabs>
        <w:overflowPunct/>
        <w:autoSpaceDE/>
        <w:autoSpaceDN/>
        <w:adjustRightInd/>
        <w:spacing w:after="120" w:line="360" w:lineRule="auto"/>
        <w:ind w:left="301"/>
        <w:textAlignment w:val="auto"/>
        <w:rPr>
          <w:sz w:val="24"/>
          <w:szCs w:val="24"/>
        </w:rPr>
        <w:sectPr w:rsidR="000B1334" w:rsidRPr="006E0123" w:rsidSect="00ED7836">
          <w:pgSz w:w="16840" w:h="11907" w:orient="landscape" w:code="9"/>
          <w:pgMar w:top="1247" w:right="907" w:bottom="1247" w:left="907" w:header="709" w:footer="709" w:gutter="0"/>
          <w:cols w:space="708"/>
        </w:sectPr>
      </w:pPr>
      <w:r>
        <w:rPr>
          <w:noProof/>
        </w:rPr>
        <w:lastRenderedPageBreak/>
        <w:drawing>
          <wp:inline distT="0" distB="0" distL="0" distR="0" wp14:anchorId="6E6AAFC9" wp14:editId="34BCEAA8">
            <wp:extent cx="9144000" cy="6086902"/>
            <wp:effectExtent l="0" t="0" r="38100" b="28575"/>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B1334" w:rsidRDefault="000B1334" w:rsidP="000B1334">
      <w:pPr>
        <w:pStyle w:val="Tekstpodstawowy211"/>
        <w:tabs>
          <w:tab w:val="clear" w:pos="927"/>
          <w:tab w:val="num" w:pos="300"/>
          <w:tab w:val="num" w:pos="500"/>
        </w:tabs>
        <w:overflowPunct/>
        <w:autoSpaceDE/>
        <w:autoSpaceDN/>
        <w:adjustRightInd/>
        <w:spacing w:after="120" w:line="360" w:lineRule="auto"/>
        <w:ind w:left="480"/>
        <w:textAlignment w:val="auto"/>
        <w:rPr>
          <w:sz w:val="24"/>
          <w:szCs w:val="24"/>
        </w:rPr>
      </w:pPr>
      <w:r>
        <w:rPr>
          <w:sz w:val="24"/>
          <w:szCs w:val="24"/>
        </w:rPr>
        <w:lastRenderedPageBreak/>
        <w:t xml:space="preserve">Powyższe dane wskazują na utrzymujące się dysproporcje w obciążeniu pracą poszczególnych komisji orzekających. Zdecydowana większość, tj. 83,9 % spraw rozstrzygana jest przez regionalne komisje orzekające. </w:t>
      </w:r>
    </w:p>
    <w:p w:rsidR="000B1334" w:rsidRPr="00F06BF5" w:rsidRDefault="000B1334" w:rsidP="000B1334">
      <w:pPr>
        <w:pStyle w:val="Tekstpodstawowy211"/>
        <w:numPr>
          <w:ilvl w:val="0"/>
          <w:numId w:val="22"/>
        </w:numPr>
        <w:tabs>
          <w:tab w:val="clear" w:pos="927"/>
          <w:tab w:val="num" w:pos="2868"/>
        </w:tabs>
        <w:overflowPunct/>
        <w:autoSpaceDE/>
        <w:autoSpaceDN/>
        <w:adjustRightInd/>
        <w:spacing w:after="120" w:line="360" w:lineRule="auto"/>
        <w:textAlignment w:val="auto"/>
        <w:rPr>
          <w:b/>
          <w:sz w:val="24"/>
          <w:szCs w:val="24"/>
        </w:rPr>
      </w:pPr>
      <w:r>
        <w:rPr>
          <w:b/>
          <w:sz w:val="24"/>
          <w:szCs w:val="24"/>
        </w:rPr>
        <w:t>Sposób rozstrzygnięcia spraw w roku sprawozdawczym.</w:t>
      </w:r>
    </w:p>
    <w:p w:rsidR="000B1334" w:rsidRPr="00B75BCB" w:rsidRDefault="000B1334" w:rsidP="000B1334">
      <w:pPr>
        <w:pStyle w:val="Tekstpodstawowy"/>
        <w:spacing w:after="120" w:line="360" w:lineRule="auto"/>
        <w:ind w:left="480"/>
      </w:pPr>
      <w:r w:rsidRPr="00B75BCB">
        <w:t>Na podstawie art. 135</w:t>
      </w:r>
      <w:r>
        <w:t xml:space="preserve"> </w:t>
      </w:r>
      <w:r w:rsidRPr="00B75BCB">
        <w:t>ust. 1 uondfp</w:t>
      </w:r>
      <w:r>
        <w:t>, komisje orzekające rozpoznają wnioski o ukaranie składane przez rzecznika dyscypliny finansów publicznych i wydają orzeczenia o </w:t>
      </w:r>
      <w:r w:rsidRPr="00B75BCB">
        <w:t>odpowiedzialności za naruszenie dyscypliny finansów publicznych</w:t>
      </w:r>
      <w:r>
        <w:t>, uniewinnieniu</w:t>
      </w:r>
      <w:r w:rsidRPr="00B75BCB">
        <w:t xml:space="preserve"> albo umorzeniu postępowania.</w:t>
      </w:r>
    </w:p>
    <w:p w:rsidR="000B1334" w:rsidRDefault="000B1334" w:rsidP="000B1334">
      <w:pPr>
        <w:pStyle w:val="Tekstpodstawowy"/>
        <w:spacing w:after="120" w:line="360" w:lineRule="auto"/>
        <w:ind w:left="480"/>
      </w:pPr>
      <w:r>
        <w:t>Komisje orzekające pierwszej</w:t>
      </w:r>
      <w:r w:rsidRPr="00901C3F">
        <w:t xml:space="preserve"> instancji wydały </w:t>
      </w:r>
      <w:r>
        <w:t xml:space="preserve">w 2018 r. </w:t>
      </w:r>
      <w:r w:rsidRPr="00901C3F">
        <w:t>orzeczenia</w:t>
      </w:r>
      <w:r>
        <w:t xml:space="preserve"> wobec 935 </w:t>
      </w:r>
      <w:r w:rsidRPr="00901C3F">
        <w:t>obwinionych</w:t>
      </w:r>
      <w:r>
        <w:t xml:space="preserve">, na </w:t>
      </w:r>
      <w:r w:rsidRPr="00901C3F">
        <w:t>mocy których:</w:t>
      </w:r>
    </w:p>
    <w:p w:rsidR="000B1334" w:rsidRPr="00901C3F" w:rsidRDefault="000B1334" w:rsidP="000B1334">
      <w:pPr>
        <w:numPr>
          <w:ilvl w:val="1"/>
          <w:numId w:val="22"/>
        </w:numPr>
        <w:tabs>
          <w:tab w:val="left" w:pos="700"/>
        </w:tabs>
        <w:spacing w:line="360" w:lineRule="auto"/>
        <w:jc w:val="both"/>
      </w:pPr>
      <w:r>
        <w:tab/>
      </w:r>
      <w:r w:rsidRPr="004200EC">
        <w:t>uniewinniono</w:t>
      </w:r>
      <w:r>
        <w:t xml:space="preserve"> 218 osób</w:t>
      </w:r>
      <w:r w:rsidRPr="00901C3F">
        <w:t xml:space="preserve">, tj. </w:t>
      </w:r>
      <w:r>
        <w:t>23,3 </w:t>
      </w:r>
      <w:r w:rsidRPr="00901C3F">
        <w:t>% wszystkich obwinionych</w:t>
      </w:r>
      <w:r>
        <w:t>,</w:t>
      </w:r>
      <w:r w:rsidRPr="00901C3F">
        <w:t xml:space="preserve"> wobec których wydano orzeczenia, w tym w:</w:t>
      </w:r>
    </w:p>
    <w:p w:rsidR="000B1334" w:rsidRPr="00901C3F" w:rsidRDefault="000B1334" w:rsidP="000B1334">
      <w:pPr>
        <w:numPr>
          <w:ilvl w:val="0"/>
          <w:numId w:val="35"/>
        </w:numPr>
        <w:tabs>
          <w:tab w:val="left" w:pos="1100"/>
        </w:tabs>
        <w:spacing w:line="360" w:lineRule="auto"/>
        <w:ind w:left="1240" w:hanging="400"/>
        <w:jc w:val="both"/>
      </w:pPr>
      <w:r>
        <w:t>regionalny</w:t>
      </w:r>
      <w:r w:rsidRPr="00901C3F">
        <w:t xml:space="preserve">ch komisjach orzekających </w:t>
      </w:r>
      <w:r>
        <w:t>174</w:t>
      </w:r>
      <w:r w:rsidRPr="00901C3F">
        <w:t xml:space="preserve"> os</w:t>
      </w:r>
      <w:r>
        <w:t>oby</w:t>
      </w:r>
      <w:r w:rsidRPr="00901C3F">
        <w:t xml:space="preserve">, co stanowi </w:t>
      </w:r>
      <w:r>
        <w:t>79,8 %</w:t>
      </w:r>
      <w:r w:rsidRPr="00901C3F">
        <w:t xml:space="preserve"> wszystkich uniewinnionych,</w:t>
      </w:r>
    </w:p>
    <w:p w:rsidR="000B1334" w:rsidRDefault="000B1334" w:rsidP="000B1334">
      <w:pPr>
        <w:numPr>
          <w:ilvl w:val="0"/>
          <w:numId w:val="35"/>
        </w:numPr>
        <w:tabs>
          <w:tab w:val="left" w:pos="1100"/>
        </w:tabs>
        <w:spacing w:line="360" w:lineRule="auto"/>
        <w:ind w:left="1240" w:hanging="400"/>
        <w:jc w:val="both"/>
      </w:pPr>
      <w:r>
        <w:t>między</w:t>
      </w:r>
      <w:r w:rsidRPr="00901C3F">
        <w:t>resortowych komisjach orzekających</w:t>
      </w:r>
      <w:r>
        <w:t xml:space="preserve"> 43 osoby</w:t>
      </w:r>
      <w:r w:rsidRPr="00901C3F">
        <w:t xml:space="preserve">, co stanowi </w:t>
      </w:r>
      <w:r>
        <w:t>19,7 </w:t>
      </w:r>
      <w:r w:rsidRPr="00901C3F">
        <w:t>% wszystkich uniewinnionych,</w:t>
      </w:r>
    </w:p>
    <w:p w:rsidR="000B1334" w:rsidRPr="00901C3F" w:rsidRDefault="000B1334" w:rsidP="000B1334">
      <w:pPr>
        <w:numPr>
          <w:ilvl w:val="0"/>
          <w:numId w:val="35"/>
        </w:numPr>
        <w:tabs>
          <w:tab w:val="left" w:pos="1100"/>
        </w:tabs>
        <w:spacing w:line="360" w:lineRule="auto"/>
        <w:ind w:left="1242" w:hanging="403"/>
        <w:jc w:val="both"/>
      </w:pPr>
      <w:r>
        <w:t>Komisji Orzekającej przy Szefie Kancelarii Prezesa Rady Ministrów</w:t>
      </w:r>
      <w:r w:rsidRPr="00901C3F">
        <w:t xml:space="preserve"> </w:t>
      </w:r>
      <w:r>
        <w:t xml:space="preserve">1 </w:t>
      </w:r>
      <w:r w:rsidRPr="00901C3F">
        <w:t>o</w:t>
      </w:r>
      <w:r>
        <w:t>sobę, co stanowi 0,5 </w:t>
      </w:r>
      <w:r w:rsidRPr="00A85DB1">
        <w:t>% wszystkich uniewinnionych</w:t>
      </w:r>
      <w:r>
        <w:t>,</w:t>
      </w:r>
    </w:p>
    <w:p w:rsidR="000B1334" w:rsidRPr="00901C3F" w:rsidRDefault="000B1334" w:rsidP="000B1334">
      <w:pPr>
        <w:numPr>
          <w:ilvl w:val="0"/>
          <w:numId w:val="23"/>
        </w:numPr>
        <w:tabs>
          <w:tab w:val="left" w:pos="1000"/>
        </w:tabs>
        <w:spacing w:line="360" w:lineRule="auto"/>
        <w:jc w:val="both"/>
      </w:pPr>
      <w:r w:rsidRPr="004067A8">
        <w:t>uznano odpowiedzialnymi za naruszenie dyscypliny finansów publicznych</w:t>
      </w:r>
      <w:r w:rsidRPr="004067A8">
        <w:rPr>
          <w:b/>
        </w:rPr>
        <w:t xml:space="preserve"> </w:t>
      </w:r>
      <w:r>
        <w:t>717 osób</w:t>
      </w:r>
      <w:r w:rsidRPr="004067A8">
        <w:t>,</w:t>
      </w:r>
      <w:r w:rsidRPr="00901C3F">
        <w:t xml:space="preserve"> tj. </w:t>
      </w:r>
      <w:r>
        <w:t>76,7 </w:t>
      </w:r>
      <w:r w:rsidRPr="00901C3F">
        <w:t>% wszystkich obwinionych</w:t>
      </w:r>
      <w:r>
        <w:t>,</w:t>
      </w:r>
      <w:r w:rsidRPr="00901C3F">
        <w:t xml:space="preserve"> wob</w:t>
      </w:r>
      <w:r>
        <w:t>ec których wydano orzeczenia, z </w:t>
      </w:r>
      <w:r w:rsidRPr="00901C3F">
        <w:t>tego:</w:t>
      </w:r>
    </w:p>
    <w:p w:rsidR="000B1334" w:rsidRPr="00901C3F" w:rsidRDefault="000B1334" w:rsidP="000B1334">
      <w:pPr>
        <w:numPr>
          <w:ilvl w:val="0"/>
          <w:numId w:val="35"/>
        </w:numPr>
        <w:tabs>
          <w:tab w:val="left" w:pos="1080"/>
        </w:tabs>
        <w:spacing w:line="360" w:lineRule="auto"/>
        <w:ind w:left="1240" w:hanging="400"/>
        <w:jc w:val="both"/>
      </w:pPr>
      <w:r w:rsidRPr="00901C3F">
        <w:t xml:space="preserve">regionalne </w:t>
      </w:r>
      <w:r>
        <w:t xml:space="preserve">komisje orzekające </w:t>
      </w:r>
      <w:r w:rsidRPr="00901C3F">
        <w:t>orzekł</w:t>
      </w:r>
      <w:r>
        <w:t>y o uznaniu odpowiedzialności za </w:t>
      </w:r>
      <w:r w:rsidRPr="00901C3F">
        <w:t xml:space="preserve">naruszenie dyscypliny finansów publicznych </w:t>
      </w:r>
      <w:r>
        <w:t>–</w:t>
      </w:r>
      <w:r w:rsidRPr="00901C3F">
        <w:t xml:space="preserve"> </w:t>
      </w:r>
      <w:r>
        <w:t>w stosunku do 597</w:t>
      </w:r>
      <w:r w:rsidRPr="00260CF3">
        <w:t xml:space="preserve"> </w:t>
      </w:r>
      <w:r w:rsidRPr="00901C3F">
        <w:t>os</w:t>
      </w:r>
      <w:r>
        <w:t>ób, co </w:t>
      </w:r>
      <w:r w:rsidRPr="00901C3F">
        <w:t xml:space="preserve">stanowi </w:t>
      </w:r>
      <w:r>
        <w:t>83,3 </w:t>
      </w:r>
      <w:r w:rsidRPr="00901C3F">
        <w:t>% obwinionych</w:t>
      </w:r>
      <w:r>
        <w:t>,</w:t>
      </w:r>
      <w:r w:rsidRPr="00901C3F">
        <w:t xml:space="preserve"> którym przypisano odpowiedzialność,</w:t>
      </w:r>
    </w:p>
    <w:p w:rsidR="000B1334" w:rsidRDefault="000B1334" w:rsidP="000B1334">
      <w:pPr>
        <w:numPr>
          <w:ilvl w:val="0"/>
          <w:numId w:val="35"/>
        </w:numPr>
        <w:tabs>
          <w:tab w:val="left" w:pos="1080"/>
        </w:tabs>
        <w:spacing w:line="360" w:lineRule="auto"/>
        <w:ind w:left="1240" w:hanging="400"/>
        <w:jc w:val="both"/>
      </w:pPr>
      <w:r>
        <w:t>międzyresortowe komisje orzekające</w:t>
      </w:r>
      <w:r w:rsidRPr="00901C3F">
        <w:t xml:space="preserve"> orzekł</w:t>
      </w:r>
      <w:r>
        <w:t>y o uznaniu odpowiedzialności za </w:t>
      </w:r>
      <w:r w:rsidRPr="00901C3F">
        <w:t xml:space="preserve">naruszenie dyscypliny finansów publicznych </w:t>
      </w:r>
      <w:r>
        <w:t>–</w:t>
      </w:r>
      <w:r w:rsidRPr="00901C3F">
        <w:t xml:space="preserve"> </w:t>
      </w:r>
      <w:r>
        <w:t>w stosunku do 119</w:t>
      </w:r>
      <w:r w:rsidRPr="00260CF3">
        <w:t xml:space="preserve"> </w:t>
      </w:r>
      <w:r w:rsidRPr="00901C3F">
        <w:t>os</w:t>
      </w:r>
      <w:r>
        <w:t>ób</w:t>
      </w:r>
      <w:r w:rsidRPr="00901C3F">
        <w:t>,</w:t>
      </w:r>
      <w:r>
        <w:t xml:space="preserve"> co </w:t>
      </w:r>
      <w:r w:rsidRPr="00901C3F">
        <w:t xml:space="preserve">stanowi </w:t>
      </w:r>
      <w:r>
        <w:t>16,6 </w:t>
      </w:r>
      <w:r w:rsidRPr="00901C3F">
        <w:t>% obwinionych</w:t>
      </w:r>
      <w:r>
        <w:t>,</w:t>
      </w:r>
      <w:r w:rsidRPr="00901C3F">
        <w:t xml:space="preserve"> któ</w:t>
      </w:r>
      <w:r>
        <w:t>rym przypisano odpowiedzialność,</w:t>
      </w:r>
    </w:p>
    <w:p w:rsidR="000B1334" w:rsidRPr="00BB409D" w:rsidRDefault="000B1334" w:rsidP="000B1334">
      <w:pPr>
        <w:numPr>
          <w:ilvl w:val="0"/>
          <w:numId w:val="35"/>
        </w:numPr>
        <w:tabs>
          <w:tab w:val="left" w:pos="1080"/>
        </w:tabs>
        <w:spacing w:after="120" w:line="360" w:lineRule="auto"/>
        <w:ind w:left="1240" w:hanging="400"/>
        <w:jc w:val="both"/>
      </w:pPr>
      <w:r>
        <w:t>Komisja Orzekająca</w:t>
      </w:r>
      <w:r w:rsidRPr="00BB409D">
        <w:t xml:space="preserve"> przy Szefie Kancelarii Prezesa Rady Ministrów </w:t>
      </w:r>
      <w:r>
        <w:t xml:space="preserve">w stosunku do </w:t>
      </w:r>
      <w:r w:rsidRPr="00BB409D">
        <w:t>1 osob</w:t>
      </w:r>
      <w:r>
        <w:t>y</w:t>
      </w:r>
      <w:r w:rsidRPr="00BB409D">
        <w:t>, co stanowi 0,</w:t>
      </w:r>
      <w:r>
        <w:t>1</w:t>
      </w:r>
      <w:r w:rsidRPr="00BB409D">
        <w:t> % wszystkich, którym przypisano odpowiedzialność.</w:t>
      </w:r>
    </w:p>
    <w:p w:rsidR="000B1334" w:rsidRDefault="000B1334" w:rsidP="000B1334">
      <w:pPr>
        <w:tabs>
          <w:tab w:val="left" w:pos="1080"/>
        </w:tabs>
        <w:spacing w:after="120" w:line="360" w:lineRule="auto"/>
        <w:ind w:left="1418" w:hanging="1418"/>
        <w:jc w:val="both"/>
      </w:pPr>
      <w:r>
        <w:br w:type="page"/>
      </w:r>
      <w:r w:rsidR="00951915">
        <w:lastRenderedPageBreak/>
        <w:t>Wykres nr 10</w:t>
      </w:r>
      <w:r>
        <w:t>: O</w:t>
      </w:r>
      <w:r w:rsidRPr="00F40015">
        <w:t xml:space="preserve">rzeczenia w kwestii odpowiedzialności za naruszenie dyscypliny finansów publicznych </w:t>
      </w:r>
      <w:r>
        <w:t>w</w:t>
      </w:r>
      <w:r w:rsidRPr="00F40015">
        <w:t>ydane</w:t>
      </w:r>
      <w:r>
        <w:t xml:space="preserve"> w latach 2015 – 2018 (ujęcie porównawcze)</w:t>
      </w:r>
    </w:p>
    <w:p w:rsidR="000B1334" w:rsidRPr="00EB7948" w:rsidRDefault="000B1334" w:rsidP="000B1334">
      <w:pPr>
        <w:tabs>
          <w:tab w:val="left" w:pos="1080"/>
        </w:tabs>
        <w:spacing w:after="120" w:line="360" w:lineRule="auto"/>
        <w:jc w:val="both"/>
      </w:pPr>
      <w:r>
        <w:rPr>
          <w:noProof/>
        </w:rPr>
        <w:drawing>
          <wp:inline distT="0" distB="0" distL="0" distR="0" wp14:anchorId="127DD823" wp14:editId="00D967F2">
            <wp:extent cx="5760085" cy="3356610"/>
            <wp:effectExtent l="0" t="0" r="31115" b="34290"/>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Del="00E82F6F">
        <w:rPr>
          <w:noProof/>
        </w:rPr>
        <w:t xml:space="preserve"> </w:t>
      </w:r>
    </w:p>
    <w:p w:rsidR="000B1334" w:rsidRDefault="000B1334" w:rsidP="000B1334">
      <w:pPr>
        <w:tabs>
          <w:tab w:val="left" w:pos="1000"/>
        </w:tabs>
        <w:spacing w:before="240" w:line="360" w:lineRule="auto"/>
        <w:ind w:firstLine="301"/>
        <w:jc w:val="both"/>
      </w:pPr>
      <w:r>
        <w:t>Ponadto, umorzono postępowanie w</w:t>
      </w:r>
      <w:r w:rsidRPr="00786013">
        <w:t xml:space="preserve">obec </w:t>
      </w:r>
      <w:r>
        <w:t>128</w:t>
      </w:r>
      <w:r w:rsidRPr="00786013">
        <w:t xml:space="preserve"> osób</w:t>
      </w:r>
      <w:r>
        <w:t>,</w:t>
      </w:r>
      <w:r w:rsidRPr="00786013">
        <w:t xml:space="preserve"> przy czym w</w:t>
      </w:r>
      <w:r>
        <w:t>:</w:t>
      </w:r>
    </w:p>
    <w:p w:rsidR="000B1334" w:rsidRDefault="000B1334" w:rsidP="000B1334">
      <w:pPr>
        <w:numPr>
          <w:ilvl w:val="0"/>
          <w:numId w:val="35"/>
        </w:numPr>
        <w:tabs>
          <w:tab w:val="left" w:pos="1080"/>
        </w:tabs>
        <w:spacing w:line="360" w:lineRule="auto"/>
        <w:ind w:left="360" w:hanging="60"/>
        <w:jc w:val="both"/>
      </w:pPr>
      <w:r w:rsidRPr="00786013">
        <w:t>regionalnych komisjach orzekających</w:t>
      </w:r>
      <w:r>
        <w:t xml:space="preserve"> wobec 121 osób, </w:t>
      </w:r>
    </w:p>
    <w:p w:rsidR="000B1334" w:rsidRPr="00B65A5E" w:rsidRDefault="000B1334" w:rsidP="000B1334">
      <w:pPr>
        <w:numPr>
          <w:ilvl w:val="0"/>
          <w:numId w:val="35"/>
        </w:numPr>
        <w:tabs>
          <w:tab w:val="left" w:pos="1080"/>
        </w:tabs>
        <w:spacing w:after="120" w:line="360" w:lineRule="auto"/>
        <w:ind w:left="363" w:hanging="62"/>
        <w:jc w:val="both"/>
      </w:pPr>
      <w:r>
        <w:t>między</w:t>
      </w:r>
      <w:r w:rsidRPr="00B65A5E">
        <w:t>resortowych</w:t>
      </w:r>
      <w:r>
        <w:t xml:space="preserve"> komisjach orzekających wobec 7 osób.</w:t>
      </w:r>
    </w:p>
    <w:p w:rsidR="000B1334" w:rsidRDefault="000B1334" w:rsidP="000B1334">
      <w:pPr>
        <w:pStyle w:val="Tekstpodstawowywcity2"/>
        <w:tabs>
          <w:tab w:val="clear" w:pos="720"/>
        </w:tabs>
        <w:ind w:left="301"/>
        <w:rPr>
          <w:i w:val="0"/>
          <w:sz w:val="24"/>
        </w:rPr>
      </w:pPr>
      <w:r>
        <w:rPr>
          <w:i w:val="0"/>
          <w:iCs w:val="0"/>
          <w:sz w:val="24"/>
          <w:szCs w:val="20"/>
        </w:rPr>
        <w:t>W</w:t>
      </w:r>
      <w:r w:rsidRPr="0058392A">
        <w:rPr>
          <w:i w:val="0"/>
          <w:iCs w:val="0"/>
          <w:sz w:val="24"/>
          <w:szCs w:val="20"/>
        </w:rPr>
        <w:t xml:space="preserve">nioski </w:t>
      </w:r>
      <w:r>
        <w:rPr>
          <w:i w:val="0"/>
          <w:iCs w:val="0"/>
          <w:sz w:val="24"/>
          <w:szCs w:val="20"/>
        </w:rPr>
        <w:t>o ukaranie rozpoznane w 2018 r.,</w:t>
      </w:r>
      <w:r w:rsidRPr="0058392A">
        <w:rPr>
          <w:i w:val="0"/>
          <w:iCs w:val="0"/>
          <w:sz w:val="24"/>
          <w:szCs w:val="20"/>
        </w:rPr>
        <w:t xml:space="preserve"> najczęściej nie kończyły się przypisaniem odpowiedzialności </w:t>
      </w:r>
      <w:r w:rsidRPr="00786013">
        <w:rPr>
          <w:i w:val="0"/>
          <w:sz w:val="24"/>
        </w:rPr>
        <w:t>w</w:t>
      </w:r>
      <w:r>
        <w:rPr>
          <w:i w:val="0"/>
          <w:sz w:val="24"/>
        </w:rPr>
        <w:t>:</w:t>
      </w:r>
    </w:p>
    <w:p w:rsidR="000B1334" w:rsidRDefault="000B1334" w:rsidP="000B1334">
      <w:pPr>
        <w:pStyle w:val="Tekstpodstawowy"/>
        <w:numPr>
          <w:ilvl w:val="0"/>
          <w:numId w:val="33"/>
        </w:numPr>
        <w:tabs>
          <w:tab w:val="clear" w:pos="1092"/>
          <w:tab w:val="num" w:pos="661"/>
          <w:tab w:val="num" w:pos="3660"/>
        </w:tabs>
        <w:spacing w:line="360" w:lineRule="auto"/>
        <w:ind w:left="661"/>
      </w:pPr>
      <w:r w:rsidRPr="00EC270F">
        <w:t xml:space="preserve">Regionalnej Komisji Orzekającej przy RIO w </w:t>
      </w:r>
      <w:r>
        <w:t>Katowicach – ze spraw rozstrzygniętych w </w:t>
      </w:r>
      <w:r w:rsidRPr="00EC270F">
        <w:t xml:space="preserve">stosunku do </w:t>
      </w:r>
      <w:r>
        <w:t>105</w:t>
      </w:r>
      <w:r w:rsidRPr="00EC270F">
        <w:t xml:space="preserve"> obwinionych, </w:t>
      </w:r>
      <w:r>
        <w:t>75</w:t>
      </w:r>
      <w:r w:rsidRPr="00EC270F">
        <w:t xml:space="preserve"> osobom (czyli </w:t>
      </w:r>
      <w:r>
        <w:t>71,4 </w:t>
      </w:r>
      <w:r w:rsidRPr="00EC270F">
        <w:t>%) n</w:t>
      </w:r>
      <w:r>
        <w:t>ie przypisano odpowiedzialności,</w:t>
      </w:r>
    </w:p>
    <w:p w:rsidR="000B1334" w:rsidRPr="00EC270F" w:rsidRDefault="000B1334" w:rsidP="000B1334">
      <w:pPr>
        <w:pStyle w:val="Tekstpodstawowy"/>
        <w:numPr>
          <w:ilvl w:val="0"/>
          <w:numId w:val="33"/>
        </w:numPr>
        <w:tabs>
          <w:tab w:val="clear" w:pos="1092"/>
          <w:tab w:val="num" w:pos="661"/>
          <w:tab w:val="num" w:pos="3660"/>
        </w:tabs>
        <w:spacing w:line="360" w:lineRule="auto"/>
        <w:ind w:left="661"/>
      </w:pPr>
      <w:r w:rsidRPr="00EC270F">
        <w:t xml:space="preserve">Regionalnej Komisji Orzekającej przy RIO w </w:t>
      </w:r>
      <w:r>
        <w:t xml:space="preserve">Opolu </w:t>
      </w:r>
      <w:r w:rsidRPr="00EC270F">
        <w:t>– ze spraw r</w:t>
      </w:r>
      <w:r>
        <w:t>ozstrzygniętych w stosunku do 30 obwinionych, 15</w:t>
      </w:r>
      <w:r w:rsidRPr="00EC270F">
        <w:t xml:space="preserve"> osobom (czyli </w:t>
      </w:r>
      <w:r>
        <w:t>50 </w:t>
      </w:r>
      <w:r w:rsidRPr="00EC270F">
        <w:t>%) nie przypisano odpowiedzialności,</w:t>
      </w:r>
    </w:p>
    <w:p w:rsidR="000B1334" w:rsidRDefault="000B1334" w:rsidP="000B1334">
      <w:pPr>
        <w:pStyle w:val="Tekstpodstawowy"/>
        <w:numPr>
          <w:ilvl w:val="0"/>
          <w:numId w:val="33"/>
        </w:numPr>
        <w:tabs>
          <w:tab w:val="clear" w:pos="1092"/>
          <w:tab w:val="num" w:pos="661"/>
          <w:tab w:val="num" w:pos="3660"/>
        </w:tabs>
        <w:spacing w:line="360" w:lineRule="auto"/>
        <w:ind w:left="661"/>
      </w:pPr>
      <w:r w:rsidRPr="00EC270F">
        <w:t xml:space="preserve">Regionalnej Komisji Orzekającej przy RIO w </w:t>
      </w:r>
      <w:r>
        <w:t>Krakowie</w:t>
      </w:r>
      <w:r w:rsidRPr="00EC270F">
        <w:t xml:space="preserve"> – ze spraw rozstrzygniętych w</w:t>
      </w:r>
      <w:r>
        <w:t> </w:t>
      </w:r>
      <w:r w:rsidRPr="00EC270F">
        <w:t xml:space="preserve">stosunku do </w:t>
      </w:r>
      <w:r>
        <w:t>76</w:t>
      </w:r>
      <w:r w:rsidRPr="00EC270F">
        <w:t xml:space="preserve"> obwinionych, </w:t>
      </w:r>
      <w:r>
        <w:t>32</w:t>
      </w:r>
      <w:r w:rsidRPr="00EC270F">
        <w:t xml:space="preserve"> osobom (czyli </w:t>
      </w:r>
      <w:r>
        <w:t>42,1 </w:t>
      </w:r>
      <w:r w:rsidRPr="00EC270F">
        <w:t>%) n</w:t>
      </w:r>
      <w:r>
        <w:t>ie przypisano odpowiedzialności,</w:t>
      </w:r>
    </w:p>
    <w:p w:rsidR="000B1334" w:rsidRDefault="000B1334" w:rsidP="000B1334">
      <w:pPr>
        <w:pStyle w:val="Tekstpodstawowy"/>
        <w:numPr>
          <w:ilvl w:val="0"/>
          <w:numId w:val="33"/>
        </w:numPr>
        <w:tabs>
          <w:tab w:val="clear" w:pos="1092"/>
          <w:tab w:val="num" w:pos="661"/>
          <w:tab w:val="num" w:pos="3660"/>
        </w:tabs>
        <w:spacing w:after="120" w:line="360" w:lineRule="auto"/>
        <w:ind w:left="658" w:hanging="357"/>
      </w:pPr>
      <w:r>
        <w:t xml:space="preserve">Międzyresortowej Komisji Orzekającej przy Ministrze Sprawiedliwości – </w:t>
      </w:r>
      <w:r w:rsidRPr="00EC270F">
        <w:t xml:space="preserve">ze spraw rozstrzygniętych w stosunku do </w:t>
      </w:r>
      <w:r>
        <w:t>29</w:t>
      </w:r>
      <w:r w:rsidRPr="00EC270F">
        <w:t xml:space="preserve"> obwinionych, </w:t>
      </w:r>
      <w:r>
        <w:t>16</w:t>
      </w:r>
      <w:r w:rsidRPr="00EC270F">
        <w:t xml:space="preserve"> osobom (czyli </w:t>
      </w:r>
      <w:r>
        <w:t>55,2 </w:t>
      </w:r>
      <w:r w:rsidRPr="00EC270F">
        <w:t>%) n</w:t>
      </w:r>
      <w:r>
        <w:t>ie przypisano odpowiedzialności.</w:t>
      </w:r>
    </w:p>
    <w:p w:rsidR="000B1334" w:rsidRDefault="000B1334" w:rsidP="000B1334">
      <w:pPr>
        <w:pStyle w:val="Tekstpodstawowy"/>
        <w:tabs>
          <w:tab w:val="num" w:pos="3660"/>
        </w:tabs>
        <w:spacing w:line="360" w:lineRule="auto"/>
        <w:ind w:left="301"/>
      </w:pPr>
      <w:r w:rsidRPr="00FE7E02">
        <w:lastRenderedPageBreak/>
        <w:t>Ponadto</w:t>
      </w:r>
      <w:r>
        <w:t>,</w:t>
      </w:r>
      <w:r w:rsidRPr="00FE7E02">
        <w:t xml:space="preserve"> Komisja Orzekająca </w:t>
      </w:r>
      <w:r>
        <w:t xml:space="preserve">przy Szefie </w:t>
      </w:r>
      <w:r w:rsidRPr="00EC1851">
        <w:t>Kancelarii Prezesa Rady Ministrów</w:t>
      </w:r>
      <w:r w:rsidRPr="00EC1851" w:rsidDel="00EC1851">
        <w:t xml:space="preserve"> </w:t>
      </w:r>
      <w:r>
        <w:t xml:space="preserve"> </w:t>
      </w:r>
      <w:r w:rsidRPr="00FE7E02">
        <w:t xml:space="preserve">rozpoznała </w:t>
      </w:r>
      <w:r>
        <w:t xml:space="preserve">dwie </w:t>
      </w:r>
      <w:r w:rsidRPr="00FE7E02">
        <w:t>spraw</w:t>
      </w:r>
      <w:r>
        <w:t>y, uniewinniając 1 obwinionego.</w:t>
      </w:r>
    </w:p>
    <w:p w:rsidR="000B1334" w:rsidRDefault="000B1334" w:rsidP="000B1334">
      <w:pPr>
        <w:pStyle w:val="Tekstpodstawowy"/>
        <w:tabs>
          <w:tab w:val="num" w:pos="3660"/>
        </w:tabs>
        <w:spacing w:line="360" w:lineRule="auto"/>
      </w:pPr>
    </w:p>
    <w:p w:rsidR="000B1334" w:rsidRDefault="000B1334" w:rsidP="000B1334">
      <w:pPr>
        <w:pStyle w:val="Tekstpodstawowywcity2"/>
        <w:numPr>
          <w:ilvl w:val="0"/>
          <w:numId w:val="24"/>
        </w:numPr>
        <w:tabs>
          <w:tab w:val="clear" w:pos="720"/>
        </w:tabs>
        <w:spacing w:after="120"/>
        <w:ind w:left="476" w:hanging="357"/>
        <w:rPr>
          <w:b/>
          <w:i w:val="0"/>
          <w:sz w:val="24"/>
        </w:rPr>
      </w:pPr>
      <w:r w:rsidRPr="00F06BF5">
        <w:rPr>
          <w:b/>
          <w:i w:val="0"/>
          <w:sz w:val="24"/>
        </w:rPr>
        <w:t>Orzeczenia o uznaniu odpowiedzialnym za naruszenie dyscypliny finansów publicznych</w:t>
      </w:r>
      <w:r>
        <w:rPr>
          <w:b/>
          <w:i w:val="0"/>
          <w:sz w:val="24"/>
        </w:rPr>
        <w:t>.</w:t>
      </w:r>
      <w:r w:rsidRPr="00F06BF5">
        <w:rPr>
          <w:b/>
          <w:i w:val="0"/>
          <w:sz w:val="24"/>
        </w:rPr>
        <w:t xml:space="preserve"> </w:t>
      </w:r>
    </w:p>
    <w:p w:rsidR="000B1334" w:rsidRDefault="000B1334" w:rsidP="000B1334">
      <w:pPr>
        <w:pStyle w:val="Tekstpodstawowy"/>
        <w:spacing w:after="120" w:line="360" w:lineRule="auto"/>
        <w:ind w:left="480"/>
      </w:pPr>
      <w:r>
        <w:t>Zgodnie z art. 31 uondfp, komisje orzekające mogą wymierzyć karę upomnienia, nagany, karę pieniężną oraz karę zakazu pełnienia funkcji związanych z dysponowaniem środkami publicznymi. W przypadkach zasługujących na szczególne uwzględnienie, na podstawie art. 36 uondfp, komisje orzekające mogą odstąpić od wymierzenia kary.</w:t>
      </w:r>
    </w:p>
    <w:p w:rsidR="000B1334" w:rsidRDefault="000B1334" w:rsidP="000B1334">
      <w:pPr>
        <w:pStyle w:val="Tekstpodstawowy"/>
        <w:numPr>
          <w:ilvl w:val="0"/>
          <w:numId w:val="11"/>
        </w:numPr>
        <w:spacing w:line="360" w:lineRule="auto"/>
        <w:ind w:left="720" w:hanging="357"/>
      </w:pPr>
      <w:r>
        <w:t>Spośród 717 osób uznanych odpowiedzialnymi naruszenia dyscypliny finansów publicznych:</w:t>
      </w:r>
    </w:p>
    <w:p w:rsidR="000B1334" w:rsidRDefault="000B1334" w:rsidP="000B1334">
      <w:pPr>
        <w:pStyle w:val="Tekstpodstawowy"/>
        <w:numPr>
          <w:ilvl w:val="0"/>
          <w:numId w:val="12"/>
        </w:numPr>
        <w:spacing w:line="360" w:lineRule="auto"/>
        <w:ind w:hanging="357"/>
      </w:pPr>
      <w:r>
        <w:t>597 obwinionym</w:t>
      </w:r>
      <w:r w:rsidRPr="00A470C1">
        <w:t xml:space="preserve"> </w:t>
      </w:r>
      <w:r>
        <w:t>odpowiedzialność przypisały regionalne komisje orzekające,</w:t>
      </w:r>
    </w:p>
    <w:p w:rsidR="000B1334" w:rsidRDefault="000B1334" w:rsidP="000B1334">
      <w:pPr>
        <w:pStyle w:val="Tekstpodstawowy"/>
        <w:numPr>
          <w:ilvl w:val="0"/>
          <w:numId w:val="12"/>
        </w:numPr>
        <w:spacing w:line="360" w:lineRule="auto"/>
        <w:ind w:hanging="357"/>
      </w:pPr>
      <w:r>
        <w:t>119 obwinionym odpowiedzialność przypisały międzyresortowe komisje</w:t>
      </w:r>
      <w:r w:rsidRPr="00CA3EB0">
        <w:t xml:space="preserve"> orzekają</w:t>
      </w:r>
      <w:r>
        <w:t>ce,</w:t>
      </w:r>
    </w:p>
    <w:p w:rsidR="000B1334" w:rsidRDefault="000B1334" w:rsidP="000B1334">
      <w:pPr>
        <w:pStyle w:val="Tekstpodstawowy"/>
        <w:numPr>
          <w:ilvl w:val="0"/>
          <w:numId w:val="12"/>
        </w:numPr>
        <w:spacing w:after="120" w:line="360" w:lineRule="auto"/>
        <w:ind w:hanging="357"/>
      </w:pPr>
      <w:r>
        <w:t xml:space="preserve">1 obwinionemu odpowiedzialność przypisała Komisja </w:t>
      </w:r>
      <w:r>
        <w:rPr>
          <w:szCs w:val="24"/>
        </w:rPr>
        <w:t>Orzekająca przy Szefie Kancelarii Prezesa Rady Ministrów</w:t>
      </w:r>
      <w:r>
        <w:t>.</w:t>
      </w:r>
    </w:p>
    <w:p w:rsidR="000B1334" w:rsidRPr="00B07E96" w:rsidRDefault="000B1334" w:rsidP="000B1334">
      <w:pPr>
        <w:pStyle w:val="Tekstpodstawowywcity2"/>
        <w:tabs>
          <w:tab w:val="clear" w:pos="720"/>
        </w:tabs>
        <w:ind w:left="600"/>
        <w:rPr>
          <w:i w:val="0"/>
          <w:sz w:val="24"/>
        </w:rPr>
      </w:pPr>
      <w:r>
        <w:rPr>
          <w:i w:val="0"/>
          <w:sz w:val="24"/>
        </w:rPr>
        <w:t>Z ogólnej liczby 717</w:t>
      </w:r>
      <w:r w:rsidRPr="00130461">
        <w:rPr>
          <w:i w:val="0"/>
          <w:sz w:val="24"/>
        </w:rPr>
        <w:t xml:space="preserve"> osób uznanych </w:t>
      </w:r>
      <w:r w:rsidRPr="008C2ECF">
        <w:rPr>
          <w:i w:val="0"/>
          <w:sz w:val="24"/>
        </w:rPr>
        <w:t>odpowiedzialn</w:t>
      </w:r>
      <w:r>
        <w:rPr>
          <w:i w:val="0"/>
          <w:sz w:val="24"/>
        </w:rPr>
        <w:t>ymi</w:t>
      </w:r>
      <w:r w:rsidRPr="008C2ECF">
        <w:rPr>
          <w:i w:val="0"/>
          <w:sz w:val="24"/>
        </w:rPr>
        <w:t xml:space="preserve"> </w:t>
      </w:r>
      <w:r>
        <w:rPr>
          <w:i w:val="0"/>
          <w:sz w:val="24"/>
        </w:rPr>
        <w:t>naruszenia</w:t>
      </w:r>
      <w:r w:rsidRPr="00B07E96">
        <w:rPr>
          <w:i w:val="0"/>
          <w:sz w:val="24"/>
        </w:rPr>
        <w:t xml:space="preserve"> dyscypliny </w:t>
      </w:r>
      <w:r>
        <w:rPr>
          <w:i w:val="0"/>
          <w:sz w:val="24"/>
        </w:rPr>
        <w:t>finansów publicznych ukarano 342</w:t>
      </w:r>
      <w:r w:rsidRPr="00B07E96">
        <w:rPr>
          <w:i w:val="0"/>
          <w:sz w:val="24"/>
        </w:rPr>
        <w:t xml:space="preserve"> os</w:t>
      </w:r>
      <w:r>
        <w:rPr>
          <w:i w:val="0"/>
          <w:sz w:val="24"/>
        </w:rPr>
        <w:t>oby</w:t>
      </w:r>
      <w:r w:rsidRPr="00B07E96">
        <w:rPr>
          <w:i w:val="0"/>
          <w:sz w:val="24"/>
        </w:rPr>
        <w:t xml:space="preserve">, tj. </w:t>
      </w:r>
      <w:r>
        <w:rPr>
          <w:i w:val="0"/>
          <w:sz w:val="24"/>
        </w:rPr>
        <w:t>47,7 </w:t>
      </w:r>
      <w:r w:rsidRPr="00B07E96">
        <w:rPr>
          <w:i w:val="0"/>
          <w:sz w:val="24"/>
        </w:rPr>
        <w:t>%, w tym:</w:t>
      </w:r>
    </w:p>
    <w:p w:rsidR="000B1334" w:rsidRDefault="000B1334" w:rsidP="000B1334">
      <w:pPr>
        <w:pStyle w:val="Tekstpodstawowy"/>
        <w:numPr>
          <w:ilvl w:val="0"/>
          <w:numId w:val="12"/>
        </w:numPr>
        <w:spacing w:line="360" w:lineRule="auto"/>
      </w:pPr>
      <w:r>
        <w:t>260 osób w regionalnych komisjach orzekających,</w:t>
      </w:r>
    </w:p>
    <w:p w:rsidR="000B1334" w:rsidRDefault="000B1334" w:rsidP="000B1334">
      <w:pPr>
        <w:pStyle w:val="Tekstpodstawowy"/>
        <w:numPr>
          <w:ilvl w:val="0"/>
          <w:numId w:val="12"/>
        </w:numPr>
        <w:spacing w:line="360" w:lineRule="auto"/>
      </w:pPr>
      <w:r>
        <w:t>81 osoby w między</w:t>
      </w:r>
      <w:r w:rsidRPr="00CA3EB0">
        <w:t>resortowych komisjach</w:t>
      </w:r>
      <w:r>
        <w:t>,</w:t>
      </w:r>
    </w:p>
    <w:p w:rsidR="000B1334" w:rsidRDefault="000B1334" w:rsidP="000B1334">
      <w:pPr>
        <w:pStyle w:val="Tekstpodstawowy"/>
        <w:numPr>
          <w:ilvl w:val="0"/>
          <w:numId w:val="13"/>
        </w:numPr>
        <w:spacing w:after="120" w:line="360" w:lineRule="auto"/>
      </w:pPr>
      <w:r>
        <w:t xml:space="preserve">1 osobę w Komisji </w:t>
      </w:r>
      <w:r>
        <w:rPr>
          <w:szCs w:val="24"/>
        </w:rPr>
        <w:t>Orzekającej przy Szefie Kancelarii Prezesa Rady Ministrów.</w:t>
      </w:r>
    </w:p>
    <w:p w:rsidR="000B1334" w:rsidRPr="00B07E96" w:rsidRDefault="000B1334" w:rsidP="000B1334">
      <w:pPr>
        <w:pStyle w:val="Tekstpodstawowywcity2"/>
        <w:tabs>
          <w:tab w:val="clear" w:pos="720"/>
        </w:tabs>
        <w:ind w:left="600"/>
        <w:rPr>
          <w:i w:val="0"/>
          <w:sz w:val="24"/>
        </w:rPr>
      </w:pPr>
      <w:r w:rsidRPr="00B07E96">
        <w:rPr>
          <w:i w:val="0"/>
          <w:sz w:val="24"/>
        </w:rPr>
        <w:t xml:space="preserve">Z ogólnej liczby </w:t>
      </w:r>
      <w:r>
        <w:rPr>
          <w:i w:val="0"/>
          <w:sz w:val="24"/>
        </w:rPr>
        <w:t>717</w:t>
      </w:r>
      <w:r w:rsidRPr="00B07E96">
        <w:rPr>
          <w:i w:val="0"/>
          <w:sz w:val="24"/>
        </w:rPr>
        <w:t xml:space="preserve"> </w:t>
      </w:r>
      <w:r>
        <w:rPr>
          <w:i w:val="0"/>
          <w:sz w:val="24"/>
        </w:rPr>
        <w:t xml:space="preserve">osób </w:t>
      </w:r>
      <w:r w:rsidRPr="00B07E96">
        <w:rPr>
          <w:i w:val="0"/>
          <w:sz w:val="24"/>
        </w:rPr>
        <w:t>uznanych za odpowiedzialnych za naruszenie dyscyplin</w:t>
      </w:r>
      <w:r>
        <w:rPr>
          <w:i w:val="0"/>
          <w:sz w:val="24"/>
        </w:rPr>
        <w:t>y finansów publicznych, wobec 375</w:t>
      </w:r>
      <w:r w:rsidRPr="00B07E96">
        <w:rPr>
          <w:i w:val="0"/>
          <w:sz w:val="24"/>
        </w:rPr>
        <w:t xml:space="preserve"> osób (</w:t>
      </w:r>
      <w:r>
        <w:rPr>
          <w:i w:val="0"/>
          <w:sz w:val="24"/>
        </w:rPr>
        <w:t>52,3 </w:t>
      </w:r>
      <w:r w:rsidRPr="00B07E96">
        <w:rPr>
          <w:i w:val="0"/>
          <w:sz w:val="24"/>
        </w:rPr>
        <w:t>%) odstąpiono od wymierzenia kary, w</w:t>
      </w:r>
      <w:r>
        <w:rPr>
          <w:i w:val="0"/>
          <w:sz w:val="24"/>
        </w:rPr>
        <w:t> </w:t>
      </w:r>
      <w:r w:rsidRPr="00B07E96">
        <w:rPr>
          <w:i w:val="0"/>
          <w:sz w:val="24"/>
        </w:rPr>
        <w:t>tym:</w:t>
      </w:r>
    </w:p>
    <w:p w:rsidR="000B1334" w:rsidRDefault="000B1334" w:rsidP="000B1334">
      <w:pPr>
        <w:pStyle w:val="Tekstpodstawowy"/>
        <w:numPr>
          <w:ilvl w:val="1"/>
          <w:numId w:val="4"/>
        </w:numPr>
        <w:tabs>
          <w:tab w:val="clear" w:pos="1440"/>
          <w:tab w:val="num" w:pos="1000"/>
        </w:tabs>
        <w:spacing w:line="360" w:lineRule="auto"/>
        <w:ind w:hanging="840"/>
      </w:pPr>
      <w:r>
        <w:t>337 osób w regionalnych komisjach orzekających,</w:t>
      </w:r>
    </w:p>
    <w:p w:rsidR="000B1334" w:rsidRPr="00EC270F" w:rsidRDefault="000B1334" w:rsidP="000B1334">
      <w:pPr>
        <w:pStyle w:val="Tekstpodstawowy"/>
        <w:numPr>
          <w:ilvl w:val="1"/>
          <w:numId w:val="4"/>
        </w:numPr>
        <w:tabs>
          <w:tab w:val="clear" w:pos="1440"/>
          <w:tab w:val="num" w:pos="1000"/>
        </w:tabs>
        <w:spacing w:after="120" w:line="360" w:lineRule="auto"/>
        <w:ind w:left="1004" w:hanging="403"/>
      </w:pPr>
      <w:r>
        <w:t>38 osoby w między</w:t>
      </w:r>
      <w:r w:rsidRPr="00CA3EB0">
        <w:t>resortowych komisjach orzekających</w:t>
      </w:r>
      <w:r>
        <w:t>.</w:t>
      </w:r>
    </w:p>
    <w:p w:rsidR="000B1334" w:rsidRDefault="000B1334" w:rsidP="000B1334">
      <w:pPr>
        <w:pStyle w:val="Tekstpodstawowywcity2"/>
        <w:tabs>
          <w:tab w:val="clear" w:pos="720"/>
        </w:tabs>
        <w:ind w:left="600"/>
        <w:rPr>
          <w:i w:val="0"/>
          <w:sz w:val="24"/>
        </w:rPr>
      </w:pPr>
      <w:r>
        <w:rPr>
          <w:i w:val="0"/>
          <w:sz w:val="24"/>
        </w:rPr>
        <w:t>Z 375 osób, wobec których odstąpiono od wymierzenia kary najczęściej takie orzeczenia zapadły w:</w:t>
      </w:r>
    </w:p>
    <w:p w:rsidR="000B1334" w:rsidRPr="00244828" w:rsidRDefault="000B1334" w:rsidP="000B1334">
      <w:pPr>
        <w:pStyle w:val="Tekstpodstawowywcity2"/>
        <w:numPr>
          <w:ilvl w:val="0"/>
          <w:numId w:val="34"/>
        </w:numPr>
        <w:tabs>
          <w:tab w:val="clear" w:pos="720"/>
        </w:tabs>
        <w:rPr>
          <w:i w:val="0"/>
          <w:sz w:val="24"/>
        </w:rPr>
      </w:pPr>
      <w:r w:rsidRPr="00244828">
        <w:rPr>
          <w:i w:val="0"/>
          <w:sz w:val="24"/>
        </w:rPr>
        <w:t xml:space="preserve">Regionalnej Komisji Orzekającej przy </w:t>
      </w:r>
      <w:r>
        <w:rPr>
          <w:i w:val="0"/>
          <w:sz w:val="24"/>
        </w:rPr>
        <w:t>RIO w Rzeszowie – 14</w:t>
      </w:r>
      <w:r w:rsidRPr="00244828">
        <w:rPr>
          <w:i w:val="0"/>
          <w:sz w:val="24"/>
        </w:rPr>
        <w:t xml:space="preserve"> os</w:t>
      </w:r>
      <w:r>
        <w:rPr>
          <w:i w:val="0"/>
          <w:sz w:val="24"/>
        </w:rPr>
        <w:t>ób, co stanowi 73,7 </w:t>
      </w:r>
      <w:r w:rsidRPr="00244828">
        <w:rPr>
          <w:i w:val="0"/>
          <w:sz w:val="24"/>
        </w:rPr>
        <w:t>% z ogólnej liczby uznanych w tej komisji za odpowiedzialnych za naruszenie dyscypliny finansów publicznych,</w:t>
      </w:r>
    </w:p>
    <w:p w:rsidR="000B1334" w:rsidRDefault="000B1334" w:rsidP="000B1334">
      <w:pPr>
        <w:pStyle w:val="Tekstpodstawowywcity2"/>
        <w:numPr>
          <w:ilvl w:val="0"/>
          <w:numId w:val="34"/>
        </w:numPr>
        <w:tabs>
          <w:tab w:val="clear" w:pos="720"/>
        </w:tabs>
        <w:rPr>
          <w:i w:val="0"/>
          <w:sz w:val="24"/>
        </w:rPr>
      </w:pPr>
      <w:r w:rsidRPr="00244828">
        <w:rPr>
          <w:i w:val="0"/>
          <w:sz w:val="24"/>
        </w:rPr>
        <w:lastRenderedPageBreak/>
        <w:t xml:space="preserve">Regionalnej Komisji Orzekającej przy </w:t>
      </w:r>
      <w:r>
        <w:rPr>
          <w:i w:val="0"/>
          <w:sz w:val="24"/>
        </w:rPr>
        <w:t>RIO</w:t>
      </w:r>
      <w:r w:rsidRPr="00244828">
        <w:rPr>
          <w:i w:val="0"/>
          <w:sz w:val="24"/>
        </w:rPr>
        <w:t xml:space="preserve"> w</w:t>
      </w:r>
      <w:r>
        <w:rPr>
          <w:i w:val="0"/>
          <w:sz w:val="24"/>
        </w:rPr>
        <w:t> Warszawie – 43 osoby, co stanowi 72,9 % z ogólnej liczby uznanych w tej komisji za odpowiedzialnych za naruszenie dyscypliny finansów publicznych,</w:t>
      </w:r>
    </w:p>
    <w:p w:rsidR="000B1334" w:rsidRPr="00476C2E" w:rsidRDefault="000B1334" w:rsidP="000B1334">
      <w:pPr>
        <w:pStyle w:val="Tekstpodstawowywcity2"/>
        <w:numPr>
          <w:ilvl w:val="0"/>
          <w:numId w:val="34"/>
        </w:numPr>
        <w:tabs>
          <w:tab w:val="clear" w:pos="720"/>
        </w:tabs>
        <w:rPr>
          <w:i w:val="0"/>
          <w:sz w:val="24"/>
        </w:rPr>
      </w:pPr>
      <w:r w:rsidRPr="00244828">
        <w:rPr>
          <w:i w:val="0"/>
          <w:sz w:val="24"/>
        </w:rPr>
        <w:t xml:space="preserve">Regionalnej Komisji Orzekającej przy </w:t>
      </w:r>
      <w:r>
        <w:rPr>
          <w:i w:val="0"/>
          <w:sz w:val="24"/>
        </w:rPr>
        <w:t>RIO</w:t>
      </w:r>
      <w:r w:rsidRPr="00244828">
        <w:rPr>
          <w:i w:val="0"/>
          <w:sz w:val="24"/>
        </w:rPr>
        <w:t xml:space="preserve"> w</w:t>
      </w:r>
      <w:r>
        <w:rPr>
          <w:i w:val="0"/>
          <w:sz w:val="24"/>
        </w:rPr>
        <w:t> Krakowie – 30 osób oraz w Kiecach – 26 osób, co stanowi ponad 68% z ogólnej liczby uznanych w tych komisjach za odpowiedzialnych naruszenia dyscypliny finansów publicznych</w:t>
      </w:r>
      <w:r w:rsidRPr="00476C2E">
        <w:rPr>
          <w:i w:val="0"/>
          <w:sz w:val="24"/>
        </w:rPr>
        <w:t>,</w:t>
      </w:r>
    </w:p>
    <w:p w:rsidR="000B1334" w:rsidRPr="00994193" w:rsidRDefault="000B1334" w:rsidP="000B1334">
      <w:pPr>
        <w:pStyle w:val="Tekstpodstawowywcity2"/>
        <w:tabs>
          <w:tab w:val="clear" w:pos="720"/>
        </w:tabs>
        <w:spacing w:after="120"/>
        <w:ind w:left="601"/>
        <w:rPr>
          <w:i w:val="0"/>
          <w:sz w:val="24"/>
        </w:rPr>
      </w:pPr>
      <w:r>
        <w:rPr>
          <w:i w:val="0"/>
          <w:sz w:val="24"/>
        </w:rPr>
        <w:t xml:space="preserve">najrzadziej w Międzyresortowej </w:t>
      </w:r>
      <w:r w:rsidRPr="00114F76">
        <w:rPr>
          <w:i w:val="0"/>
          <w:sz w:val="24"/>
        </w:rPr>
        <w:t xml:space="preserve">Komisji Orzekającej przy </w:t>
      </w:r>
      <w:r>
        <w:rPr>
          <w:i w:val="0"/>
          <w:sz w:val="24"/>
        </w:rPr>
        <w:t>ministrze właściwym do spraw administracji publicznej – 5 osób, co stanowi 12,8 % z ogólnej liczby uznanych w tej komisji za odpowiedzialnych za naruszenie dyscypliny finansów publicznych</w:t>
      </w:r>
      <w:r w:rsidRPr="00994193">
        <w:rPr>
          <w:i w:val="0"/>
          <w:sz w:val="24"/>
        </w:rPr>
        <w:t>.</w:t>
      </w:r>
    </w:p>
    <w:p w:rsidR="000B1334" w:rsidRPr="00E90AE3" w:rsidRDefault="000B1334" w:rsidP="000B1334">
      <w:pPr>
        <w:pStyle w:val="Tekstpodstawowywcity2"/>
        <w:tabs>
          <w:tab w:val="clear" w:pos="720"/>
        </w:tabs>
        <w:ind w:left="600"/>
        <w:rPr>
          <w:i w:val="0"/>
          <w:sz w:val="24"/>
        </w:rPr>
      </w:pPr>
      <w:r w:rsidRPr="00E90AE3">
        <w:rPr>
          <w:i w:val="0"/>
          <w:sz w:val="24"/>
        </w:rPr>
        <w:t xml:space="preserve">Najczęściej komisje orzekające pierwszej instancji, odstępując od wymierzenia kary, wskazywały na następujące okoliczności: </w:t>
      </w:r>
    </w:p>
    <w:p w:rsidR="000B1334" w:rsidRPr="00E90AE3" w:rsidRDefault="000B1334" w:rsidP="000B1334">
      <w:pPr>
        <w:pStyle w:val="Tekstpodstawowy"/>
        <w:numPr>
          <w:ilvl w:val="1"/>
          <w:numId w:val="7"/>
        </w:numPr>
        <w:tabs>
          <w:tab w:val="clear" w:pos="1080"/>
          <w:tab w:val="num" w:pos="1000"/>
        </w:tabs>
        <w:spacing w:line="360" w:lineRule="auto"/>
        <w:ind w:left="1000" w:hanging="400"/>
      </w:pPr>
      <w:r w:rsidRPr="00E90AE3">
        <w:t>uprzednią niekaralność obwinionego,</w:t>
      </w:r>
    </w:p>
    <w:p w:rsidR="000B1334" w:rsidRPr="00E90AE3" w:rsidRDefault="000B1334" w:rsidP="000B1334">
      <w:pPr>
        <w:pStyle w:val="Tekstpodstawowy"/>
        <w:numPr>
          <w:ilvl w:val="1"/>
          <w:numId w:val="7"/>
        </w:numPr>
        <w:tabs>
          <w:tab w:val="clear" w:pos="1080"/>
          <w:tab w:val="num" w:pos="1000"/>
        </w:tabs>
        <w:spacing w:line="360" w:lineRule="auto"/>
        <w:ind w:left="1000" w:hanging="400"/>
      </w:pPr>
      <w:r w:rsidRPr="00E90AE3">
        <w:t>wyróżnianie się obwinionego przed popełnieniem naruszenia, wzorowym spełnieniem obowiązków zawodowych,</w:t>
      </w:r>
    </w:p>
    <w:p w:rsidR="000B1334" w:rsidRPr="00E90AE3" w:rsidRDefault="000B1334" w:rsidP="000B1334">
      <w:pPr>
        <w:pStyle w:val="Tekstpodstawowy"/>
        <w:numPr>
          <w:ilvl w:val="1"/>
          <w:numId w:val="7"/>
        </w:numPr>
        <w:tabs>
          <w:tab w:val="clear" w:pos="1080"/>
          <w:tab w:val="num" w:pos="1000"/>
        </w:tabs>
        <w:spacing w:line="360" w:lineRule="auto"/>
        <w:ind w:left="1000" w:hanging="400"/>
      </w:pPr>
      <w:r w:rsidRPr="00E90AE3">
        <w:t xml:space="preserve">niską szkodliwość popełnionego naruszenia dla finansów publicznych, </w:t>
      </w:r>
    </w:p>
    <w:p w:rsidR="000B1334" w:rsidRDefault="000B1334" w:rsidP="000B1334">
      <w:pPr>
        <w:pStyle w:val="Tekstpodstawowy"/>
        <w:numPr>
          <w:ilvl w:val="1"/>
          <w:numId w:val="7"/>
        </w:numPr>
        <w:tabs>
          <w:tab w:val="clear" w:pos="1080"/>
          <w:tab w:val="num" w:pos="1000"/>
        </w:tabs>
        <w:spacing w:after="120" w:line="360" w:lineRule="auto"/>
        <w:ind w:left="1000" w:hanging="400"/>
      </w:pPr>
      <w:r w:rsidRPr="00E90AE3">
        <w:t xml:space="preserve">podjęcie działań zmierzających do wyeliminowania uchybień. </w:t>
      </w:r>
    </w:p>
    <w:p w:rsidR="00E458DB" w:rsidRPr="00E90AE3" w:rsidRDefault="00E458DB" w:rsidP="00695C9D">
      <w:pPr>
        <w:pStyle w:val="Tekstpodstawowy"/>
        <w:spacing w:after="120" w:line="360" w:lineRule="auto"/>
        <w:ind w:left="1000"/>
      </w:pPr>
    </w:p>
    <w:p w:rsidR="000B1334" w:rsidRDefault="000B1334" w:rsidP="000B1334">
      <w:pPr>
        <w:spacing w:before="240" w:after="120" w:line="360" w:lineRule="auto"/>
        <w:ind w:left="1276" w:hanging="1276"/>
      </w:pPr>
      <w:r>
        <w:t xml:space="preserve">Wykres nr </w:t>
      </w:r>
      <w:r w:rsidR="00951915">
        <w:t>11</w:t>
      </w:r>
      <w:r>
        <w:t>: Orzeczenia</w:t>
      </w:r>
      <w:r w:rsidRPr="00F40015">
        <w:t xml:space="preserve"> o uznaniu odpowiedzialn</w:t>
      </w:r>
      <w:r>
        <w:t>ości</w:t>
      </w:r>
      <w:r w:rsidRPr="00F40015">
        <w:t xml:space="preserve"> za naruszenie dyscypliny finansów </w:t>
      </w:r>
      <w:r w:rsidR="00951915">
        <w:t xml:space="preserve">  </w:t>
      </w:r>
      <w:r w:rsidRPr="00F40015">
        <w:t>publicznych</w:t>
      </w:r>
      <w:r>
        <w:t xml:space="preserve"> (ujęcie porównawcze lata 2015 – 2018)</w:t>
      </w:r>
    </w:p>
    <w:p w:rsidR="000B1334" w:rsidRDefault="000B1334" w:rsidP="000B1334">
      <w:pPr>
        <w:pStyle w:val="Tekstpodstawowy"/>
        <w:spacing w:line="360" w:lineRule="auto"/>
        <w:ind w:left="1843" w:hanging="1843"/>
      </w:pPr>
      <w:r>
        <w:rPr>
          <w:noProof/>
        </w:rPr>
        <w:drawing>
          <wp:inline distT="0" distB="0" distL="0" distR="0" wp14:anchorId="2F756F5B" wp14:editId="473DB1A1">
            <wp:extent cx="5698490" cy="3298572"/>
            <wp:effectExtent l="0" t="0" r="35560" b="35560"/>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B1334" w:rsidRPr="00A01542" w:rsidRDefault="000B1334" w:rsidP="000B1334">
      <w:pPr>
        <w:rPr>
          <w:sz w:val="16"/>
          <w:szCs w:val="16"/>
        </w:rPr>
      </w:pPr>
      <w:r>
        <w:br w:type="page"/>
      </w:r>
    </w:p>
    <w:p w:rsidR="000B1334" w:rsidRDefault="00951915" w:rsidP="00695C9D">
      <w:pPr>
        <w:pStyle w:val="Tekstpodstawowy"/>
        <w:spacing w:after="120" w:line="360" w:lineRule="auto"/>
        <w:ind w:left="1843" w:hanging="1843"/>
      </w:pPr>
      <w:r>
        <w:lastRenderedPageBreak/>
        <w:t>Wykres nr 12</w:t>
      </w:r>
      <w:r w:rsidR="000B1334">
        <w:t>: Stosunek procentowy rozpoznanych wniosków o ukaranie (osób) w poszczególnych latach do liczby osób, w stosunku do których wydano orzeczenia o uznaniu odpowiedzialnym za naruszenie dyscypliny finansów publicznych</w:t>
      </w:r>
    </w:p>
    <w:p w:rsidR="000B1334" w:rsidRDefault="000B1334" w:rsidP="000B1334">
      <w:pPr>
        <w:pStyle w:val="Tekstpodstawowy"/>
        <w:spacing w:after="120" w:line="360" w:lineRule="auto"/>
      </w:pPr>
      <w:r>
        <w:rPr>
          <w:noProof/>
        </w:rPr>
        <w:drawing>
          <wp:inline distT="0" distB="0" distL="0" distR="0" wp14:anchorId="24D43BFA" wp14:editId="7D0DB6BD">
            <wp:extent cx="5756910" cy="4013725"/>
            <wp:effectExtent l="0" t="0" r="0" b="635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74296" cy="4025847"/>
                    </a:xfrm>
                    <a:prstGeom prst="rect">
                      <a:avLst/>
                    </a:prstGeom>
                    <a:noFill/>
                  </pic:spPr>
                </pic:pic>
              </a:graphicData>
            </a:graphic>
          </wp:inline>
        </w:drawing>
      </w:r>
    </w:p>
    <w:p w:rsidR="000B1334" w:rsidRDefault="000B1334" w:rsidP="000B1334">
      <w:pPr>
        <w:pStyle w:val="Tekstpodstawowy"/>
        <w:spacing w:after="120" w:line="360" w:lineRule="auto"/>
      </w:pPr>
      <w:r>
        <w:t>Zgodnie z art. 167 ust. 1 uondfp, każdy uznany za odpowiedzialnego za naruszenie dyscypliny finansów publicznych zwraca – na rzecz Skarbu Państwa – koszty postępowania. Koszty te określa się ryczałtowo w wysokości 10 % przeciętnego miesięcznego wynagrodzenia.</w:t>
      </w:r>
    </w:p>
    <w:p w:rsidR="000B1334" w:rsidRDefault="000B1334" w:rsidP="000B1334">
      <w:pPr>
        <w:pStyle w:val="Tekstpodstawowy"/>
        <w:spacing w:after="120" w:line="360" w:lineRule="auto"/>
      </w:pPr>
      <w:r w:rsidRPr="004E5E79">
        <w:t>W roku 201</w:t>
      </w:r>
      <w:r>
        <w:t>8</w:t>
      </w:r>
      <w:r w:rsidRPr="004E5E79">
        <w:t xml:space="preserve"> łączna wysokość orzeczonych kosztów postępowania należnych Skarbowi Państwa wyniosła </w:t>
      </w:r>
      <w:r>
        <w:t>226 757,08</w:t>
      </w:r>
      <w:r w:rsidRPr="004E5E79">
        <w:t xml:space="preserve"> zł, a wyegzekwowano </w:t>
      </w:r>
      <w:r>
        <w:t>214 096,06 </w:t>
      </w:r>
      <w:r w:rsidRPr="004E5E79">
        <w:t>zł</w:t>
      </w:r>
      <w:r w:rsidRPr="00226FA8">
        <w:t>.</w:t>
      </w:r>
    </w:p>
    <w:p w:rsidR="000B1334" w:rsidRPr="00EE4A2F" w:rsidRDefault="000B1334" w:rsidP="000B1334">
      <w:pPr>
        <w:pStyle w:val="Tekstpodstawowy"/>
        <w:spacing w:after="120" w:line="360" w:lineRule="auto"/>
      </w:pPr>
    </w:p>
    <w:p w:rsidR="000B1334" w:rsidRPr="00152B86" w:rsidRDefault="000B1334" w:rsidP="000B1334">
      <w:pPr>
        <w:pStyle w:val="Tekstpodstawowy"/>
        <w:numPr>
          <w:ilvl w:val="0"/>
          <w:numId w:val="25"/>
        </w:numPr>
        <w:spacing w:after="120" w:line="360" w:lineRule="auto"/>
        <w:ind w:hanging="480"/>
      </w:pPr>
      <w:r w:rsidRPr="00152B86">
        <w:rPr>
          <w:b/>
        </w:rPr>
        <w:t xml:space="preserve">Kary za naruszenie dyscypliny finansów publicznych. </w:t>
      </w:r>
    </w:p>
    <w:p w:rsidR="000B1334" w:rsidRPr="00661ED5" w:rsidRDefault="000B1334" w:rsidP="000B1334">
      <w:pPr>
        <w:pStyle w:val="Tekstpodstawowy"/>
        <w:spacing w:after="120" w:line="360" w:lineRule="auto"/>
        <w:ind w:left="480"/>
      </w:pPr>
      <w:r>
        <w:t>W 2018 r. spośród 342</w:t>
      </w:r>
      <w:r w:rsidRPr="00152B86">
        <w:t xml:space="preserve"> osób ukaranych:</w:t>
      </w:r>
    </w:p>
    <w:p w:rsidR="000B1334" w:rsidRDefault="000B1334" w:rsidP="000B1334">
      <w:pPr>
        <w:numPr>
          <w:ilvl w:val="0"/>
          <w:numId w:val="38"/>
        </w:numPr>
        <w:tabs>
          <w:tab w:val="left" w:pos="800"/>
        </w:tabs>
        <w:spacing w:after="120" w:line="360" w:lineRule="auto"/>
        <w:ind w:left="880" w:hanging="400"/>
        <w:jc w:val="both"/>
      </w:pPr>
      <w:r>
        <w:t>karą upomnienia ukarano 269 osób (78,7 % ukaranych), w tym w </w:t>
      </w:r>
      <w:r w:rsidRPr="00D32CF0">
        <w:t>regionalnych komisjach o</w:t>
      </w:r>
      <w:r>
        <w:t>rzekających</w:t>
      </w:r>
      <w:r w:rsidRPr="00D32CF0">
        <w:t xml:space="preserve"> </w:t>
      </w:r>
      <w:r>
        <w:t>217 osób, a w międzyresortowych komisjach orzekających 51 osób i 1 osobę w Komisji Orzekającej przy Szefie Kancelarii Prezesa Rady Ministrów,</w:t>
      </w:r>
    </w:p>
    <w:p w:rsidR="000B1334" w:rsidRDefault="000B1334" w:rsidP="000B1334">
      <w:pPr>
        <w:numPr>
          <w:ilvl w:val="0"/>
          <w:numId w:val="38"/>
        </w:numPr>
        <w:tabs>
          <w:tab w:val="left" w:pos="800"/>
        </w:tabs>
        <w:spacing w:after="120" w:line="360" w:lineRule="auto"/>
        <w:ind w:left="880" w:hanging="400"/>
        <w:jc w:val="both"/>
      </w:pPr>
      <w:r>
        <w:lastRenderedPageBreak/>
        <w:t>karą nagany ukarano 39 osób (11,4 % ukaranych), w</w:t>
      </w:r>
      <w:r w:rsidRPr="002411A3">
        <w:t xml:space="preserve"> </w:t>
      </w:r>
      <w:r>
        <w:t>regionalnych komisjach orzekających 31 osób, a w międzyresortowych komisjach orzekających 8 osób,</w:t>
      </w:r>
    </w:p>
    <w:p w:rsidR="000B1334" w:rsidRDefault="000B1334" w:rsidP="000B1334">
      <w:pPr>
        <w:numPr>
          <w:ilvl w:val="0"/>
          <w:numId w:val="38"/>
        </w:numPr>
        <w:tabs>
          <w:tab w:val="left" w:pos="800"/>
        </w:tabs>
        <w:spacing w:after="120" w:line="360" w:lineRule="auto"/>
        <w:ind w:left="880" w:hanging="400"/>
        <w:jc w:val="both"/>
      </w:pPr>
      <w:r>
        <w:t>karą pieniężną ukarano 33 osoby (9,6 % ukaranych), w</w:t>
      </w:r>
      <w:r w:rsidRPr="002411A3">
        <w:t xml:space="preserve"> </w:t>
      </w:r>
      <w:r>
        <w:t>tym w regionalnych komisjach orzekających 11 osób, a w międzyresortowych komisjach orzekających 22 osoby, średnia wysokość kary pieniężnej wyniosła 4 773,18 zł,</w:t>
      </w:r>
    </w:p>
    <w:p w:rsidR="000B1334" w:rsidRDefault="000B1334" w:rsidP="000B1334">
      <w:pPr>
        <w:numPr>
          <w:ilvl w:val="0"/>
          <w:numId w:val="38"/>
        </w:numPr>
        <w:tabs>
          <w:tab w:val="left" w:pos="800"/>
        </w:tabs>
        <w:spacing w:after="120" w:line="360" w:lineRule="auto"/>
        <w:ind w:left="880" w:hanging="400"/>
        <w:jc w:val="both"/>
      </w:pPr>
      <w:r>
        <w:t>karą</w:t>
      </w:r>
      <w:r w:rsidRPr="008C2ECF">
        <w:t xml:space="preserve"> zakazu pełnienia funkcji związanych z dysponowaniem środkami publicznymi</w:t>
      </w:r>
      <w:r>
        <w:t xml:space="preserve"> (przewidzianą w art. 31 ust. 1 pkt 4 ustawy o odpowiedzialność za naruszenie dyscypliny finansów publicznych) ukarano 1 osobę przez regionalną komisję orzekającą, co stanowi (0,3 % ukaranych) w regionalnych komisjach orzekających</w:t>
      </w:r>
      <w:r w:rsidRPr="008C2ECF">
        <w:t>.</w:t>
      </w:r>
    </w:p>
    <w:p w:rsidR="000B1334" w:rsidRDefault="000B1334" w:rsidP="000B1334"/>
    <w:p w:rsidR="000B1334" w:rsidRDefault="000B1334" w:rsidP="00695C9D">
      <w:pPr>
        <w:tabs>
          <w:tab w:val="left" w:pos="800"/>
        </w:tabs>
        <w:spacing w:after="120" w:line="360" w:lineRule="auto"/>
        <w:ind w:left="1418" w:hanging="1418"/>
        <w:jc w:val="both"/>
      </w:pPr>
      <w:r>
        <w:t xml:space="preserve">Wykres nr </w:t>
      </w:r>
      <w:r w:rsidR="00951915">
        <w:t>13</w:t>
      </w:r>
      <w:r>
        <w:t xml:space="preserve">: Liczba osób, w stosunku do których odstąpiono od wymierzenia kary oraz orzeczono poszczególne rodzaje kar w latach: 2015 - 2018 </w:t>
      </w:r>
    </w:p>
    <w:p w:rsidR="00E458DB" w:rsidRDefault="000B1334" w:rsidP="000B1334">
      <w:pPr>
        <w:tabs>
          <w:tab w:val="left" w:pos="800"/>
        </w:tabs>
        <w:spacing w:after="120" w:line="360" w:lineRule="auto"/>
      </w:pPr>
      <w:r>
        <w:rPr>
          <w:noProof/>
        </w:rPr>
        <w:drawing>
          <wp:inline distT="0" distB="0" distL="0" distR="0" wp14:anchorId="12287776" wp14:editId="357B94A7">
            <wp:extent cx="5974080" cy="3997325"/>
            <wp:effectExtent l="0" t="0" r="7620" b="317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00307" cy="4014874"/>
                    </a:xfrm>
                    <a:prstGeom prst="rect">
                      <a:avLst/>
                    </a:prstGeom>
                    <a:noFill/>
                  </pic:spPr>
                </pic:pic>
              </a:graphicData>
            </a:graphic>
          </wp:inline>
        </w:drawing>
      </w:r>
    </w:p>
    <w:p w:rsidR="00E458DB" w:rsidRDefault="00E458DB">
      <w:r>
        <w:br w:type="page"/>
      </w:r>
    </w:p>
    <w:p w:rsidR="000B1334" w:rsidRPr="00F06BF5" w:rsidRDefault="000B1334" w:rsidP="000B1334">
      <w:pPr>
        <w:numPr>
          <w:ilvl w:val="0"/>
          <w:numId w:val="25"/>
        </w:numPr>
        <w:spacing w:after="120" w:line="360" w:lineRule="auto"/>
        <w:ind w:hanging="480"/>
        <w:jc w:val="both"/>
        <w:rPr>
          <w:b/>
        </w:rPr>
      </w:pPr>
      <w:r w:rsidRPr="00F06BF5">
        <w:rPr>
          <w:b/>
        </w:rPr>
        <w:lastRenderedPageBreak/>
        <w:t>Rozstrzygnięcia o umorzeniu postępowania</w:t>
      </w:r>
      <w:r>
        <w:rPr>
          <w:b/>
        </w:rPr>
        <w:t>.</w:t>
      </w:r>
    </w:p>
    <w:p w:rsidR="000B1334" w:rsidRDefault="000B1334" w:rsidP="000B1334">
      <w:pPr>
        <w:pStyle w:val="Tekstpodstawowy"/>
        <w:spacing w:line="360" w:lineRule="auto"/>
        <w:ind w:left="480"/>
      </w:pPr>
      <w:r w:rsidRPr="004A704F">
        <w:t>Komisje or</w:t>
      </w:r>
      <w:r>
        <w:t xml:space="preserve">zekające pierwszej instancji w roku 2018 umorzyły postępowania w zakresie 127 zarzutów. Umorzenie postępowania było wynikiem ustalenia, że: </w:t>
      </w:r>
    </w:p>
    <w:p w:rsidR="000B1334" w:rsidRDefault="000B1334" w:rsidP="000B1334">
      <w:pPr>
        <w:numPr>
          <w:ilvl w:val="0"/>
          <w:numId w:val="2"/>
        </w:numPr>
        <w:tabs>
          <w:tab w:val="clear" w:pos="720"/>
          <w:tab w:val="num" w:pos="235"/>
          <w:tab w:val="num" w:pos="490"/>
          <w:tab w:val="num" w:pos="993"/>
        </w:tabs>
        <w:spacing w:line="360" w:lineRule="auto"/>
        <w:ind w:left="993" w:hanging="475"/>
        <w:jc w:val="both"/>
      </w:pPr>
      <w:r>
        <w:t>stopień szkodliwości dla finansów publicznych jest znikomy – w stosunku do 99 zarzutów, co stanowi 78 %, w tym w regionalnych komisjach orzekających – 92 zarzuty, w międzyresortowych komisjach orzekających – 7 zarzutów,</w:t>
      </w:r>
    </w:p>
    <w:p w:rsidR="000B1334" w:rsidRDefault="000B1334" w:rsidP="000B1334">
      <w:pPr>
        <w:numPr>
          <w:ilvl w:val="0"/>
          <w:numId w:val="2"/>
        </w:numPr>
        <w:tabs>
          <w:tab w:val="clear" w:pos="720"/>
          <w:tab w:val="num" w:pos="235"/>
          <w:tab w:val="num" w:pos="490"/>
          <w:tab w:val="num" w:pos="993"/>
        </w:tabs>
        <w:spacing w:line="360" w:lineRule="auto"/>
        <w:ind w:left="993" w:hanging="475"/>
        <w:jc w:val="both"/>
      </w:pPr>
      <w:r w:rsidRPr="00EC7D94">
        <w:t>nastąpił</w:t>
      </w:r>
      <w:r>
        <w:t>o przedawnienie orzekania – w stosunku do 17 zarzutów, co stanowi 13,4 %, w tym w regionaln</w:t>
      </w:r>
      <w:r w:rsidR="00E458DB">
        <w:t xml:space="preserve">ych komisjach orzekających – 16 </w:t>
      </w:r>
      <w:r>
        <w:t>zarzutów i</w:t>
      </w:r>
      <w:r w:rsidR="00E458DB">
        <w:t> 1 </w:t>
      </w:r>
      <w:r>
        <w:t>w międzyresortowych komisjach orzekających,</w:t>
      </w:r>
    </w:p>
    <w:p w:rsidR="000B1334" w:rsidRDefault="000B1334" w:rsidP="000B1334">
      <w:pPr>
        <w:numPr>
          <w:ilvl w:val="0"/>
          <w:numId w:val="2"/>
        </w:numPr>
        <w:tabs>
          <w:tab w:val="clear" w:pos="720"/>
          <w:tab w:val="num" w:pos="235"/>
          <w:tab w:val="num" w:pos="490"/>
          <w:tab w:val="num" w:pos="993"/>
        </w:tabs>
        <w:spacing w:line="360" w:lineRule="auto"/>
        <w:ind w:left="993" w:hanging="475"/>
        <w:jc w:val="both"/>
      </w:pPr>
      <w:r>
        <w:t>w zarzucanym czynie brak znamion naruszenia dyscypliny finansów publicznych – w stosunku do1 zarzutu</w:t>
      </w:r>
      <w:r w:rsidRPr="00542505">
        <w:t xml:space="preserve"> </w:t>
      </w:r>
      <w:r>
        <w:t xml:space="preserve">w regionalnych komisjach orzekających, co stanowi 0,8 %, </w:t>
      </w:r>
    </w:p>
    <w:p w:rsidR="000B1334" w:rsidRDefault="000B1334" w:rsidP="000B1334">
      <w:pPr>
        <w:numPr>
          <w:ilvl w:val="0"/>
          <w:numId w:val="2"/>
        </w:numPr>
        <w:tabs>
          <w:tab w:val="clear" w:pos="720"/>
          <w:tab w:val="num" w:pos="235"/>
          <w:tab w:val="num" w:pos="490"/>
          <w:tab w:val="num" w:pos="993"/>
        </w:tabs>
        <w:spacing w:line="360" w:lineRule="auto"/>
        <w:ind w:left="993" w:hanging="475"/>
        <w:jc w:val="both"/>
      </w:pPr>
      <w:r>
        <w:t>działanie lub zaniechanie podjęto wyłącznie w celu ograniczenia sutków zdarzenia losowego –  w stosunku do 1 zarzutu</w:t>
      </w:r>
      <w:r w:rsidRPr="00542505">
        <w:t xml:space="preserve"> </w:t>
      </w:r>
      <w:r>
        <w:t xml:space="preserve">w regionalnych komisjach orzekających, co stanowi 0,8 %, </w:t>
      </w:r>
    </w:p>
    <w:p w:rsidR="000B1334" w:rsidRDefault="000B1334" w:rsidP="000B1334">
      <w:pPr>
        <w:numPr>
          <w:ilvl w:val="0"/>
          <w:numId w:val="2"/>
        </w:numPr>
        <w:tabs>
          <w:tab w:val="clear" w:pos="720"/>
          <w:tab w:val="num" w:pos="235"/>
          <w:tab w:val="num" w:pos="490"/>
          <w:tab w:val="num" w:pos="993"/>
        </w:tabs>
        <w:spacing w:line="360" w:lineRule="auto"/>
        <w:ind w:left="993" w:hanging="475"/>
        <w:jc w:val="both"/>
      </w:pPr>
      <w:r>
        <w:t>inne – w stosunku 9 zarzutów, co stanowi 7,1 %,</w:t>
      </w:r>
      <w:r w:rsidRPr="00BF5D59">
        <w:t xml:space="preserve"> </w:t>
      </w:r>
      <w:r>
        <w:t>wszystkie w regionalnych komisjach orzekających.</w:t>
      </w:r>
    </w:p>
    <w:p w:rsidR="000B1334" w:rsidRDefault="000B1334" w:rsidP="000B1334">
      <w:pPr>
        <w:spacing w:after="120" w:line="360" w:lineRule="auto"/>
        <w:ind w:left="300"/>
        <w:jc w:val="both"/>
      </w:pPr>
    </w:p>
    <w:p w:rsidR="000B1334" w:rsidRPr="00F06BF5" w:rsidRDefault="000B1334" w:rsidP="000B1334">
      <w:pPr>
        <w:numPr>
          <w:ilvl w:val="0"/>
          <w:numId w:val="25"/>
        </w:numPr>
        <w:spacing w:after="120" w:line="360" w:lineRule="auto"/>
        <w:ind w:hanging="480"/>
        <w:jc w:val="both"/>
        <w:rPr>
          <w:b/>
        </w:rPr>
      </w:pPr>
      <w:r w:rsidRPr="00F06BF5">
        <w:rPr>
          <w:b/>
        </w:rPr>
        <w:t xml:space="preserve">Przypisane </w:t>
      </w:r>
      <w:r>
        <w:rPr>
          <w:b/>
        </w:rPr>
        <w:t>naruszenia dyscypliny finansów publicznych według poszczególnych artykułów uondfp.</w:t>
      </w:r>
    </w:p>
    <w:p w:rsidR="000B1334" w:rsidRDefault="000B1334" w:rsidP="000B1334">
      <w:pPr>
        <w:pStyle w:val="Tekstpodstawowy"/>
        <w:spacing w:after="120" w:line="360" w:lineRule="auto"/>
        <w:ind w:left="480"/>
      </w:pPr>
      <w:r>
        <w:t>Osobom odpowiedzialnym za naruszenie dyscypliny finansów publicznych przypisano najliczniej popełnienie naruszeń dotyczących:</w:t>
      </w:r>
    </w:p>
    <w:p w:rsidR="000B1334" w:rsidRDefault="000B1334" w:rsidP="000B1334">
      <w:pPr>
        <w:numPr>
          <w:ilvl w:val="1"/>
          <w:numId w:val="14"/>
        </w:numPr>
        <w:tabs>
          <w:tab w:val="clear" w:pos="460"/>
          <w:tab w:val="num" w:pos="644"/>
          <w:tab w:val="num" w:pos="851"/>
        </w:tabs>
        <w:spacing w:after="120" w:line="360" w:lineRule="auto"/>
        <w:ind w:left="851" w:hanging="361"/>
        <w:jc w:val="both"/>
      </w:pPr>
      <w:r>
        <w:t xml:space="preserve">zaniechania przeprowadzenia lub rozliczenia inwentaryzacji oraz nieprawidłowości w zakresie sprawozdawczości z wykonania procesów gromadzenia środków publicznych i ich rozdysponowywania (art. 18 pkt 1 i 2 </w:t>
      </w:r>
      <w:r w:rsidRPr="0097154B">
        <w:rPr>
          <w:bCs/>
        </w:rPr>
        <w:t>uondfp</w:t>
      </w:r>
      <w:r>
        <w:t>: 273 naruszeń, co stanowi 27 % wszystkich czynów, przy czym w regionalnych komisjach orzekających - 266 naruszeń i w międzyresortowych komisjach orzekających - 7 naruszeń),</w:t>
      </w:r>
    </w:p>
    <w:p w:rsidR="000B1334" w:rsidRDefault="000B1334" w:rsidP="000B1334">
      <w:pPr>
        <w:numPr>
          <w:ilvl w:val="1"/>
          <w:numId w:val="14"/>
        </w:numPr>
        <w:tabs>
          <w:tab w:val="clear" w:pos="460"/>
          <w:tab w:val="num" w:pos="644"/>
          <w:tab w:val="num" w:pos="851"/>
        </w:tabs>
        <w:spacing w:after="120" w:line="360" w:lineRule="auto"/>
        <w:ind w:left="851" w:hanging="361"/>
        <w:jc w:val="both"/>
      </w:pPr>
      <w:r>
        <w:t>zamówień publicznych (art. 17</w:t>
      </w:r>
      <w:r w:rsidRPr="00C661AC">
        <w:rPr>
          <w:bCs/>
        </w:rPr>
        <w:t xml:space="preserve"> </w:t>
      </w:r>
      <w:r w:rsidRPr="0097154B">
        <w:rPr>
          <w:bCs/>
        </w:rPr>
        <w:t>uondfp</w:t>
      </w:r>
      <w:r>
        <w:t>: 183 naruszenia, co stanowi 18,1 % wszystkich czynów, przy czym w regionalnych komisjach orzekających – 143 naruszenia, w międzyresortowych komisjach orzekających – 40 naruszeń),</w:t>
      </w:r>
    </w:p>
    <w:p w:rsidR="000B1334" w:rsidRDefault="000B1334" w:rsidP="000B1334">
      <w:pPr>
        <w:numPr>
          <w:ilvl w:val="1"/>
          <w:numId w:val="14"/>
        </w:numPr>
        <w:tabs>
          <w:tab w:val="clear" w:pos="460"/>
          <w:tab w:val="num" w:pos="644"/>
          <w:tab w:val="num" w:pos="851"/>
        </w:tabs>
        <w:spacing w:after="120" w:line="360" w:lineRule="auto"/>
        <w:ind w:left="851" w:hanging="361"/>
        <w:jc w:val="both"/>
      </w:pPr>
      <w:r>
        <w:t>wydatkowania dotacji niezgodnie z przeznaczeniem określonym przez udzielającego dotację, nierozliczenia w terminie otrzymanej dotacji, niedokonania w terminie zwrotu dotacji w należytej wysokości (art. 9</w:t>
      </w:r>
      <w:r w:rsidRPr="00C661AC">
        <w:rPr>
          <w:bCs/>
        </w:rPr>
        <w:t xml:space="preserve"> </w:t>
      </w:r>
      <w:r w:rsidRPr="0097154B">
        <w:rPr>
          <w:bCs/>
        </w:rPr>
        <w:t>uondfp</w:t>
      </w:r>
      <w:r>
        <w:t xml:space="preserve">: 138 naruszeń, co stanowi 13,6 % </w:t>
      </w:r>
      <w:r>
        <w:lastRenderedPageBreak/>
        <w:t>wszystkich czynów, przy czym w regionalnych komisjach orzekających – 79 naruszeń i w międzyresortowych komisjach orzekających – 59 naruszeń),</w:t>
      </w:r>
    </w:p>
    <w:p w:rsidR="000B1334" w:rsidRDefault="000B1334" w:rsidP="000B1334">
      <w:pPr>
        <w:numPr>
          <w:ilvl w:val="1"/>
          <w:numId w:val="14"/>
        </w:numPr>
        <w:tabs>
          <w:tab w:val="clear" w:pos="460"/>
          <w:tab w:val="num" w:pos="644"/>
          <w:tab w:val="num" w:pos="851"/>
        </w:tabs>
        <w:spacing w:after="120" w:line="360" w:lineRule="auto"/>
        <w:ind w:left="851" w:hanging="361"/>
        <w:jc w:val="both"/>
      </w:pPr>
      <w:r>
        <w:t xml:space="preserve"> dokonywania wydatków bez upoważnienia albo z przekroczeniem zakresu upoważnienia oraz z naruszeniem przepisów dotyczących dokonywania poszczególnych rodzajów wydatków (art. 11</w:t>
      </w:r>
      <w:r w:rsidRPr="00C661AC">
        <w:rPr>
          <w:bCs/>
        </w:rPr>
        <w:t xml:space="preserve"> </w:t>
      </w:r>
      <w:r w:rsidRPr="0097154B">
        <w:rPr>
          <w:bCs/>
        </w:rPr>
        <w:t>uondfp</w:t>
      </w:r>
      <w:r>
        <w:t>: 107 naruszeń, co stanowi 10,6 % wszystkich czynów, przy czym naruszenia były wyłącznie w regionalnych komisjach orzekających,</w:t>
      </w:r>
    </w:p>
    <w:p w:rsidR="000B1334" w:rsidRDefault="000B1334" w:rsidP="000B1334">
      <w:pPr>
        <w:numPr>
          <w:ilvl w:val="1"/>
          <w:numId w:val="14"/>
        </w:numPr>
        <w:tabs>
          <w:tab w:val="clear" w:pos="460"/>
          <w:tab w:val="num" w:pos="644"/>
          <w:tab w:val="num" w:pos="851"/>
        </w:tabs>
        <w:spacing w:after="120" w:line="360" w:lineRule="auto"/>
        <w:ind w:left="851" w:hanging="361"/>
        <w:jc w:val="both"/>
      </w:pPr>
      <w:r>
        <w:t xml:space="preserve"> zaciągania zobowiązań bez upoważnienia albo z przekroczeniem upoważnienia do zaciągania zobowiązań oraz z naruszeniem przepisów dotyczących zaciągania zobowiązań (art. 15</w:t>
      </w:r>
      <w:r w:rsidRPr="00C661AC">
        <w:rPr>
          <w:bCs/>
        </w:rPr>
        <w:t xml:space="preserve"> </w:t>
      </w:r>
      <w:r w:rsidRPr="0097154B">
        <w:rPr>
          <w:bCs/>
        </w:rPr>
        <w:t>uondfp</w:t>
      </w:r>
      <w:r>
        <w:t>: 78 naruszeń, co stanowi 7,7 % wszystkich czynów, przy czym w regionalnych komisjach orzekających - 75 naruszeń i w międzyresortowych komisjach orzekających - 3 naruszenia),</w:t>
      </w:r>
    </w:p>
    <w:p w:rsidR="000B1334" w:rsidRDefault="000B1334" w:rsidP="000B1334">
      <w:pPr>
        <w:numPr>
          <w:ilvl w:val="1"/>
          <w:numId w:val="14"/>
        </w:numPr>
        <w:tabs>
          <w:tab w:val="clear" w:pos="460"/>
          <w:tab w:val="num" w:pos="644"/>
          <w:tab w:val="num" w:pos="851"/>
        </w:tabs>
        <w:spacing w:after="120" w:line="360" w:lineRule="auto"/>
        <w:ind w:left="851" w:hanging="361"/>
        <w:jc w:val="both"/>
      </w:pPr>
      <w:r>
        <w:t>n</w:t>
      </w:r>
      <w:r w:rsidRPr="004D16A0">
        <w:t>iedo</w:t>
      </w:r>
      <w:r>
        <w:t>konanie lub nienależyte dokonanie kontroli zgodności operacji gospodarczej lub finansowej z planem finansowym lub dokumentów dotyczących takiej operacji, jeżeli miało ono wpływ na dokonanie wydatku powodującego przekroczenie planu finansowego lub zaciągnięcie zobowiązania niemieszczącego się w planie finansowym jednostki (art. 18b</w:t>
      </w:r>
      <w:r w:rsidRPr="00C661AC">
        <w:rPr>
          <w:bCs/>
        </w:rPr>
        <w:t xml:space="preserve"> uondfp</w:t>
      </w:r>
      <w:r>
        <w:t>: 53 naruszenia, co stanowi 5,2 % wszystkich czynów, przy czym w regionalnych komisjach orzekających - 51 naruszeń i w międzyresortowych komisjach orzekających - 2 naruszenia).</w:t>
      </w:r>
    </w:p>
    <w:p w:rsidR="00E458DB" w:rsidRDefault="00E458DB">
      <w:r>
        <w:br w:type="page"/>
      </w:r>
    </w:p>
    <w:p w:rsidR="000B1334" w:rsidRDefault="00951915">
      <w:pPr>
        <w:tabs>
          <w:tab w:val="left" w:pos="600"/>
          <w:tab w:val="left" w:pos="720"/>
        </w:tabs>
        <w:spacing w:before="120" w:after="120" w:line="360" w:lineRule="auto"/>
        <w:ind w:left="1559" w:hanging="1559"/>
        <w:jc w:val="both"/>
      </w:pPr>
      <w:r>
        <w:lastRenderedPageBreak/>
        <w:t>Wykres nr 14</w:t>
      </w:r>
      <w:r w:rsidR="000B1334">
        <w:t>: Udział procentowy naruszeń dyscypliny finansów publicznych, które były najczęściej przypisywane w 2018 r., w ogólnej liczbie przypisanych czynów</w:t>
      </w:r>
    </w:p>
    <w:p w:rsidR="000B1334" w:rsidRPr="000A702D" w:rsidRDefault="000B1334" w:rsidP="000B1334">
      <w:pPr>
        <w:tabs>
          <w:tab w:val="left" w:pos="600"/>
          <w:tab w:val="left" w:pos="720"/>
        </w:tabs>
        <w:spacing w:after="120" w:line="360" w:lineRule="auto"/>
        <w:jc w:val="both"/>
      </w:pPr>
      <w:r>
        <w:rPr>
          <w:noProof/>
        </w:rPr>
        <w:drawing>
          <wp:inline distT="0" distB="0" distL="0" distR="0" wp14:anchorId="610299A4" wp14:editId="3BCD13A7">
            <wp:extent cx="5812404" cy="3914775"/>
            <wp:effectExtent l="0" t="0" r="17145" b="9525"/>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458DB" w:rsidRDefault="00E458DB" w:rsidP="000B1334">
      <w:pPr>
        <w:spacing w:after="120" w:line="360" w:lineRule="auto"/>
        <w:ind w:left="238"/>
        <w:jc w:val="both"/>
      </w:pPr>
    </w:p>
    <w:p w:rsidR="000B1334" w:rsidRPr="008A4E12" w:rsidRDefault="000B1334" w:rsidP="000B1334">
      <w:pPr>
        <w:spacing w:after="120" w:line="360" w:lineRule="auto"/>
        <w:ind w:left="238"/>
        <w:jc w:val="both"/>
      </w:pPr>
      <w:r w:rsidRPr="008A4E12">
        <w:t>Nikomu nie przypisano odpowiedzialności za naruszenie dyscypliny finansów publicznych związane z przeznaczeniem środków z rezerwy na inny cel (art. 12)</w:t>
      </w:r>
      <w:r>
        <w:t>,</w:t>
      </w:r>
      <w:r w:rsidRPr="008A4E12">
        <w:t xml:space="preserve"> </w:t>
      </w:r>
      <w:r>
        <w:t>zaciągnięciem zobowiązania w </w:t>
      </w:r>
      <w:r w:rsidRPr="008A4E12">
        <w:t xml:space="preserve">związku z realizacją programu polityki zdrowotnej </w:t>
      </w:r>
      <w:r>
        <w:t>(art. 12 </w:t>
      </w:r>
      <w:r w:rsidRPr="008A4E12">
        <w:t>a</w:t>
      </w:r>
      <w:r>
        <w:t xml:space="preserve">), </w:t>
      </w:r>
      <w:r w:rsidRPr="008A4E12">
        <w:t>oraz z</w:t>
      </w:r>
      <w:r>
        <w:t> </w:t>
      </w:r>
      <w:r w:rsidRPr="008A4E12">
        <w:t>przyznawaniem i przekazywaniem środków unijnych lub zagranicznych (art. 13 pkt 1, 2, 3, 4, 5, 9). Nie było t</w:t>
      </w:r>
      <w:r>
        <w:t>eż czynów określonych w art. 17 ust. 1 ba, art. 17 ust. 1 d, art. 17 ust. 5, art. 17 ust. 6 – czyny dotyczące udzielania zamówień publicznych.</w:t>
      </w:r>
      <w:r>
        <w:rPr>
          <w:color w:val="000000"/>
        </w:rPr>
        <w:t xml:space="preserve">. Nie zostały wykazane również czyny określone w art. 9a (w zakresie subwencji dla podmiotów szkolnictwa wyższego) albowiem </w:t>
      </w:r>
      <w:r w:rsidR="00F358D2">
        <w:rPr>
          <w:color w:val="000000"/>
        </w:rPr>
        <w:t xml:space="preserve">czyn ten </w:t>
      </w:r>
      <w:r>
        <w:rPr>
          <w:color w:val="000000"/>
        </w:rPr>
        <w:t>wsz</w:t>
      </w:r>
      <w:r w:rsidR="00F358D2">
        <w:rPr>
          <w:color w:val="000000"/>
        </w:rPr>
        <w:t>edł</w:t>
      </w:r>
      <w:r>
        <w:rPr>
          <w:color w:val="000000"/>
        </w:rPr>
        <w:t xml:space="preserve"> w</w:t>
      </w:r>
      <w:r w:rsidR="00F358D2">
        <w:rPr>
          <w:color w:val="000000"/>
        </w:rPr>
        <w:t xml:space="preserve"> </w:t>
      </w:r>
      <w:r>
        <w:rPr>
          <w:color w:val="000000"/>
        </w:rPr>
        <w:t>życie 1 października 2018</w:t>
      </w:r>
      <w:r w:rsidR="00F358D2">
        <w:rPr>
          <w:color w:val="000000"/>
        </w:rPr>
        <w:t xml:space="preserve"> </w:t>
      </w:r>
      <w:r>
        <w:rPr>
          <w:color w:val="000000"/>
        </w:rPr>
        <w:t>r</w:t>
      </w:r>
      <w:r w:rsidR="00F358D2">
        <w:rPr>
          <w:color w:val="000000"/>
        </w:rPr>
        <w:t>.</w:t>
      </w:r>
      <w:r>
        <w:rPr>
          <w:color w:val="000000"/>
        </w:rPr>
        <w:t xml:space="preserve">  w związku z tym nie był uwzględniony w sprawozdawczości za 2018 r. </w:t>
      </w:r>
    </w:p>
    <w:p w:rsidR="000B1334" w:rsidRDefault="000B1334" w:rsidP="000B1334"/>
    <w:p w:rsidR="000B1334" w:rsidRPr="001B77BB" w:rsidRDefault="000B1334" w:rsidP="000B1334">
      <w:pPr>
        <w:pStyle w:val="Tekstpodstawowy"/>
        <w:numPr>
          <w:ilvl w:val="0"/>
          <w:numId w:val="25"/>
        </w:numPr>
        <w:spacing w:after="120" w:line="360" w:lineRule="auto"/>
        <w:ind w:hanging="480"/>
        <w:rPr>
          <w:b/>
        </w:rPr>
      </w:pPr>
      <w:r w:rsidRPr="001B77BB">
        <w:rPr>
          <w:b/>
        </w:rPr>
        <w:t>Sprawy pozostające do rozpoznania na koniec roku sprawozdawczego</w:t>
      </w:r>
      <w:r>
        <w:rPr>
          <w:b/>
        </w:rPr>
        <w:t>.</w:t>
      </w:r>
    </w:p>
    <w:p w:rsidR="000B1334" w:rsidRDefault="000B1334" w:rsidP="000B1334">
      <w:pPr>
        <w:pStyle w:val="Tekstpodstawowy"/>
        <w:spacing w:line="360" w:lineRule="auto"/>
        <w:ind w:left="482"/>
      </w:pPr>
      <w:r>
        <w:t>Na koniec roku 2018 w komisjach orzekających pierwszej instancji pozostało do rozpoznania 352 sprawy, z czego:</w:t>
      </w:r>
    </w:p>
    <w:p w:rsidR="000B1334" w:rsidRDefault="000B1334" w:rsidP="000B1334">
      <w:pPr>
        <w:pStyle w:val="Tekstpodstawowy"/>
        <w:numPr>
          <w:ilvl w:val="0"/>
          <w:numId w:val="5"/>
        </w:numPr>
        <w:tabs>
          <w:tab w:val="clear" w:pos="720"/>
          <w:tab w:val="num" w:pos="300"/>
          <w:tab w:val="num" w:pos="1079"/>
        </w:tabs>
        <w:spacing w:line="360" w:lineRule="auto"/>
        <w:ind w:left="301" w:firstLine="189"/>
      </w:pPr>
      <w:r>
        <w:t>w stosunku do 216 obwinionych – w regionalnych komisjach orzekających,</w:t>
      </w:r>
    </w:p>
    <w:p w:rsidR="000B1334" w:rsidRDefault="000B1334" w:rsidP="000B1334">
      <w:pPr>
        <w:pStyle w:val="Tekstpodstawowy"/>
        <w:numPr>
          <w:ilvl w:val="0"/>
          <w:numId w:val="5"/>
        </w:numPr>
        <w:tabs>
          <w:tab w:val="clear" w:pos="720"/>
          <w:tab w:val="num" w:pos="300"/>
          <w:tab w:val="num" w:pos="1079"/>
        </w:tabs>
        <w:spacing w:line="360" w:lineRule="auto"/>
        <w:ind w:left="301" w:firstLine="189"/>
      </w:pPr>
      <w:r>
        <w:t>w stosunku do 135 obwinionych – w międzyresortowych komisjach orzekających,</w:t>
      </w:r>
    </w:p>
    <w:p w:rsidR="000B1334" w:rsidRDefault="000B1334" w:rsidP="000B1334">
      <w:pPr>
        <w:pStyle w:val="Tekstpodstawowy"/>
        <w:numPr>
          <w:ilvl w:val="0"/>
          <w:numId w:val="5"/>
        </w:numPr>
        <w:spacing w:after="120" w:line="360" w:lineRule="auto"/>
      </w:pPr>
      <w:r>
        <w:lastRenderedPageBreak/>
        <w:t xml:space="preserve">w stosunku do 1 obwinionego – w Komisji Orzekającej przy Szefie </w:t>
      </w:r>
      <w:r w:rsidRPr="00563C85">
        <w:t>Kancelarii Prezesa Rady Ministrów</w:t>
      </w:r>
      <w:r>
        <w:t>.</w:t>
      </w:r>
    </w:p>
    <w:p w:rsidR="000B1334" w:rsidRDefault="000B1334" w:rsidP="000B1334">
      <w:pPr>
        <w:pStyle w:val="Tekstpodstawowy"/>
        <w:spacing w:line="360" w:lineRule="auto"/>
        <w:ind w:left="489"/>
      </w:pPr>
      <w:r>
        <w:t>Na koniec 2018 r. najmniej spraw pozostało do rozpoznania w regionalnych komisjach o</w:t>
      </w:r>
      <w:r w:rsidRPr="008C2C14">
        <w:t>rzekających</w:t>
      </w:r>
      <w:r>
        <w:t xml:space="preserve"> przy Regionalnej Izbie Obrachunkowej w:</w:t>
      </w:r>
    </w:p>
    <w:p w:rsidR="000B1334" w:rsidRPr="00555566" w:rsidRDefault="000B1334" w:rsidP="000B1334">
      <w:pPr>
        <w:pStyle w:val="Tekstpodstawowy"/>
        <w:numPr>
          <w:ilvl w:val="0"/>
          <w:numId w:val="5"/>
        </w:numPr>
        <w:tabs>
          <w:tab w:val="clear" w:pos="720"/>
          <w:tab w:val="num" w:pos="1092"/>
        </w:tabs>
        <w:spacing w:line="360" w:lineRule="auto"/>
        <w:ind w:left="1123" w:hanging="675"/>
      </w:pPr>
      <w:r w:rsidRPr="00555566">
        <w:t>Zielonej Górze i Bydgoszczy – po 2 obwinionych,</w:t>
      </w:r>
    </w:p>
    <w:p w:rsidR="000B1334" w:rsidRPr="00555566" w:rsidRDefault="000B1334" w:rsidP="000B1334">
      <w:pPr>
        <w:pStyle w:val="Tekstpodstawowy"/>
        <w:numPr>
          <w:ilvl w:val="0"/>
          <w:numId w:val="5"/>
        </w:numPr>
        <w:tabs>
          <w:tab w:val="clear" w:pos="720"/>
          <w:tab w:val="num" w:pos="1092"/>
        </w:tabs>
        <w:spacing w:line="360" w:lineRule="auto"/>
        <w:ind w:left="1123" w:hanging="675"/>
      </w:pPr>
      <w:r w:rsidRPr="00555566">
        <w:t>Olsztynie – 5 obwinionych.</w:t>
      </w:r>
    </w:p>
    <w:p w:rsidR="000B1334" w:rsidRDefault="000B1334" w:rsidP="000B1334">
      <w:pPr>
        <w:pStyle w:val="Tekstpodstawowy"/>
        <w:spacing w:line="360" w:lineRule="auto"/>
        <w:ind w:left="489"/>
      </w:pPr>
      <w:r w:rsidRPr="00E5562D">
        <w:t xml:space="preserve">Najwięcej spraw </w:t>
      </w:r>
      <w:r>
        <w:t>do rozpoznania pozostało w regionalnych komisjach o</w:t>
      </w:r>
      <w:r w:rsidRPr="008C2C14">
        <w:t>rzekających</w:t>
      </w:r>
      <w:r>
        <w:t xml:space="preserve"> przy Regionalnej Izbie Obrachunkowej w:</w:t>
      </w:r>
    </w:p>
    <w:p w:rsidR="000B1334" w:rsidRPr="00555566" w:rsidRDefault="000B1334" w:rsidP="000B1334">
      <w:pPr>
        <w:pStyle w:val="Tekstpodstawowy"/>
        <w:numPr>
          <w:ilvl w:val="0"/>
          <w:numId w:val="5"/>
        </w:numPr>
        <w:tabs>
          <w:tab w:val="clear" w:pos="720"/>
          <w:tab w:val="num" w:pos="1092"/>
        </w:tabs>
        <w:spacing w:line="360" w:lineRule="auto"/>
        <w:ind w:left="1123" w:hanging="675"/>
      </w:pPr>
      <w:r w:rsidRPr="00EC3D52">
        <w:t xml:space="preserve">Katowicach i </w:t>
      </w:r>
      <w:r w:rsidRPr="00453D22">
        <w:t>Wrocławiu</w:t>
      </w:r>
      <w:r w:rsidRPr="007620DE">
        <w:t xml:space="preserve"> </w:t>
      </w:r>
      <w:r w:rsidRPr="007D3346">
        <w:t xml:space="preserve">– </w:t>
      </w:r>
      <w:r w:rsidRPr="00555566">
        <w:t>po 28 obwinionych,</w:t>
      </w:r>
    </w:p>
    <w:p w:rsidR="000B1334" w:rsidRPr="00555566" w:rsidRDefault="000B1334" w:rsidP="000B1334">
      <w:pPr>
        <w:pStyle w:val="Tekstpodstawowy"/>
        <w:numPr>
          <w:ilvl w:val="0"/>
          <w:numId w:val="5"/>
        </w:numPr>
        <w:tabs>
          <w:tab w:val="clear" w:pos="720"/>
          <w:tab w:val="num" w:pos="1092"/>
        </w:tabs>
        <w:spacing w:line="360" w:lineRule="auto"/>
        <w:ind w:left="1123" w:hanging="675"/>
      </w:pPr>
      <w:r w:rsidRPr="00555566">
        <w:t>Białymstoku – 25 obwinionych.</w:t>
      </w:r>
    </w:p>
    <w:p w:rsidR="000B1334" w:rsidRDefault="000B1334" w:rsidP="000B1334">
      <w:pPr>
        <w:pStyle w:val="Tekstpodstawowy"/>
        <w:spacing w:line="360" w:lineRule="auto"/>
        <w:ind w:left="489"/>
      </w:pPr>
      <w:r w:rsidRPr="001F43EB">
        <w:t>Najwięcej spraw</w:t>
      </w:r>
      <w:r>
        <w:t>, spośród międzyresortowych komisji orzekających,</w:t>
      </w:r>
      <w:r w:rsidRPr="001F43EB">
        <w:t xml:space="preserve"> pozostało na koniec roku w Międzyresortowej Komisji Orzekającej przy </w:t>
      </w:r>
      <w:r>
        <w:t>ministrze właściwym do spraw administracji publicznej</w:t>
      </w:r>
      <w:r w:rsidRPr="001F43EB">
        <w:t xml:space="preserve"> – </w:t>
      </w:r>
      <w:r>
        <w:rPr>
          <w:szCs w:val="24"/>
        </w:rPr>
        <w:t>105 obwinionych</w:t>
      </w:r>
      <w:r w:rsidRPr="001F43EB">
        <w:t>.</w:t>
      </w:r>
    </w:p>
    <w:p w:rsidR="000B1334" w:rsidRDefault="000B1334" w:rsidP="000B1334">
      <w:pPr>
        <w:rPr>
          <w:szCs w:val="20"/>
        </w:rPr>
      </w:pPr>
    </w:p>
    <w:p w:rsidR="000B1334" w:rsidRDefault="000B1334" w:rsidP="000B1334">
      <w:pPr>
        <w:tabs>
          <w:tab w:val="left" w:pos="600"/>
          <w:tab w:val="left" w:pos="720"/>
        </w:tabs>
        <w:spacing w:before="120" w:line="360" w:lineRule="auto"/>
        <w:ind w:left="1559" w:hanging="1559"/>
        <w:jc w:val="both"/>
      </w:pPr>
      <w:r>
        <w:t>Wykres nr 1</w:t>
      </w:r>
      <w:r w:rsidR="00951915">
        <w:t>5</w:t>
      </w:r>
      <w:r w:rsidRPr="006833B2">
        <w:t xml:space="preserve">: Sprawy pozostające do rozpoznania wg stanu na koniec roku </w:t>
      </w:r>
    </w:p>
    <w:p w:rsidR="000B1334" w:rsidRDefault="000B1334" w:rsidP="000B1334">
      <w:pPr>
        <w:tabs>
          <w:tab w:val="left" w:pos="600"/>
          <w:tab w:val="left" w:pos="720"/>
        </w:tabs>
        <w:spacing w:after="120" w:line="360" w:lineRule="auto"/>
        <w:ind w:left="1418" w:hanging="1418"/>
        <w:jc w:val="both"/>
      </w:pPr>
      <w:r>
        <w:tab/>
      </w:r>
      <w:r>
        <w:tab/>
      </w:r>
      <w:r>
        <w:tab/>
      </w:r>
      <w:r w:rsidRPr="006833B2">
        <w:t>(ujęcie porównawcze</w:t>
      </w:r>
      <w:r>
        <w:t xml:space="preserve"> lata </w:t>
      </w:r>
      <w:r w:rsidRPr="006833B2">
        <w:t>201</w:t>
      </w:r>
      <w:r>
        <w:t>5 – 2018</w:t>
      </w:r>
      <w:r w:rsidRPr="006833B2">
        <w:t>)</w:t>
      </w:r>
    </w:p>
    <w:p w:rsidR="000B1334" w:rsidRPr="000A702D" w:rsidRDefault="000B1334" w:rsidP="000B1334">
      <w:pPr>
        <w:tabs>
          <w:tab w:val="left" w:pos="600"/>
          <w:tab w:val="left" w:pos="720"/>
        </w:tabs>
        <w:spacing w:after="120" w:line="360" w:lineRule="auto"/>
        <w:jc w:val="both"/>
      </w:pPr>
      <w:r>
        <w:rPr>
          <w:noProof/>
        </w:rPr>
        <w:drawing>
          <wp:inline distT="0" distB="0" distL="0" distR="0" wp14:anchorId="4577B6CC" wp14:editId="1CAC94BE">
            <wp:extent cx="5763260" cy="3685649"/>
            <wp:effectExtent l="0" t="0" r="46990" b="2921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B1334" w:rsidRDefault="000B1334" w:rsidP="000B1334">
      <w:pPr>
        <w:rPr>
          <w:szCs w:val="20"/>
        </w:rPr>
      </w:pPr>
    </w:p>
    <w:p w:rsidR="000B1334" w:rsidRDefault="000B1334" w:rsidP="000B1334">
      <w:pPr>
        <w:rPr>
          <w:szCs w:val="20"/>
        </w:rPr>
      </w:pPr>
    </w:p>
    <w:p w:rsidR="000B1334" w:rsidRDefault="000B1334" w:rsidP="000B1334">
      <w:pPr>
        <w:rPr>
          <w:szCs w:val="20"/>
        </w:rPr>
      </w:pPr>
      <w:r>
        <w:rPr>
          <w:szCs w:val="20"/>
        </w:rPr>
        <w:br w:type="page"/>
      </w:r>
    </w:p>
    <w:p w:rsidR="000B1334" w:rsidRDefault="000B1334" w:rsidP="000B1334">
      <w:pPr>
        <w:rPr>
          <w:szCs w:val="20"/>
        </w:rPr>
      </w:pPr>
    </w:p>
    <w:p w:rsidR="000B1334" w:rsidRDefault="000B1334" w:rsidP="000B1334">
      <w:pPr>
        <w:pStyle w:val="Tekstpodstawowy"/>
        <w:spacing w:after="120" w:line="360" w:lineRule="auto"/>
      </w:pPr>
      <w:r>
        <w:t>Załączniki:</w:t>
      </w:r>
    </w:p>
    <w:p w:rsidR="000B1334" w:rsidRDefault="000B1334" w:rsidP="000B1334">
      <w:pPr>
        <w:pStyle w:val="Tekstpodstawowy"/>
        <w:numPr>
          <w:ilvl w:val="0"/>
          <w:numId w:val="6"/>
        </w:numPr>
        <w:spacing w:after="120" w:line="360" w:lineRule="auto"/>
      </w:pPr>
      <w:r>
        <w:t>Załącznik Nr 1 – Sprawozdanie o sposobie rozpoznania wniosków o ukaranie wniesionych w roku 2018 do Regionalnych Komisji Orzekających w sprawach o naruszenie dyscypliny finansów publicznych przy Regionalnych Izbach Obrachunkowych.</w:t>
      </w:r>
    </w:p>
    <w:p w:rsidR="000B1334" w:rsidRDefault="000B1334" w:rsidP="000B1334">
      <w:pPr>
        <w:pStyle w:val="Tekstpodstawowy"/>
        <w:numPr>
          <w:ilvl w:val="0"/>
          <w:numId w:val="6"/>
        </w:numPr>
        <w:spacing w:after="120" w:line="360" w:lineRule="auto"/>
      </w:pPr>
      <w:r>
        <w:t>Załącznik Nr 2 – Sprawozdanie o sposobie rozpoznania wniosków o ukaranie wniesionych w roku 2018 do Międzyresortowych Komisji Orzekających w sprawach o naruszenie dyscypliny finansów publicznych.</w:t>
      </w:r>
    </w:p>
    <w:p w:rsidR="000B1334" w:rsidRDefault="000B1334" w:rsidP="000B1334">
      <w:pPr>
        <w:pStyle w:val="Tekstpodstawowy"/>
        <w:numPr>
          <w:ilvl w:val="0"/>
          <w:numId w:val="6"/>
        </w:numPr>
        <w:spacing w:after="120" w:line="360" w:lineRule="auto"/>
      </w:pPr>
      <w:r>
        <w:t>Załącznik Nr 3 – Sprawozdanie o sposobie rozpoznania wniosków o ukaranie wniesionych w roku 2018 do komisji orzekających w sprawach o naruszenie dyscypliny finansów publicznych – zbiorczo.</w:t>
      </w:r>
    </w:p>
    <w:p w:rsidR="000B1334" w:rsidRDefault="000B1334" w:rsidP="000B1334">
      <w:pPr>
        <w:pStyle w:val="Tekstpodstawowy"/>
        <w:numPr>
          <w:ilvl w:val="0"/>
          <w:numId w:val="6"/>
        </w:numPr>
        <w:spacing w:after="120" w:line="360" w:lineRule="auto"/>
      </w:pPr>
      <w:r>
        <w:t xml:space="preserve">Załącznik Nr 4 – Sprawozdanie o sposobie rozpoznania wniosków o ukaranie wniesionych w roku 2015 – 2018 – zbiorczo w ujęciu porównawczym. </w:t>
      </w:r>
    </w:p>
    <w:p w:rsidR="000B1334" w:rsidRPr="008B61CD" w:rsidRDefault="000B1334" w:rsidP="000B1334">
      <w:pPr>
        <w:pStyle w:val="Tekstpodstawowy"/>
        <w:spacing w:after="120" w:line="360" w:lineRule="auto"/>
        <w:rPr>
          <w:b/>
          <w:bCs/>
          <w:szCs w:val="24"/>
        </w:rPr>
      </w:pPr>
    </w:p>
    <w:p w:rsidR="000B1334" w:rsidRPr="008B61CD" w:rsidRDefault="000B1334" w:rsidP="000B1334">
      <w:pPr>
        <w:pStyle w:val="Tekstpodstawowy"/>
        <w:spacing w:after="120" w:line="360" w:lineRule="auto"/>
        <w:rPr>
          <w:b/>
          <w:bCs/>
          <w:szCs w:val="24"/>
        </w:rPr>
      </w:pPr>
    </w:p>
    <w:p w:rsidR="000B1334" w:rsidRDefault="000B1334" w:rsidP="000B1334">
      <w:pPr>
        <w:pStyle w:val="Tekstpodstawowy"/>
        <w:spacing w:after="120" w:line="360" w:lineRule="auto"/>
        <w:rPr>
          <w:b/>
          <w:bCs/>
          <w:szCs w:val="24"/>
        </w:rPr>
      </w:pPr>
    </w:p>
    <w:p w:rsidR="000B1334" w:rsidRDefault="000B1334" w:rsidP="000B1334">
      <w:pPr>
        <w:pStyle w:val="Tekstpodstawowy"/>
        <w:spacing w:after="120" w:line="360" w:lineRule="auto"/>
        <w:rPr>
          <w:b/>
          <w:bCs/>
          <w:szCs w:val="24"/>
        </w:rPr>
      </w:pPr>
    </w:p>
    <w:p w:rsidR="000B1334" w:rsidRDefault="000B1334" w:rsidP="000B1334">
      <w:pPr>
        <w:pStyle w:val="Tekstpodstawowy"/>
        <w:spacing w:after="120" w:line="360" w:lineRule="auto"/>
        <w:rPr>
          <w:b/>
          <w:bCs/>
          <w:szCs w:val="24"/>
        </w:rPr>
      </w:pPr>
    </w:p>
    <w:p w:rsidR="000B1334" w:rsidRDefault="000B1334" w:rsidP="000B1334">
      <w:pPr>
        <w:pStyle w:val="Tekstpodstawowy"/>
        <w:spacing w:after="120" w:line="360" w:lineRule="auto"/>
        <w:rPr>
          <w:b/>
          <w:bCs/>
          <w:szCs w:val="24"/>
        </w:rPr>
      </w:pPr>
    </w:p>
    <w:p w:rsidR="000B1334" w:rsidRDefault="000B1334" w:rsidP="000B1334">
      <w:pPr>
        <w:pStyle w:val="Tekstpodstawowy"/>
        <w:spacing w:after="120" w:line="360" w:lineRule="auto"/>
        <w:rPr>
          <w:b/>
          <w:bCs/>
          <w:szCs w:val="24"/>
        </w:rPr>
      </w:pPr>
    </w:p>
    <w:p w:rsidR="00E458DB" w:rsidRDefault="00E458DB" w:rsidP="000B1334">
      <w:pPr>
        <w:pStyle w:val="Tekstpodstawowy"/>
        <w:spacing w:after="120" w:line="360" w:lineRule="auto"/>
        <w:rPr>
          <w:b/>
          <w:bCs/>
          <w:szCs w:val="24"/>
        </w:rPr>
      </w:pPr>
    </w:p>
    <w:p w:rsidR="000B1334" w:rsidRDefault="000B1334" w:rsidP="000B1334">
      <w:pPr>
        <w:pStyle w:val="Tekstpodstawowy"/>
        <w:spacing w:after="120" w:line="360" w:lineRule="auto"/>
        <w:rPr>
          <w:b/>
          <w:bCs/>
          <w:szCs w:val="24"/>
        </w:rPr>
      </w:pPr>
    </w:p>
    <w:p w:rsidR="000B1334" w:rsidRPr="008B61CD" w:rsidRDefault="000B1334" w:rsidP="000B1334">
      <w:pPr>
        <w:pStyle w:val="Tekstpodstawowy"/>
        <w:spacing w:after="120" w:line="360" w:lineRule="auto"/>
        <w:rPr>
          <w:b/>
          <w:bCs/>
          <w:szCs w:val="24"/>
        </w:rPr>
      </w:pPr>
    </w:p>
    <w:p w:rsidR="000B1334" w:rsidRPr="008B61CD" w:rsidRDefault="000B1334" w:rsidP="000B1334">
      <w:pPr>
        <w:pStyle w:val="Tekstpodstawowy"/>
        <w:spacing w:after="120" w:line="360" w:lineRule="auto"/>
        <w:rPr>
          <w:b/>
          <w:bCs/>
          <w:szCs w:val="24"/>
        </w:rPr>
      </w:pPr>
    </w:p>
    <w:p w:rsidR="000B1334" w:rsidRPr="00F83843" w:rsidRDefault="000B1334" w:rsidP="000B1334">
      <w:pPr>
        <w:pStyle w:val="Tekstpodstawowy"/>
        <w:spacing w:after="120"/>
        <w:jc w:val="left"/>
        <w:rPr>
          <w:b/>
          <w:i/>
          <w:sz w:val="20"/>
        </w:rPr>
      </w:pPr>
      <w:r w:rsidRPr="00F83843">
        <w:rPr>
          <w:b/>
          <w:i/>
          <w:sz w:val="20"/>
        </w:rPr>
        <w:t>Opracowanie:</w:t>
      </w:r>
      <w:r w:rsidRPr="00F83843">
        <w:rPr>
          <w:b/>
          <w:i/>
          <w:sz w:val="20"/>
        </w:rPr>
        <w:tab/>
        <w:t>Biuro Dyscypliny Finansów Publicznych Ministerstwa Finansów ,</w:t>
      </w:r>
    </w:p>
    <w:p w:rsidR="000B1334" w:rsidRPr="00F83843" w:rsidRDefault="000B1334" w:rsidP="000B1334">
      <w:pPr>
        <w:pStyle w:val="Tekstpodstawowy"/>
        <w:spacing w:after="120"/>
        <w:ind w:left="708" w:firstLine="708"/>
        <w:jc w:val="left"/>
        <w:rPr>
          <w:b/>
          <w:i/>
          <w:sz w:val="20"/>
        </w:rPr>
      </w:pPr>
      <w:r w:rsidRPr="00F83843">
        <w:rPr>
          <w:b/>
          <w:i/>
          <w:sz w:val="20"/>
        </w:rPr>
        <w:t xml:space="preserve">Wydział I Głównej Komisji Orzekającej </w:t>
      </w:r>
      <w:r>
        <w:rPr>
          <w:b/>
          <w:i/>
          <w:sz w:val="20"/>
        </w:rPr>
        <w:t xml:space="preserve">S. Mosór,  </w:t>
      </w:r>
      <w:r w:rsidRPr="00F83843">
        <w:rPr>
          <w:b/>
          <w:i/>
          <w:sz w:val="20"/>
        </w:rPr>
        <w:t>A. Jedlińska</w:t>
      </w:r>
    </w:p>
    <w:p w:rsidR="000B1334" w:rsidRPr="00F83843" w:rsidRDefault="000B1334" w:rsidP="000B1334">
      <w:pPr>
        <w:pStyle w:val="Tekstpodstawowy"/>
        <w:spacing w:after="120"/>
        <w:ind w:left="708" w:firstLine="708"/>
        <w:jc w:val="left"/>
        <w:rPr>
          <w:b/>
          <w:i/>
          <w:sz w:val="20"/>
        </w:rPr>
      </w:pPr>
      <w:r w:rsidRPr="00F83843">
        <w:rPr>
          <w:b/>
          <w:i/>
          <w:sz w:val="20"/>
        </w:rPr>
        <w:t>Stanowisko Pracy ds. Analiz i Sprawozdawczości M. Zych</w:t>
      </w:r>
    </w:p>
    <w:p w:rsidR="000B1334" w:rsidRPr="00F83843" w:rsidRDefault="000B1334" w:rsidP="000B1334">
      <w:pPr>
        <w:pStyle w:val="Tekstpodstawowy"/>
        <w:spacing w:after="120" w:line="360" w:lineRule="auto"/>
        <w:ind w:left="708" w:firstLine="708"/>
        <w:jc w:val="left"/>
        <w:rPr>
          <w:b/>
          <w:i/>
          <w:sz w:val="20"/>
        </w:rPr>
      </w:pPr>
    </w:p>
    <w:p w:rsidR="000B1334" w:rsidRPr="00F83843" w:rsidRDefault="000B1334" w:rsidP="000B1334">
      <w:pPr>
        <w:pStyle w:val="Tekstpodstawowy"/>
        <w:spacing w:after="120" w:line="360" w:lineRule="auto"/>
        <w:jc w:val="left"/>
        <w:rPr>
          <w:sz w:val="20"/>
        </w:rPr>
      </w:pPr>
      <w:r w:rsidRPr="00F83843">
        <w:rPr>
          <w:b/>
          <w:i/>
          <w:sz w:val="20"/>
        </w:rPr>
        <w:t>Akceptacja:</w:t>
      </w:r>
      <w:r w:rsidRPr="00F83843">
        <w:rPr>
          <w:b/>
          <w:i/>
          <w:sz w:val="20"/>
        </w:rPr>
        <w:tab/>
        <w:t>Z. Zieliński, Dyrektor Biura Dyscypliny Finansów Publicznych</w:t>
      </w:r>
    </w:p>
    <w:p w:rsidR="00D21305" w:rsidRPr="00F83843" w:rsidRDefault="00D21305" w:rsidP="00695C9D">
      <w:pPr>
        <w:pStyle w:val="Tekstpodstawowy"/>
        <w:tabs>
          <w:tab w:val="left" w:pos="927"/>
        </w:tabs>
        <w:spacing w:after="120" w:line="360" w:lineRule="auto"/>
        <w:outlineLvl w:val="0"/>
        <w:rPr>
          <w:sz w:val="20"/>
        </w:rPr>
      </w:pPr>
    </w:p>
    <w:sectPr w:rsidR="00D21305" w:rsidRPr="00F83843" w:rsidSect="00B009AD">
      <w:headerReference w:type="even" r:id="rId34"/>
      <w:headerReference w:type="default" r:id="rId35"/>
      <w:pgSz w:w="11907" w:h="16840" w:code="9"/>
      <w:pgMar w:top="1418" w:right="1418" w:bottom="1140"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89E" w:rsidRDefault="0053189E">
      <w:r>
        <w:separator/>
      </w:r>
    </w:p>
  </w:endnote>
  <w:endnote w:type="continuationSeparator" w:id="0">
    <w:p w:rsidR="0053189E" w:rsidRDefault="0053189E">
      <w:r>
        <w:continuationSeparator/>
      </w:r>
    </w:p>
  </w:endnote>
  <w:endnote w:type="continuationNotice" w:id="1">
    <w:p w:rsidR="0053189E" w:rsidRDefault="00531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PL">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583733"/>
      <w:docPartObj>
        <w:docPartGallery w:val="Page Numbers (Bottom of Page)"/>
        <w:docPartUnique/>
      </w:docPartObj>
    </w:sdtPr>
    <w:sdtEndPr/>
    <w:sdtContent>
      <w:p w:rsidR="00667198" w:rsidRDefault="00667198">
        <w:pPr>
          <w:pStyle w:val="Stopka"/>
          <w:jc w:val="right"/>
        </w:pPr>
        <w:r>
          <w:fldChar w:fldCharType="begin"/>
        </w:r>
        <w:r>
          <w:instrText>PAGE   \* MERGEFORMAT</w:instrText>
        </w:r>
        <w:r>
          <w:fldChar w:fldCharType="separate"/>
        </w:r>
        <w:r w:rsidR="00301831">
          <w:rPr>
            <w:noProof/>
          </w:rPr>
          <w:t>21</w:t>
        </w:r>
        <w:r>
          <w:fldChar w:fldCharType="end"/>
        </w:r>
      </w:p>
    </w:sdtContent>
  </w:sdt>
  <w:p w:rsidR="00667198" w:rsidRDefault="0066719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198" w:rsidRDefault="00667198">
    <w:pPr>
      <w:pStyle w:val="Stopka"/>
      <w:jc w:val="right"/>
    </w:pPr>
  </w:p>
  <w:p w:rsidR="00667198" w:rsidRDefault="00667198">
    <w:pPr>
      <w:pStyle w:val="Stopka"/>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89E" w:rsidRDefault="0053189E">
      <w:r>
        <w:separator/>
      </w:r>
    </w:p>
  </w:footnote>
  <w:footnote w:type="continuationSeparator" w:id="0">
    <w:p w:rsidR="0053189E" w:rsidRDefault="0053189E">
      <w:r>
        <w:continuationSeparator/>
      </w:r>
    </w:p>
  </w:footnote>
  <w:footnote w:type="continuationNotice" w:id="1">
    <w:p w:rsidR="0053189E" w:rsidRDefault="0053189E"/>
  </w:footnote>
  <w:footnote w:id="2">
    <w:p w:rsidR="00667198" w:rsidRPr="00B009AD" w:rsidRDefault="00667198" w:rsidP="006E5C2C">
      <w:pPr>
        <w:pStyle w:val="Tekstprzypisudolnego"/>
      </w:pPr>
      <w:r w:rsidRPr="00B009AD">
        <w:rPr>
          <w:rStyle w:val="Odwoanieprzypisudolnego"/>
        </w:rPr>
        <w:footnoteRef/>
      </w:r>
      <w:r w:rsidRPr="00B009AD">
        <w:t xml:space="preserve"> Od jednego orzeczenia może być złożone więcej niż jedno odwołanie (orzeczenie może dotyczyć więcej niż jednego obwinionego a każdy z obwinionych jest uprawniony do złożenia odwołania w części dotyczącej jego osoby, ponadto rzecznik może złożyć odwołanie w części dotyczącej jednego obwinionego lub odwołania w zakresie kilku osób).</w:t>
      </w:r>
    </w:p>
    <w:p w:rsidR="00667198" w:rsidRPr="00B009AD" w:rsidRDefault="00667198" w:rsidP="006E5C2C">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198" w:rsidRDefault="0066719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67198" w:rsidRDefault="00667198">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198" w:rsidRDefault="00667198">
    <w:pPr>
      <w:pStyle w:val="Nagwek"/>
      <w:framePr w:wrap="around" w:vAnchor="text" w:hAnchor="margin" w:xAlign="right" w:y="1"/>
      <w:rPr>
        <w:rStyle w:val="Numerstrony"/>
      </w:rPr>
    </w:pPr>
  </w:p>
  <w:p w:rsidR="00667198" w:rsidRDefault="00667198">
    <w:pPr>
      <w:pStyle w:val="Nagwek"/>
      <w:ind w:right="36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198" w:rsidRDefault="00667198" w:rsidP="00062C20">
    <w:pPr>
      <w:pStyle w:val="Nagwek"/>
      <w:jc w:val="right"/>
      <w:rPr>
        <w:rStyle w:val="Numerstrony"/>
      </w:rPr>
    </w:pPr>
  </w:p>
  <w:p w:rsidR="00667198" w:rsidRDefault="00667198" w:rsidP="00062C20">
    <w:pPr>
      <w:pStyle w:val="Nagwek"/>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198" w:rsidRDefault="0066719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67198" w:rsidRDefault="00667198">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198" w:rsidRDefault="00667198">
    <w:pPr>
      <w:pStyle w:val="Nagwek"/>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198" w:rsidRDefault="0066719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67198" w:rsidRDefault="00667198">
    <w:pPr>
      <w:pStyle w:val="Nagwek"/>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198" w:rsidRDefault="00667198">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CF00B10"/>
    <w:lvl w:ilvl="0">
      <w:numFmt w:val="decimal"/>
      <w:lvlText w:val="*"/>
      <w:lvlJc w:val="left"/>
    </w:lvl>
  </w:abstractNum>
  <w:abstractNum w:abstractNumId="1" w15:restartNumberingAfterBreak="0">
    <w:nsid w:val="04A73431"/>
    <w:multiLevelType w:val="hybridMultilevel"/>
    <w:tmpl w:val="6B88A4F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813F41"/>
    <w:multiLevelType w:val="hybridMultilevel"/>
    <w:tmpl w:val="C00284A2"/>
    <w:lvl w:ilvl="0" w:tplc="D3226EFA">
      <w:start w:val="2"/>
      <w:numFmt w:val="lowerLetter"/>
      <w:lvlText w:val="%1)"/>
      <w:lvlJc w:val="left"/>
      <w:pPr>
        <w:ind w:left="720" w:hanging="360"/>
      </w:pPr>
      <w:rPr>
        <w:rFonts w:hint="default"/>
      </w:rPr>
    </w:lvl>
    <w:lvl w:ilvl="1" w:tplc="2C9831F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64DF9"/>
    <w:multiLevelType w:val="hybridMultilevel"/>
    <w:tmpl w:val="04A6CCAC"/>
    <w:lvl w:ilvl="0" w:tplc="9BA47600">
      <w:start w:val="1"/>
      <w:numFmt w:val="bullet"/>
      <w:lvlText w:val=""/>
      <w:lvlJc w:val="left"/>
      <w:pPr>
        <w:ind w:left="1480" w:hanging="360"/>
      </w:pPr>
      <w:rPr>
        <w:rFonts w:ascii="Symbol" w:hAnsi="Symbol"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4" w15:restartNumberingAfterBreak="0">
    <w:nsid w:val="0A1C73AD"/>
    <w:multiLevelType w:val="hybridMultilevel"/>
    <w:tmpl w:val="EAAA0816"/>
    <w:lvl w:ilvl="0" w:tplc="013A829C">
      <w:start w:val="1"/>
      <w:numFmt w:val="bullet"/>
      <w:lvlText w:val=""/>
      <w:lvlJc w:val="left"/>
      <w:pPr>
        <w:tabs>
          <w:tab w:val="num" w:pos="360"/>
        </w:tabs>
        <w:ind w:left="530" w:hanging="170"/>
      </w:pPr>
      <w:rPr>
        <w:rFonts w:ascii="Symbol" w:hAnsi="Symbol" w:cs="Times New Roman" w:hint="default"/>
        <w:b w:val="0"/>
        <w:i w:val="0"/>
        <w:sz w:val="24"/>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7C741A"/>
    <w:multiLevelType w:val="hybridMultilevel"/>
    <w:tmpl w:val="BCE2DF16"/>
    <w:lvl w:ilvl="0" w:tplc="2710DD8A">
      <w:numFmt w:val="bullet"/>
      <w:lvlText w:val="-"/>
      <w:lvlJc w:val="left"/>
      <w:pPr>
        <w:tabs>
          <w:tab w:val="num" w:pos="787"/>
        </w:tabs>
        <w:ind w:left="787" w:hanging="360"/>
      </w:pPr>
      <w:rPr>
        <w:rFonts w:ascii="Times New Roman" w:eastAsia="Times New Roman" w:hAnsi="Times New Roman" w:cs="Times New Roman" w:hint="default"/>
      </w:rPr>
    </w:lvl>
    <w:lvl w:ilvl="1" w:tplc="6C686AEC">
      <w:numFmt w:val="decimal"/>
      <w:lvlText w:val="%2."/>
      <w:lvlJc w:val="left"/>
      <w:pPr>
        <w:tabs>
          <w:tab w:val="num" w:pos="567"/>
        </w:tabs>
        <w:ind w:left="567" w:hanging="567"/>
      </w:pPr>
      <w:rPr>
        <w:rFonts w:hint="default"/>
      </w:rPr>
    </w:lvl>
    <w:lvl w:ilvl="2" w:tplc="04150005" w:tentative="1">
      <w:start w:val="1"/>
      <w:numFmt w:val="bullet"/>
      <w:lvlText w:val=""/>
      <w:lvlJc w:val="left"/>
      <w:pPr>
        <w:tabs>
          <w:tab w:val="num" w:pos="2227"/>
        </w:tabs>
        <w:ind w:left="2227" w:hanging="360"/>
      </w:pPr>
      <w:rPr>
        <w:rFonts w:ascii="Wingdings" w:hAnsi="Wingdings" w:hint="default"/>
      </w:rPr>
    </w:lvl>
    <w:lvl w:ilvl="3" w:tplc="04150001" w:tentative="1">
      <w:start w:val="1"/>
      <w:numFmt w:val="bullet"/>
      <w:lvlText w:val=""/>
      <w:lvlJc w:val="left"/>
      <w:pPr>
        <w:tabs>
          <w:tab w:val="num" w:pos="2947"/>
        </w:tabs>
        <w:ind w:left="2947" w:hanging="360"/>
      </w:pPr>
      <w:rPr>
        <w:rFonts w:ascii="Symbol" w:hAnsi="Symbol" w:hint="default"/>
      </w:rPr>
    </w:lvl>
    <w:lvl w:ilvl="4" w:tplc="04150003" w:tentative="1">
      <w:start w:val="1"/>
      <w:numFmt w:val="bullet"/>
      <w:lvlText w:val="o"/>
      <w:lvlJc w:val="left"/>
      <w:pPr>
        <w:tabs>
          <w:tab w:val="num" w:pos="3667"/>
        </w:tabs>
        <w:ind w:left="3667" w:hanging="360"/>
      </w:pPr>
      <w:rPr>
        <w:rFonts w:ascii="Courier New" w:hAnsi="Courier New" w:hint="default"/>
      </w:rPr>
    </w:lvl>
    <w:lvl w:ilvl="5" w:tplc="04150005" w:tentative="1">
      <w:start w:val="1"/>
      <w:numFmt w:val="bullet"/>
      <w:lvlText w:val=""/>
      <w:lvlJc w:val="left"/>
      <w:pPr>
        <w:tabs>
          <w:tab w:val="num" w:pos="4387"/>
        </w:tabs>
        <w:ind w:left="4387" w:hanging="360"/>
      </w:pPr>
      <w:rPr>
        <w:rFonts w:ascii="Wingdings" w:hAnsi="Wingdings" w:hint="default"/>
      </w:rPr>
    </w:lvl>
    <w:lvl w:ilvl="6" w:tplc="04150001" w:tentative="1">
      <w:start w:val="1"/>
      <w:numFmt w:val="bullet"/>
      <w:lvlText w:val=""/>
      <w:lvlJc w:val="left"/>
      <w:pPr>
        <w:tabs>
          <w:tab w:val="num" w:pos="5107"/>
        </w:tabs>
        <w:ind w:left="5107" w:hanging="360"/>
      </w:pPr>
      <w:rPr>
        <w:rFonts w:ascii="Symbol" w:hAnsi="Symbol" w:hint="default"/>
      </w:rPr>
    </w:lvl>
    <w:lvl w:ilvl="7" w:tplc="04150003" w:tentative="1">
      <w:start w:val="1"/>
      <w:numFmt w:val="bullet"/>
      <w:lvlText w:val="o"/>
      <w:lvlJc w:val="left"/>
      <w:pPr>
        <w:tabs>
          <w:tab w:val="num" w:pos="5827"/>
        </w:tabs>
        <w:ind w:left="5827" w:hanging="360"/>
      </w:pPr>
      <w:rPr>
        <w:rFonts w:ascii="Courier New" w:hAnsi="Courier New" w:hint="default"/>
      </w:rPr>
    </w:lvl>
    <w:lvl w:ilvl="8" w:tplc="04150005" w:tentative="1">
      <w:start w:val="1"/>
      <w:numFmt w:val="bullet"/>
      <w:lvlText w:val=""/>
      <w:lvlJc w:val="left"/>
      <w:pPr>
        <w:tabs>
          <w:tab w:val="num" w:pos="6547"/>
        </w:tabs>
        <w:ind w:left="6547" w:hanging="360"/>
      </w:pPr>
      <w:rPr>
        <w:rFonts w:ascii="Wingdings" w:hAnsi="Wingdings" w:hint="default"/>
      </w:rPr>
    </w:lvl>
  </w:abstractNum>
  <w:abstractNum w:abstractNumId="6" w15:restartNumberingAfterBreak="0">
    <w:nsid w:val="0C350608"/>
    <w:multiLevelType w:val="hybridMultilevel"/>
    <w:tmpl w:val="04D2655E"/>
    <w:lvl w:ilvl="0" w:tplc="2C9831F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D0109E9"/>
    <w:multiLevelType w:val="hybridMultilevel"/>
    <w:tmpl w:val="CB5C1010"/>
    <w:lvl w:ilvl="0" w:tplc="6C2A1B2A">
      <w:start w:val="1"/>
      <w:numFmt w:val="bullet"/>
      <w:lvlText w:val=""/>
      <w:lvlJc w:val="left"/>
      <w:pPr>
        <w:tabs>
          <w:tab w:val="num" w:pos="960"/>
        </w:tabs>
        <w:ind w:left="960" w:hanging="360"/>
      </w:pPr>
      <w:rPr>
        <w:rFonts w:ascii="Symbol" w:hAnsi="Symbol" w:hint="default"/>
      </w:rPr>
    </w:lvl>
    <w:lvl w:ilvl="1" w:tplc="04150003" w:tentative="1">
      <w:start w:val="1"/>
      <w:numFmt w:val="bullet"/>
      <w:lvlText w:val="o"/>
      <w:lvlJc w:val="left"/>
      <w:pPr>
        <w:tabs>
          <w:tab w:val="num" w:pos="1640"/>
        </w:tabs>
        <w:ind w:left="1640" w:hanging="360"/>
      </w:pPr>
      <w:rPr>
        <w:rFonts w:ascii="Courier New" w:hAnsi="Courier New" w:cs="Courier New" w:hint="default"/>
      </w:rPr>
    </w:lvl>
    <w:lvl w:ilvl="2" w:tplc="04150005" w:tentative="1">
      <w:start w:val="1"/>
      <w:numFmt w:val="bullet"/>
      <w:lvlText w:val=""/>
      <w:lvlJc w:val="left"/>
      <w:pPr>
        <w:tabs>
          <w:tab w:val="num" w:pos="2360"/>
        </w:tabs>
        <w:ind w:left="2360" w:hanging="360"/>
      </w:pPr>
      <w:rPr>
        <w:rFonts w:ascii="Wingdings" w:hAnsi="Wingdings" w:hint="default"/>
      </w:rPr>
    </w:lvl>
    <w:lvl w:ilvl="3" w:tplc="04150001" w:tentative="1">
      <w:start w:val="1"/>
      <w:numFmt w:val="bullet"/>
      <w:lvlText w:val=""/>
      <w:lvlJc w:val="left"/>
      <w:pPr>
        <w:tabs>
          <w:tab w:val="num" w:pos="3080"/>
        </w:tabs>
        <w:ind w:left="3080" w:hanging="360"/>
      </w:pPr>
      <w:rPr>
        <w:rFonts w:ascii="Symbol" w:hAnsi="Symbol" w:hint="default"/>
      </w:rPr>
    </w:lvl>
    <w:lvl w:ilvl="4" w:tplc="04150003" w:tentative="1">
      <w:start w:val="1"/>
      <w:numFmt w:val="bullet"/>
      <w:lvlText w:val="o"/>
      <w:lvlJc w:val="left"/>
      <w:pPr>
        <w:tabs>
          <w:tab w:val="num" w:pos="3800"/>
        </w:tabs>
        <w:ind w:left="3800" w:hanging="360"/>
      </w:pPr>
      <w:rPr>
        <w:rFonts w:ascii="Courier New" w:hAnsi="Courier New" w:cs="Courier New" w:hint="default"/>
      </w:rPr>
    </w:lvl>
    <w:lvl w:ilvl="5" w:tplc="04150005" w:tentative="1">
      <w:start w:val="1"/>
      <w:numFmt w:val="bullet"/>
      <w:lvlText w:val=""/>
      <w:lvlJc w:val="left"/>
      <w:pPr>
        <w:tabs>
          <w:tab w:val="num" w:pos="4520"/>
        </w:tabs>
        <w:ind w:left="4520" w:hanging="360"/>
      </w:pPr>
      <w:rPr>
        <w:rFonts w:ascii="Wingdings" w:hAnsi="Wingdings" w:hint="default"/>
      </w:rPr>
    </w:lvl>
    <w:lvl w:ilvl="6" w:tplc="04150001" w:tentative="1">
      <w:start w:val="1"/>
      <w:numFmt w:val="bullet"/>
      <w:lvlText w:val=""/>
      <w:lvlJc w:val="left"/>
      <w:pPr>
        <w:tabs>
          <w:tab w:val="num" w:pos="5240"/>
        </w:tabs>
        <w:ind w:left="5240" w:hanging="360"/>
      </w:pPr>
      <w:rPr>
        <w:rFonts w:ascii="Symbol" w:hAnsi="Symbol" w:hint="default"/>
      </w:rPr>
    </w:lvl>
    <w:lvl w:ilvl="7" w:tplc="04150003" w:tentative="1">
      <w:start w:val="1"/>
      <w:numFmt w:val="bullet"/>
      <w:lvlText w:val="o"/>
      <w:lvlJc w:val="left"/>
      <w:pPr>
        <w:tabs>
          <w:tab w:val="num" w:pos="5960"/>
        </w:tabs>
        <w:ind w:left="5960" w:hanging="360"/>
      </w:pPr>
      <w:rPr>
        <w:rFonts w:ascii="Courier New" w:hAnsi="Courier New" w:cs="Courier New" w:hint="default"/>
      </w:rPr>
    </w:lvl>
    <w:lvl w:ilvl="8" w:tplc="04150005" w:tentative="1">
      <w:start w:val="1"/>
      <w:numFmt w:val="bullet"/>
      <w:lvlText w:val=""/>
      <w:lvlJc w:val="left"/>
      <w:pPr>
        <w:tabs>
          <w:tab w:val="num" w:pos="6680"/>
        </w:tabs>
        <w:ind w:left="6680" w:hanging="360"/>
      </w:pPr>
      <w:rPr>
        <w:rFonts w:ascii="Wingdings" w:hAnsi="Wingdings" w:hint="default"/>
      </w:rPr>
    </w:lvl>
  </w:abstractNum>
  <w:abstractNum w:abstractNumId="8" w15:restartNumberingAfterBreak="0">
    <w:nsid w:val="0EBE5040"/>
    <w:multiLevelType w:val="hybridMultilevel"/>
    <w:tmpl w:val="F670B4FE"/>
    <w:lvl w:ilvl="0" w:tplc="862EF1A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732E83"/>
    <w:multiLevelType w:val="hybridMultilevel"/>
    <w:tmpl w:val="3D649C7A"/>
    <w:lvl w:ilvl="0" w:tplc="71706FC2">
      <w:start w:val="1"/>
      <w:numFmt w:val="bullet"/>
      <w:lvlText w:val=""/>
      <w:lvlJc w:val="left"/>
      <w:pPr>
        <w:tabs>
          <w:tab w:val="num" w:pos="1003"/>
        </w:tabs>
        <w:ind w:left="1003" w:hanging="360"/>
      </w:pPr>
      <w:rPr>
        <w:rFonts w:ascii="Symbol" w:hAnsi="Symbol" w:hint="default"/>
        <w:b w:val="0"/>
        <w:i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55E7644"/>
    <w:multiLevelType w:val="hybridMultilevel"/>
    <w:tmpl w:val="066CD280"/>
    <w:lvl w:ilvl="0" w:tplc="023610E6">
      <w:start w:val="1"/>
      <w:numFmt w:val="lowerLetter"/>
      <w:lvlText w:val="%1)"/>
      <w:legacy w:legacy="1" w:legacySpace="0" w:legacyIndent="0"/>
      <w:lvlJc w:val="left"/>
      <w:rPr>
        <w:rFonts w:ascii="Times New Roman" w:hAnsi="Times New Roman" w:cs="Times New Roman" w:hint="default"/>
        <w:color w:val="000200"/>
      </w:rPr>
    </w:lvl>
    <w:lvl w:ilvl="1" w:tplc="FA4837A8">
      <w:start w:val="4"/>
      <w:numFmt w:val="decimal"/>
      <w:lvlText w:val="%2."/>
      <w:lvlJc w:val="left"/>
      <w:pPr>
        <w:tabs>
          <w:tab w:val="num" w:pos="1920"/>
        </w:tabs>
        <w:ind w:left="1920" w:hanging="360"/>
      </w:pPr>
      <w:rPr>
        <w:rFonts w:hint="default"/>
      </w:rPr>
    </w:lvl>
    <w:lvl w:ilvl="2" w:tplc="64E8A6A8">
      <w:start w:val="1"/>
      <w:numFmt w:val="lowerLetter"/>
      <w:lvlText w:val="%3)"/>
      <w:lvlJc w:val="left"/>
      <w:pPr>
        <w:tabs>
          <w:tab w:val="num" w:pos="2640"/>
        </w:tabs>
        <w:ind w:left="2640" w:hanging="360"/>
      </w:pPr>
      <w:rPr>
        <w:rFonts w:ascii="Times New Roman" w:hAnsi="Times New Roman" w:hint="default"/>
        <w:b w:val="0"/>
        <w:i w:val="0"/>
        <w:color w:val="auto"/>
        <w:sz w:val="24"/>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15BE6096"/>
    <w:multiLevelType w:val="hybridMultilevel"/>
    <w:tmpl w:val="4D0C2F0A"/>
    <w:lvl w:ilvl="0" w:tplc="9BA47600">
      <w:start w:val="1"/>
      <w:numFmt w:val="bullet"/>
      <w:lvlText w:val=""/>
      <w:lvlJc w:val="left"/>
      <w:pPr>
        <w:ind w:left="1460" w:hanging="360"/>
      </w:pPr>
      <w:rPr>
        <w:rFonts w:ascii="Symbol" w:hAnsi="Symbo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12" w15:restartNumberingAfterBreak="0">
    <w:nsid w:val="15E41144"/>
    <w:multiLevelType w:val="hybridMultilevel"/>
    <w:tmpl w:val="14B4809A"/>
    <w:lvl w:ilvl="0" w:tplc="29680452">
      <w:start w:val="1"/>
      <w:numFmt w:val="bullet"/>
      <w:lvlText w:val=""/>
      <w:lvlJc w:val="left"/>
      <w:pPr>
        <w:tabs>
          <w:tab w:val="num" w:pos="760"/>
        </w:tabs>
        <w:ind w:left="7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492E35"/>
    <w:multiLevelType w:val="hybridMultilevel"/>
    <w:tmpl w:val="EF761BE0"/>
    <w:lvl w:ilvl="0" w:tplc="F6E8BD14">
      <w:start w:val="1"/>
      <w:numFmt w:val="bullet"/>
      <w:lvlText w:val=""/>
      <w:lvlJc w:val="left"/>
      <w:pPr>
        <w:tabs>
          <w:tab w:val="num" w:pos="-1290"/>
        </w:tabs>
        <w:ind w:left="-1120" w:hanging="170"/>
      </w:pPr>
      <w:rPr>
        <w:rFonts w:ascii="Symbol" w:hAnsi="Symbol" w:cs="Times New Roman" w:hint="default"/>
        <w:b w:val="0"/>
        <w:i w:val="0"/>
        <w:sz w:val="24"/>
      </w:rPr>
    </w:lvl>
    <w:lvl w:ilvl="1" w:tplc="04150003" w:tentative="1">
      <w:start w:val="1"/>
      <w:numFmt w:val="bullet"/>
      <w:lvlText w:val="o"/>
      <w:lvlJc w:val="left"/>
      <w:pPr>
        <w:tabs>
          <w:tab w:val="num" w:pos="150"/>
        </w:tabs>
        <w:ind w:left="150" w:hanging="360"/>
      </w:pPr>
      <w:rPr>
        <w:rFonts w:ascii="Courier New" w:hAnsi="Courier New" w:cs="Courier New" w:hint="default"/>
      </w:rPr>
    </w:lvl>
    <w:lvl w:ilvl="2" w:tplc="04150005" w:tentative="1">
      <w:start w:val="1"/>
      <w:numFmt w:val="bullet"/>
      <w:lvlText w:val=""/>
      <w:lvlJc w:val="left"/>
      <w:pPr>
        <w:tabs>
          <w:tab w:val="num" w:pos="870"/>
        </w:tabs>
        <w:ind w:left="870" w:hanging="360"/>
      </w:pPr>
      <w:rPr>
        <w:rFonts w:ascii="Wingdings" w:hAnsi="Wingdings" w:hint="default"/>
      </w:rPr>
    </w:lvl>
    <w:lvl w:ilvl="3" w:tplc="04150001" w:tentative="1">
      <w:start w:val="1"/>
      <w:numFmt w:val="bullet"/>
      <w:lvlText w:val=""/>
      <w:lvlJc w:val="left"/>
      <w:pPr>
        <w:tabs>
          <w:tab w:val="num" w:pos="1590"/>
        </w:tabs>
        <w:ind w:left="1590" w:hanging="360"/>
      </w:pPr>
      <w:rPr>
        <w:rFonts w:ascii="Symbol" w:hAnsi="Symbol" w:hint="default"/>
      </w:rPr>
    </w:lvl>
    <w:lvl w:ilvl="4" w:tplc="04150003" w:tentative="1">
      <w:start w:val="1"/>
      <w:numFmt w:val="bullet"/>
      <w:lvlText w:val="o"/>
      <w:lvlJc w:val="left"/>
      <w:pPr>
        <w:tabs>
          <w:tab w:val="num" w:pos="2310"/>
        </w:tabs>
        <w:ind w:left="2310" w:hanging="360"/>
      </w:pPr>
      <w:rPr>
        <w:rFonts w:ascii="Courier New" w:hAnsi="Courier New" w:cs="Courier New" w:hint="default"/>
      </w:rPr>
    </w:lvl>
    <w:lvl w:ilvl="5" w:tplc="04150005" w:tentative="1">
      <w:start w:val="1"/>
      <w:numFmt w:val="bullet"/>
      <w:lvlText w:val=""/>
      <w:lvlJc w:val="left"/>
      <w:pPr>
        <w:tabs>
          <w:tab w:val="num" w:pos="3030"/>
        </w:tabs>
        <w:ind w:left="3030" w:hanging="360"/>
      </w:pPr>
      <w:rPr>
        <w:rFonts w:ascii="Wingdings" w:hAnsi="Wingdings" w:hint="default"/>
      </w:rPr>
    </w:lvl>
    <w:lvl w:ilvl="6" w:tplc="04150001" w:tentative="1">
      <w:start w:val="1"/>
      <w:numFmt w:val="bullet"/>
      <w:lvlText w:val=""/>
      <w:lvlJc w:val="left"/>
      <w:pPr>
        <w:tabs>
          <w:tab w:val="num" w:pos="3750"/>
        </w:tabs>
        <w:ind w:left="3750" w:hanging="360"/>
      </w:pPr>
      <w:rPr>
        <w:rFonts w:ascii="Symbol" w:hAnsi="Symbol" w:hint="default"/>
      </w:rPr>
    </w:lvl>
    <w:lvl w:ilvl="7" w:tplc="04150003" w:tentative="1">
      <w:start w:val="1"/>
      <w:numFmt w:val="bullet"/>
      <w:lvlText w:val="o"/>
      <w:lvlJc w:val="left"/>
      <w:pPr>
        <w:tabs>
          <w:tab w:val="num" w:pos="4470"/>
        </w:tabs>
        <w:ind w:left="4470" w:hanging="360"/>
      </w:pPr>
      <w:rPr>
        <w:rFonts w:ascii="Courier New" w:hAnsi="Courier New" w:cs="Courier New" w:hint="default"/>
      </w:rPr>
    </w:lvl>
    <w:lvl w:ilvl="8" w:tplc="04150005" w:tentative="1">
      <w:start w:val="1"/>
      <w:numFmt w:val="bullet"/>
      <w:lvlText w:val=""/>
      <w:lvlJc w:val="left"/>
      <w:pPr>
        <w:tabs>
          <w:tab w:val="num" w:pos="5190"/>
        </w:tabs>
        <w:ind w:left="5190" w:hanging="360"/>
      </w:pPr>
      <w:rPr>
        <w:rFonts w:ascii="Wingdings" w:hAnsi="Wingdings" w:hint="default"/>
      </w:rPr>
    </w:lvl>
  </w:abstractNum>
  <w:abstractNum w:abstractNumId="14" w15:restartNumberingAfterBreak="0">
    <w:nsid w:val="194943F5"/>
    <w:multiLevelType w:val="hybridMultilevel"/>
    <w:tmpl w:val="A94E96FA"/>
    <w:lvl w:ilvl="0" w:tplc="29680452">
      <w:start w:val="1"/>
      <w:numFmt w:val="bullet"/>
      <w:lvlText w:val=""/>
      <w:lvlJc w:val="left"/>
      <w:pPr>
        <w:tabs>
          <w:tab w:val="num" w:pos="760"/>
        </w:tabs>
        <w:ind w:left="7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0809B5"/>
    <w:multiLevelType w:val="hybridMultilevel"/>
    <w:tmpl w:val="52CE2D5C"/>
    <w:lvl w:ilvl="0" w:tplc="9D8CA8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D440056"/>
    <w:multiLevelType w:val="hybridMultilevel"/>
    <w:tmpl w:val="A1DE3D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CF27C2"/>
    <w:multiLevelType w:val="hybridMultilevel"/>
    <w:tmpl w:val="DFC6561C"/>
    <w:lvl w:ilvl="0" w:tplc="B72CAE74">
      <w:start w:val="1"/>
      <w:numFmt w:val="bullet"/>
      <w:lvlText w:val=""/>
      <w:lvlJc w:val="left"/>
      <w:pPr>
        <w:tabs>
          <w:tab w:val="num" w:pos="1092"/>
        </w:tabs>
        <w:ind w:left="1092"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4C07FE"/>
    <w:multiLevelType w:val="hybridMultilevel"/>
    <w:tmpl w:val="A6A21514"/>
    <w:lvl w:ilvl="0" w:tplc="D0DC386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FFF11F8"/>
    <w:multiLevelType w:val="hybridMultilevel"/>
    <w:tmpl w:val="F2483B9A"/>
    <w:lvl w:ilvl="0" w:tplc="04150017">
      <w:start w:val="1"/>
      <w:numFmt w:val="lowerLetter"/>
      <w:lvlText w:val="%1)"/>
      <w:lvlJc w:val="left"/>
      <w:pPr>
        <w:ind w:left="720" w:hanging="360"/>
      </w:pPr>
    </w:lvl>
    <w:lvl w:ilvl="1" w:tplc="2C9831F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4A50DD"/>
    <w:multiLevelType w:val="hybridMultilevel"/>
    <w:tmpl w:val="045822CC"/>
    <w:lvl w:ilvl="0" w:tplc="71706FC2">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157196A"/>
    <w:multiLevelType w:val="hybridMultilevel"/>
    <w:tmpl w:val="42B8EA92"/>
    <w:lvl w:ilvl="0" w:tplc="9BA47600">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22" w15:restartNumberingAfterBreak="0">
    <w:nsid w:val="3436427A"/>
    <w:multiLevelType w:val="hybridMultilevel"/>
    <w:tmpl w:val="4E6CE1F8"/>
    <w:lvl w:ilvl="0" w:tplc="23C23410">
      <w:start w:val="1"/>
      <w:numFmt w:val="bullet"/>
      <w:lvlText w:val="–"/>
      <w:lvlJc w:val="left"/>
      <w:pPr>
        <w:tabs>
          <w:tab w:val="num" w:pos="992"/>
        </w:tabs>
        <w:ind w:left="992" w:hanging="284"/>
      </w:pPr>
      <w:rPr>
        <w:rFonts w:ascii="Times New Roman" w:hAnsi="Times New Roman" w:cs="Times New Roman" w:hint="default"/>
      </w:rPr>
    </w:lvl>
    <w:lvl w:ilvl="1" w:tplc="F11E977A">
      <w:start w:val="1"/>
      <w:numFmt w:val="decimal"/>
      <w:lvlText w:val="%2."/>
      <w:lvlJc w:val="left"/>
      <w:pPr>
        <w:tabs>
          <w:tab w:val="num" w:pos="1786"/>
        </w:tabs>
        <w:ind w:left="2148" w:hanging="360"/>
      </w:pPr>
      <w:rPr>
        <w:rFonts w:hint="default"/>
        <w:b/>
      </w:rPr>
    </w:lvl>
    <w:lvl w:ilvl="2" w:tplc="B0BA5148">
      <w:start w:val="1"/>
      <w:numFmt w:val="lowerLetter"/>
      <w:lvlText w:val="%3."/>
      <w:lvlJc w:val="left"/>
      <w:pPr>
        <w:tabs>
          <w:tab w:val="num" w:pos="2868"/>
        </w:tabs>
        <w:ind w:left="2868" w:hanging="360"/>
      </w:pPr>
      <w:rPr>
        <w:rFonts w:ascii="Times New Roman" w:hAnsi="Times New Roman" w:hint="default"/>
        <w:b w:val="0"/>
        <w:i w:val="0"/>
        <w:color w:val="auto"/>
        <w:sz w:val="24"/>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35053B8F"/>
    <w:multiLevelType w:val="hybridMultilevel"/>
    <w:tmpl w:val="5478E3EE"/>
    <w:lvl w:ilvl="0" w:tplc="9BA4760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37C372DE"/>
    <w:multiLevelType w:val="hybridMultilevel"/>
    <w:tmpl w:val="1B90B6C8"/>
    <w:lvl w:ilvl="0" w:tplc="A596FF74">
      <w:start w:val="1"/>
      <w:numFmt w:val="lowerLetter"/>
      <w:lvlText w:val="%1)"/>
      <w:lvlJc w:val="left"/>
      <w:pPr>
        <w:ind w:left="214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BB374A8"/>
    <w:multiLevelType w:val="hybridMultilevel"/>
    <w:tmpl w:val="BCCA1CD6"/>
    <w:lvl w:ilvl="0" w:tplc="2AF8C102">
      <w:start w:val="5"/>
      <w:numFmt w:val="decimal"/>
      <w:lvlText w:val="%1."/>
      <w:lvlJc w:val="left"/>
      <w:pPr>
        <w:tabs>
          <w:tab w:val="num" w:pos="460"/>
        </w:tabs>
        <w:ind w:left="460" w:hanging="360"/>
      </w:pPr>
      <w:rPr>
        <w:rFonts w:hint="default"/>
        <w:b/>
      </w:rPr>
    </w:lvl>
    <w:lvl w:ilvl="1" w:tplc="64E8A6A8">
      <w:start w:val="1"/>
      <w:numFmt w:val="lowerLetter"/>
      <w:lvlText w:val="%2)"/>
      <w:lvlJc w:val="left"/>
      <w:pPr>
        <w:tabs>
          <w:tab w:val="num" w:pos="460"/>
        </w:tabs>
        <w:ind w:left="460" w:hanging="360"/>
      </w:pPr>
      <w:rPr>
        <w:rFonts w:ascii="Times New Roman" w:hAnsi="Times New Roman" w:hint="default"/>
        <w:b w:val="0"/>
        <w:i w:val="0"/>
        <w:color w:val="auto"/>
        <w:sz w:val="24"/>
      </w:rPr>
    </w:lvl>
    <w:lvl w:ilvl="2" w:tplc="0415001B">
      <w:start w:val="1"/>
      <w:numFmt w:val="lowerRoman"/>
      <w:lvlText w:val="%3."/>
      <w:lvlJc w:val="right"/>
      <w:pPr>
        <w:tabs>
          <w:tab w:val="num" w:pos="1180"/>
        </w:tabs>
        <w:ind w:left="1180" w:hanging="180"/>
      </w:pPr>
    </w:lvl>
    <w:lvl w:ilvl="3" w:tplc="0415000F" w:tentative="1">
      <w:start w:val="1"/>
      <w:numFmt w:val="decimal"/>
      <w:lvlText w:val="%4."/>
      <w:lvlJc w:val="left"/>
      <w:pPr>
        <w:tabs>
          <w:tab w:val="num" w:pos="1900"/>
        </w:tabs>
        <w:ind w:left="1900" w:hanging="360"/>
      </w:pPr>
    </w:lvl>
    <w:lvl w:ilvl="4" w:tplc="04150019" w:tentative="1">
      <w:start w:val="1"/>
      <w:numFmt w:val="lowerLetter"/>
      <w:lvlText w:val="%5."/>
      <w:lvlJc w:val="left"/>
      <w:pPr>
        <w:tabs>
          <w:tab w:val="num" w:pos="2620"/>
        </w:tabs>
        <w:ind w:left="2620" w:hanging="360"/>
      </w:pPr>
    </w:lvl>
    <w:lvl w:ilvl="5" w:tplc="0415001B" w:tentative="1">
      <w:start w:val="1"/>
      <w:numFmt w:val="lowerRoman"/>
      <w:lvlText w:val="%6."/>
      <w:lvlJc w:val="right"/>
      <w:pPr>
        <w:tabs>
          <w:tab w:val="num" w:pos="3340"/>
        </w:tabs>
        <w:ind w:left="3340" w:hanging="180"/>
      </w:pPr>
    </w:lvl>
    <w:lvl w:ilvl="6" w:tplc="0415000F" w:tentative="1">
      <w:start w:val="1"/>
      <w:numFmt w:val="decimal"/>
      <w:lvlText w:val="%7."/>
      <w:lvlJc w:val="left"/>
      <w:pPr>
        <w:tabs>
          <w:tab w:val="num" w:pos="4060"/>
        </w:tabs>
        <w:ind w:left="4060" w:hanging="360"/>
      </w:pPr>
    </w:lvl>
    <w:lvl w:ilvl="7" w:tplc="04150019" w:tentative="1">
      <w:start w:val="1"/>
      <w:numFmt w:val="lowerLetter"/>
      <w:lvlText w:val="%8."/>
      <w:lvlJc w:val="left"/>
      <w:pPr>
        <w:tabs>
          <w:tab w:val="num" w:pos="4780"/>
        </w:tabs>
        <w:ind w:left="4780" w:hanging="360"/>
      </w:pPr>
    </w:lvl>
    <w:lvl w:ilvl="8" w:tplc="0415001B" w:tentative="1">
      <w:start w:val="1"/>
      <w:numFmt w:val="lowerRoman"/>
      <w:lvlText w:val="%9."/>
      <w:lvlJc w:val="right"/>
      <w:pPr>
        <w:tabs>
          <w:tab w:val="num" w:pos="5500"/>
        </w:tabs>
        <w:ind w:left="5500" w:hanging="180"/>
      </w:pPr>
    </w:lvl>
  </w:abstractNum>
  <w:abstractNum w:abstractNumId="26" w15:restartNumberingAfterBreak="0">
    <w:nsid w:val="3DE12B78"/>
    <w:multiLevelType w:val="hybridMultilevel"/>
    <w:tmpl w:val="18A61E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D83708"/>
    <w:multiLevelType w:val="hybridMultilevel"/>
    <w:tmpl w:val="EB5E3C5A"/>
    <w:lvl w:ilvl="0" w:tplc="F138B098">
      <w:start w:val="1"/>
      <w:numFmt w:val="lowerLetter"/>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4D676FB"/>
    <w:multiLevelType w:val="hybridMultilevel"/>
    <w:tmpl w:val="7E32D9D8"/>
    <w:lvl w:ilvl="0" w:tplc="C77ED538">
      <w:start w:val="9"/>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92C5C53"/>
    <w:multiLevelType w:val="hybridMultilevel"/>
    <w:tmpl w:val="53787C96"/>
    <w:lvl w:ilvl="0" w:tplc="B3D43C62">
      <w:start w:val="2"/>
      <w:numFmt w:val="lowerLetter"/>
      <w:lvlText w:val="%1)"/>
      <w:lvlJc w:val="left"/>
      <w:pPr>
        <w:tabs>
          <w:tab w:val="num" w:pos="360"/>
        </w:tabs>
        <w:ind w:left="360" w:hanging="360"/>
      </w:pPr>
      <w:rPr>
        <w:rFonts w:ascii="Times New Roman" w:hAnsi="Times New Roman" w:hint="default"/>
        <w:b w:val="0"/>
        <w:i w:val="0"/>
        <w:color w:val="auto"/>
        <w:sz w:val="24"/>
      </w:rPr>
    </w:lvl>
    <w:lvl w:ilvl="1" w:tplc="29680452">
      <w:start w:val="1"/>
      <w:numFmt w:val="bullet"/>
      <w:lvlText w:val=""/>
      <w:lvlJc w:val="left"/>
      <w:pPr>
        <w:tabs>
          <w:tab w:val="num" w:pos="-1068"/>
        </w:tabs>
        <w:ind w:left="-1068" w:hanging="360"/>
      </w:pPr>
      <w:rPr>
        <w:rFonts w:ascii="Symbol" w:hAnsi="Symbol" w:hint="default"/>
        <w:b w:val="0"/>
        <w:i w:val="0"/>
        <w:color w:val="auto"/>
        <w:sz w:val="24"/>
      </w:rPr>
    </w:lvl>
    <w:lvl w:ilvl="2" w:tplc="0415001B">
      <w:start w:val="1"/>
      <w:numFmt w:val="lowerRoman"/>
      <w:lvlText w:val="%3."/>
      <w:lvlJc w:val="right"/>
      <w:pPr>
        <w:tabs>
          <w:tab w:val="num" w:pos="-348"/>
        </w:tabs>
        <w:ind w:left="-348" w:hanging="180"/>
      </w:pPr>
    </w:lvl>
    <w:lvl w:ilvl="3" w:tplc="0415000F">
      <w:start w:val="1"/>
      <w:numFmt w:val="decimal"/>
      <w:lvlText w:val="%4."/>
      <w:lvlJc w:val="left"/>
      <w:pPr>
        <w:tabs>
          <w:tab w:val="num" w:pos="372"/>
        </w:tabs>
        <w:ind w:left="372" w:hanging="360"/>
      </w:pPr>
    </w:lvl>
    <w:lvl w:ilvl="4" w:tplc="29680452">
      <w:start w:val="1"/>
      <w:numFmt w:val="bullet"/>
      <w:lvlText w:val=""/>
      <w:lvlJc w:val="left"/>
      <w:pPr>
        <w:tabs>
          <w:tab w:val="num" w:pos="1092"/>
        </w:tabs>
        <w:ind w:left="1092" w:hanging="360"/>
      </w:pPr>
      <w:rPr>
        <w:rFonts w:ascii="Symbol" w:hAnsi="Symbol" w:hint="default"/>
        <w:b w:val="0"/>
        <w:i w:val="0"/>
        <w:color w:val="auto"/>
        <w:sz w:val="24"/>
      </w:rPr>
    </w:lvl>
    <w:lvl w:ilvl="5" w:tplc="0415001B" w:tentative="1">
      <w:start w:val="1"/>
      <w:numFmt w:val="lowerRoman"/>
      <w:lvlText w:val="%6."/>
      <w:lvlJc w:val="right"/>
      <w:pPr>
        <w:tabs>
          <w:tab w:val="num" w:pos="1812"/>
        </w:tabs>
        <w:ind w:left="1812" w:hanging="180"/>
      </w:pPr>
    </w:lvl>
    <w:lvl w:ilvl="6" w:tplc="0415000F" w:tentative="1">
      <w:start w:val="1"/>
      <w:numFmt w:val="decimal"/>
      <w:lvlText w:val="%7."/>
      <w:lvlJc w:val="left"/>
      <w:pPr>
        <w:tabs>
          <w:tab w:val="num" w:pos="2532"/>
        </w:tabs>
        <w:ind w:left="2532" w:hanging="360"/>
      </w:pPr>
    </w:lvl>
    <w:lvl w:ilvl="7" w:tplc="04150019" w:tentative="1">
      <w:start w:val="1"/>
      <w:numFmt w:val="lowerLetter"/>
      <w:lvlText w:val="%8."/>
      <w:lvlJc w:val="left"/>
      <w:pPr>
        <w:tabs>
          <w:tab w:val="num" w:pos="3252"/>
        </w:tabs>
        <w:ind w:left="3252" w:hanging="360"/>
      </w:pPr>
    </w:lvl>
    <w:lvl w:ilvl="8" w:tplc="0415001B" w:tentative="1">
      <w:start w:val="1"/>
      <w:numFmt w:val="lowerRoman"/>
      <w:lvlText w:val="%9."/>
      <w:lvlJc w:val="right"/>
      <w:pPr>
        <w:tabs>
          <w:tab w:val="num" w:pos="3972"/>
        </w:tabs>
        <w:ind w:left="3972" w:hanging="180"/>
      </w:pPr>
    </w:lvl>
  </w:abstractNum>
  <w:abstractNum w:abstractNumId="30" w15:restartNumberingAfterBreak="0">
    <w:nsid w:val="492C73F0"/>
    <w:multiLevelType w:val="hybridMultilevel"/>
    <w:tmpl w:val="2F623EE2"/>
    <w:lvl w:ilvl="0" w:tplc="F138B098">
      <w:start w:val="1"/>
      <w:numFmt w:val="lowerLetter"/>
      <w:lvlText w:val="%1."/>
      <w:lvlJc w:val="left"/>
      <w:pPr>
        <w:tabs>
          <w:tab w:val="num" w:pos="932"/>
        </w:tabs>
        <w:ind w:left="932" w:hanging="360"/>
      </w:pPr>
      <w:rPr>
        <w:rFonts w:hint="default"/>
      </w:rPr>
    </w:lvl>
    <w:lvl w:ilvl="1" w:tplc="04150019">
      <w:start w:val="1"/>
      <w:numFmt w:val="lowerLetter"/>
      <w:lvlText w:val="%2."/>
      <w:lvlJc w:val="left"/>
      <w:pPr>
        <w:tabs>
          <w:tab w:val="num" w:pos="-148"/>
        </w:tabs>
        <w:ind w:left="-148" w:hanging="360"/>
      </w:pPr>
    </w:lvl>
    <w:lvl w:ilvl="2" w:tplc="0415001B" w:tentative="1">
      <w:start w:val="1"/>
      <w:numFmt w:val="lowerRoman"/>
      <w:lvlText w:val="%3."/>
      <w:lvlJc w:val="right"/>
      <w:pPr>
        <w:tabs>
          <w:tab w:val="num" w:pos="572"/>
        </w:tabs>
        <w:ind w:left="572" w:hanging="180"/>
      </w:pPr>
    </w:lvl>
    <w:lvl w:ilvl="3" w:tplc="0415000F" w:tentative="1">
      <w:start w:val="1"/>
      <w:numFmt w:val="decimal"/>
      <w:lvlText w:val="%4."/>
      <w:lvlJc w:val="left"/>
      <w:pPr>
        <w:tabs>
          <w:tab w:val="num" w:pos="1292"/>
        </w:tabs>
        <w:ind w:left="1292" w:hanging="360"/>
      </w:pPr>
    </w:lvl>
    <w:lvl w:ilvl="4" w:tplc="04150019" w:tentative="1">
      <w:start w:val="1"/>
      <w:numFmt w:val="lowerLetter"/>
      <w:lvlText w:val="%5."/>
      <w:lvlJc w:val="left"/>
      <w:pPr>
        <w:tabs>
          <w:tab w:val="num" w:pos="2012"/>
        </w:tabs>
        <w:ind w:left="2012" w:hanging="360"/>
      </w:pPr>
    </w:lvl>
    <w:lvl w:ilvl="5" w:tplc="0415001B" w:tentative="1">
      <w:start w:val="1"/>
      <w:numFmt w:val="lowerRoman"/>
      <w:lvlText w:val="%6."/>
      <w:lvlJc w:val="right"/>
      <w:pPr>
        <w:tabs>
          <w:tab w:val="num" w:pos="2732"/>
        </w:tabs>
        <w:ind w:left="2732" w:hanging="180"/>
      </w:pPr>
    </w:lvl>
    <w:lvl w:ilvl="6" w:tplc="0415000F" w:tentative="1">
      <w:start w:val="1"/>
      <w:numFmt w:val="decimal"/>
      <w:lvlText w:val="%7."/>
      <w:lvlJc w:val="left"/>
      <w:pPr>
        <w:tabs>
          <w:tab w:val="num" w:pos="3452"/>
        </w:tabs>
        <w:ind w:left="3452" w:hanging="360"/>
      </w:pPr>
    </w:lvl>
    <w:lvl w:ilvl="7" w:tplc="04150019" w:tentative="1">
      <w:start w:val="1"/>
      <w:numFmt w:val="lowerLetter"/>
      <w:lvlText w:val="%8."/>
      <w:lvlJc w:val="left"/>
      <w:pPr>
        <w:tabs>
          <w:tab w:val="num" w:pos="4172"/>
        </w:tabs>
        <w:ind w:left="4172" w:hanging="360"/>
      </w:pPr>
    </w:lvl>
    <w:lvl w:ilvl="8" w:tplc="0415001B" w:tentative="1">
      <w:start w:val="1"/>
      <w:numFmt w:val="lowerRoman"/>
      <w:lvlText w:val="%9."/>
      <w:lvlJc w:val="right"/>
      <w:pPr>
        <w:tabs>
          <w:tab w:val="num" w:pos="4892"/>
        </w:tabs>
        <w:ind w:left="4892" w:hanging="180"/>
      </w:pPr>
    </w:lvl>
  </w:abstractNum>
  <w:abstractNum w:abstractNumId="31" w15:restartNumberingAfterBreak="0">
    <w:nsid w:val="4F830B0D"/>
    <w:multiLevelType w:val="hybridMultilevel"/>
    <w:tmpl w:val="31C00318"/>
    <w:lvl w:ilvl="0" w:tplc="86503E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B876D5"/>
    <w:multiLevelType w:val="hybridMultilevel"/>
    <w:tmpl w:val="263054A8"/>
    <w:lvl w:ilvl="0" w:tplc="2C9831FC">
      <w:start w:val="1"/>
      <w:numFmt w:val="lowerLetter"/>
      <w:lvlText w:val="%1)"/>
      <w:lvlJc w:val="left"/>
      <w:pPr>
        <w:tabs>
          <w:tab w:val="num" w:pos="720"/>
        </w:tabs>
        <w:ind w:left="720" w:hanging="360"/>
      </w:pPr>
      <w:rPr>
        <w:rFonts w:hint="default"/>
      </w:rPr>
    </w:lvl>
    <w:lvl w:ilvl="1" w:tplc="40DEF01A">
      <w:start w:val="1"/>
      <w:numFmt w:val="bullet"/>
      <w:lvlText w:val=""/>
      <w:lvlJc w:val="left"/>
      <w:pPr>
        <w:tabs>
          <w:tab w:val="num" w:pos="1080"/>
        </w:tabs>
        <w:ind w:left="1364" w:hanging="284"/>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2486185"/>
    <w:multiLevelType w:val="hybridMultilevel"/>
    <w:tmpl w:val="DB700C30"/>
    <w:lvl w:ilvl="0" w:tplc="71706FC2">
      <w:start w:val="1"/>
      <w:numFmt w:val="bullet"/>
      <w:lvlText w:val=""/>
      <w:lvlJc w:val="left"/>
      <w:pPr>
        <w:tabs>
          <w:tab w:val="num" w:pos="1003"/>
        </w:tabs>
        <w:ind w:left="1003" w:hanging="360"/>
      </w:pPr>
      <w:rPr>
        <w:rFonts w:ascii="Symbol" w:hAnsi="Symbol" w:hint="default"/>
      </w:rPr>
    </w:lvl>
    <w:lvl w:ilvl="1" w:tplc="04150003" w:tentative="1">
      <w:start w:val="1"/>
      <w:numFmt w:val="bullet"/>
      <w:lvlText w:val="o"/>
      <w:lvlJc w:val="left"/>
      <w:pPr>
        <w:tabs>
          <w:tab w:val="num" w:pos="2083"/>
        </w:tabs>
        <w:ind w:left="2083" w:hanging="360"/>
      </w:pPr>
      <w:rPr>
        <w:rFonts w:ascii="Courier New" w:hAnsi="Courier New" w:cs="Courier New" w:hint="default"/>
      </w:rPr>
    </w:lvl>
    <w:lvl w:ilvl="2" w:tplc="04150005" w:tentative="1">
      <w:start w:val="1"/>
      <w:numFmt w:val="bullet"/>
      <w:lvlText w:val=""/>
      <w:lvlJc w:val="left"/>
      <w:pPr>
        <w:tabs>
          <w:tab w:val="num" w:pos="2803"/>
        </w:tabs>
        <w:ind w:left="2803" w:hanging="360"/>
      </w:pPr>
      <w:rPr>
        <w:rFonts w:ascii="Wingdings" w:hAnsi="Wingdings" w:hint="default"/>
      </w:rPr>
    </w:lvl>
    <w:lvl w:ilvl="3" w:tplc="04150001" w:tentative="1">
      <w:start w:val="1"/>
      <w:numFmt w:val="bullet"/>
      <w:lvlText w:val=""/>
      <w:lvlJc w:val="left"/>
      <w:pPr>
        <w:tabs>
          <w:tab w:val="num" w:pos="3523"/>
        </w:tabs>
        <w:ind w:left="3523" w:hanging="360"/>
      </w:pPr>
      <w:rPr>
        <w:rFonts w:ascii="Symbol" w:hAnsi="Symbol" w:hint="default"/>
      </w:rPr>
    </w:lvl>
    <w:lvl w:ilvl="4" w:tplc="04150003" w:tentative="1">
      <w:start w:val="1"/>
      <w:numFmt w:val="bullet"/>
      <w:lvlText w:val="o"/>
      <w:lvlJc w:val="left"/>
      <w:pPr>
        <w:tabs>
          <w:tab w:val="num" w:pos="4243"/>
        </w:tabs>
        <w:ind w:left="4243" w:hanging="360"/>
      </w:pPr>
      <w:rPr>
        <w:rFonts w:ascii="Courier New" w:hAnsi="Courier New" w:cs="Courier New" w:hint="default"/>
      </w:rPr>
    </w:lvl>
    <w:lvl w:ilvl="5" w:tplc="04150005" w:tentative="1">
      <w:start w:val="1"/>
      <w:numFmt w:val="bullet"/>
      <w:lvlText w:val=""/>
      <w:lvlJc w:val="left"/>
      <w:pPr>
        <w:tabs>
          <w:tab w:val="num" w:pos="4963"/>
        </w:tabs>
        <w:ind w:left="4963" w:hanging="360"/>
      </w:pPr>
      <w:rPr>
        <w:rFonts w:ascii="Wingdings" w:hAnsi="Wingdings" w:hint="default"/>
      </w:rPr>
    </w:lvl>
    <w:lvl w:ilvl="6" w:tplc="04150001" w:tentative="1">
      <w:start w:val="1"/>
      <w:numFmt w:val="bullet"/>
      <w:lvlText w:val=""/>
      <w:lvlJc w:val="left"/>
      <w:pPr>
        <w:tabs>
          <w:tab w:val="num" w:pos="5683"/>
        </w:tabs>
        <w:ind w:left="5683" w:hanging="360"/>
      </w:pPr>
      <w:rPr>
        <w:rFonts w:ascii="Symbol" w:hAnsi="Symbol" w:hint="default"/>
      </w:rPr>
    </w:lvl>
    <w:lvl w:ilvl="7" w:tplc="04150003" w:tentative="1">
      <w:start w:val="1"/>
      <w:numFmt w:val="bullet"/>
      <w:lvlText w:val="o"/>
      <w:lvlJc w:val="left"/>
      <w:pPr>
        <w:tabs>
          <w:tab w:val="num" w:pos="6403"/>
        </w:tabs>
        <w:ind w:left="6403" w:hanging="360"/>
      </w:pPr>
      <w:rPr>
        <w:rFonts w:ascii="Courier New" w:hAnsi="Courier New" w:cs="Courier New" w:hint="default"/>
      </w:rPr>
    </w:lvl>
    <w:lvl w:ilvl="8" w:tplc="04150005" w:tentative="1">
      <w:start w:val="1"/>
      <w:numFmt w:val="bullet"/>
      <w:lvlText w:val=""/>
      <w:lvlJc w:val="left"/>
      <w:pPr>
        <w:tabs>
          <w:tab w:val="num" w:pos="7123"/>
        </w:tabs>
        <w:ind w:left="7123" w:hanging="360"/>
      </w:pPr>
      <w:rPr>
        <w:rFonts w:ascii="Wingdings" w:hAnsi="Wingdings" w:hint="default"/>
      </w:rPr>
    </w:lvl>
  </w:abstractNum>
  <w:abstractNum w:abstractNumId="34" w15:restartNumberingAfterBreak="0">
    <w:nsid w:val="53F643DD"/>
    <w:multiLevelType w:val="hybridMultilevel"/>
    <w:tmpl w:val="704812E4"/>
    <w:lvl w:ilvl="0" w:tplc="0D140496">
      <w:start w:val="1"/>
      <w:numFmt w:val="bullet"/>
      <w:lvlText w:val=""/>
      <w:lvlJc w:val="left"/>
      <w:pPr>
        <w:tabs>
          <w:tab w:val="num" w:pos="400"/>
        </w:tabs>
        <w:ind w:left="684" w:hanging="284"/>
      </w:pPr>
      <w:rPr>
        <w:rFonts w:ascii="Symbol" w:hAnsi="Symbol" w:hint="default"/>
        <w:b w:val="0"/>
        <w:i w:val="0"/>
        <w:sz w:val="24"/>
      </w:rPr>
    </w:lvl>
    <w:lvl w:ilvl="1" w:tplc="04150003" w:tentative="1">
      <w:start w:val="1"/>
      <w:numFmt w:val="bullet"/>
      <w:lvlText w:val="o"/>
      <w:lvlJc w:val="left"/>
      <w:pPr>
        <w:tabs>
          <w:tab w:val="num" w:pos="1840"/>
        </w:tabs>
        <w:ind w:left="1840" w:hanging="360"/>
      </w:pPr>
      <w:rPr>
        <w:rFonts w:ascii="Courier New" w:hAnsi="Courier New" w:cs="Courier New" w:hint="default"/>
      </w:rPr>
    </w:lvl>
    <w:lvl w:ilvl="2" w:tplc="04150005" w:tentative="1">
      <w:start w:val="1"/>
      <w:numFmt w:val="bullet"/>
      <w:lvlText w:val=""/>
      <w:lvlJc w:val="left"/>
      <w:pPr>
        <w:tabs>
          <w:tab w:val="num" w:pos="2560"/>
        </w:tabs>
        <w:ind w:left="2560" w:hanging="360"/>
      </w:pPr>
      <w:rPr>
        <w:rFonts w:ascii="Wingdings" w:hAnsi="Wingdings" w:hint="default"/>
      </w:rPr>
    </w:lvl>
    <w:lvl w:ilvl="3" w:tplc="04150001" w:tentative="1">
      <w:start w:val="1"/>
      <w:numFmt w:val="bullet"/>
      <w:lvlText w:val=""/>
      <w:lvlJc w:val="left"/>
      <w:pPr>
        <w:tabs>
          <w:tab w:val="num" w:pos="3280"/>
        </w:tabs>
        <w:ind w:left="3280" w:hanging="360"/>
      </w:pPr>
      <w:rPr>
        <w:rFonts w:ascii="Symbol" w:hAnsi="Symbol" w:hint="default"/>
      </w:rPr>
    </w:lvl>
    <w:lvl w:ilvl="4" w:tplc="04150003" w:tentative="1">
      <w:start w:val="1"/>
      <w:numFmt w:val="bullet"/>
      <w:lvlText w:val="o"/>
      <w:lvlJc w:val="left"/>
      <w:pPr>
        <w:tabs>
          <w:tab w:val="num" w:pos="4000"/>
        </w:tabs>
        <w:ind w:left="4000" w:hanging="360"/>
      </w:pPr>
      <w:rPr>
        <w:rFonts w:ascii="Courier New" w:hAnsi="Courier New" w:cs="Courier New" w:hint="default"/>
      </w:rPr>
    </w:lvl>
    <w:lvl w:ilvl="5" w:tplc="04150005" w:tentative="1">
      <w:start w:val="1"/>
      <w:numFmt w:val="bullet"/>
      <w:lvlText w:val=""/>
      <w:lvlJc w:val="left"/>
      <w:pPr>
        <w:tabs>
          <w:tab w:val="num" w:pos="4720"/>
        </w:tabs>
        <w:ind w:left="4720" w:hanging="360"/>
      </w:pPr>
      <w:rPr>
        <w:rFonts w:ascii="Wingdings" w:hAnsi="Wingdings" w:hint="default"/>
      </w:rPr>
    </w:lvl>
    <w:lvl w:ilvl="6" w:tplc="04150001" w:tentative="1">
      <w:start w:val="1"/>
      <w:numFmt w:val="bullet"/>
      <w:lvlText w:val=""/>
      <w:lvlJc w:val="left"/>
      <w:pPr>
        <w:tabs>
          <w:tab w:val="num" w:pos="5440"/>
        </w:tabs>
        <w:ind w:left="5440" w:hanging="360"/>
      </w:pPr>
      <w:rPr>
        <w:rFonts w:ascii="Symbol" w:hAnsi="Symbol" w:hint="default"/>
      </w:rPr>
    </w:lvl>
    <w:lvl w:ilvl="7" w:tplc="04150003" w:tentative="1">
      <w:start w:val="1"/>
      <w:numFmt w:val="bullet"/>
      <w:lvlText w:val="o"/>
      <w:lvlJc w:val="left"/>
      <w:pPr>
        <w:tabs>
          <w:tab w:val="num" w:pos="6160"/>
        </w:tabs>
        <w:ind w:left="6160" w:hanging="360"/>
      </w:pPr>
      <w:rPr>
        <w:rFonts w:ascii="Courier New" w:hAnsi="Courier New" w:cs="Courier New" w:hint="default"/>
      </w:rPr>
    </w:lvl>
    <w:lvl w:ilvl="8" w:tplc="04150005" w:tentative="1">
      <w:start w:val="1"/>
      <w:numFmt w:val="bullet"/>
      <w:lvlText w:val=""/>
      <w:lvlJc w:val="left"/>
      <w:pPr>
        <w:tabs>
          <w:tab w:val="num" w:pos="6880"/>
        </w:tabs>
        <w:ind w:left="6880" w:hanging="360"/>
      </w:pPr>
      <w:rPr>
        <w:rFonts w:ascii="Wingdings" w:hAnsi="Wingdings" w:hint="default"/>
      </w:rPr>
    </w:lvl>
  </w:abstractNum>
  <w:abstractNum w:abstractNumId="35" w15:restartNumberingAfterBreak="0">
    <w:nsid w:val="58DA6E91"/>
    <w:multiLevelType w:val="hybridMultilevel"/>
    <w:tmpl w:val="0C52229A"/>
    <w:lvl w:ilvl="0" w:tplc="9BA47600">
      <w:start w:val="1"/>
      <w:numFmt w:val="bullet"/>
      <w:lvlText w:val=""/>
      <w:lvlJc w:val="left"/>
      <w:pPr>
        <w:ind w:left="1820" w:hanging="360"/>
      </w:pPr>
      <w:rPr>
        <w:rFonts w:ascii="Symbol" w:hAnsi="Symbol" w:hint="default"/>
      </w:rPr>
    </w:lvl>
    <w:lvl w:ilvl="1" w:tplc="04150003" w:tentative="1">
      <w:start w:val="1"/>
      <w:numFmt w:val="bullet"/>
      <w:lvlText w:val="o"/>
      <w:lvlJc w:val="left"/>
      <w:pPr>
        <w:ind w:left="2540" w:hanging="360"/>
      </w:pPr>
      <w:rPr>
        <w:rFonts w:ascii="Courier New" w:hAnsi="Courier New" w:cs="Courier New" w:hint="default"/>
      </w:rPr>
    </w:lvl>
    <w:lvl w:ilvl="2" w:tplc="04150005" w:tentative="1">
      <w:start w:val="1"/>
      <w:numFmt w:val="bullet"/>
      <w:lvlText w:val=""/>
      <w:lvlJc w:val="left"/>
      <w:pPr>
        <w:ind w:left="3260" w:hanging="360"/>
      </w:pPr>
      <w:rPr>
        <w:rFonts w:ascii="Wingdings" w:hAnsi="Wingdings" w:hint="default"/>
      </w:rPr>
    </w:lvl>
    <w:lvl w:ilvl="3" w:tplc="04150001" w:tentative="1">
      <w:start w:val="1"/>
      <w:numFmt w:val="bullet"/>
      <w:lvlText w:val=""/>
      <w:lvlJc w:val="left"/>
      <w:pPr>
        <w:ind w:left="3980" w:hanging="360"/>
      </w:pPr>
      <w:rPr>
        <w:rFonts w:ascii="Symbol" w:hAnsi="Symbol" w:hint="default"/>
      </w:rPr>
    </w:lvl>
    <w:lvl w:ilvl="4" w:tplc="04150003" w:tentative="1">
      <w:start w:val="1"/>
      <w:numFmt w:val="bullet"/>
      <w:lvlText w:val="o"/>
      <w:lvlJc w:val="left"/>
      <w:pPr>
        <w:ind w:left="4700" w:hanging="360"/>
      </w:pPr>
      <w:rPr>
        <w:rFonts w:ascii="Courier New" w:hAnsi="Courier New" w:cs="Courier New" w:hint="default"/>
      </w:rPr>
    </w:lvl>
    <w:lvl w:ilvl="5" w:tplc="04150005" w:tentative="1">
      <w:start w:val="1"/>
      <w:numFmt w:val="bullet"/>
      <w:lvlText w:val=""/>
      <w:lvlJc w:val="left"/>
      <w:pPr>
        <w:ind w:left="5420" w:hanging="360"/>
      </w:pPr>
      <w:rPr>
        <w:rFonts w:ascii="Wingdings" w:hAnsi="Wingdings" w:hint="default"/>
      </w:rPr>
    </w:lvl>
    <w:lvl w:ilvl="6" w:tplc="04150001" w:tentative="1">
      <w:start w:val="1"/>
      <w:numFmt w:val="bullet"/>
      <w:lvlText w:val=""/>
      <w:lvlJc w:val="left"/>
      <w:pPr>
        <w:ind w:left="6140" w:hanging="360"/>
      </w:pPr>
      <w:rPr>
        <w:rFonts w:ascii="Symbol" w:hAnsi="Symbol" w:hint="default"/>
      </w:rPr>
    </w:lvl>
    <w:lvl w:ilvl="7" w:tplc="04150003" w:tentative="1">
      <w:start w:val="1"/>
      <w:numFmt w:val="bullet"/>
      <w:lvlText w:val="o"/>
      <w:lvlJc w:val="left"/>
      <w:pPr>
        <w:ind w:left="6860" w:hanging="360"/>
      </w:pPr>
      <w:rPr>
        <w:rFonts w:ascii="Courier New" w:hAnsi="Courier New" w:cs="Courier New" w:hint="default"/>
      </w:rPr>
    </w:lvl>
    <w:lvl w:ilvl="8" w:tplc="04150005" w:tentative="1">
      <w:start w:val="1"/>
      <w:numFmt w:val="bullet"/>
      <w:lvlText w:val=""/>
      <w:lvlJc w:val="left"/>
      <w:pPr>
        <w:ind w:left="7580" w:hanging="360"/>
      </w:pPr>
      <w:rPr>
        <w:rFonts w:ascii="Wingdings" w:hAnsi="Wingdings" w:hint="default"/>
      </w:rPr>
    </w:lvl>
  </w:abstractNum>
  <w:abstractNum w:abstractNumId="36" w15:restartNumberingAfterBreak="0">
    <w:nsid w:val="59B24D5F"/>
    <w:multiLevelType w:val="hybridMultilevel"/>
    <w:tmpl w:val="FCAAB338"/>
    <w:lvl w:ilvl="0" w:tplc="04150001">
      <w:start w:val="1"/>
      <w:numFmt w:val="bullet"/>
      <w:lvlText w:val=""/>
      <w:lvlJc w:val="left"/>
      <w:pPr>
        <w:ind w:left="560" w:hanging="360"/>
      </w:pPr>
      <w:rPr>
        <w:rFonts w:ascii="Symbol" w:hAnsi="Symbol" w:hint="default"/>
      </w:rPr>
    </w:lvl>
    <w:lvl w:ilvl="1" w:tplc="04150003" w:tentative="1">
      <w:start w:val="1"/>
      <w:numFmt w:val="bullet"/>
      <w:lvlText w:val="o"/>
      <w:lvlJc w:val="left"/>
      <w:pPr>
        <w:ind w:left="1280" w:hanging="360"/>
      </w:pPr>
      <w:rPr>
        <w:rFonts w:ascii="Courier New" w:hAnsi="Courier New" w:cs="Courier New" w:hint="default"/>
      </w:rPr>
    </w:lvl>
    <w:lvl w:ilvl="2" w:tplc="04150005" w:tentative="1">
      <w:start w:val="1"/>
      <w:numFmt w:val="bullet"/>
      <w:lvlText w:val=""/>
      <w:lvlJc w:val="left"/>
      <w:pPr>
        <w:ind w:left="2000" w:hanging="360"/>
      </w:pPr>
      <w:rPr>
        <w:rFonts w:ascii="Wingdings" w:hAnsi="Wingdings" w:hint="default"/>
      </w:rPr>
    </w:lvl>
    <w:lvl w:ilvl="3" w:tplc="04150001" w:tentative="1">
      <w:start w:val="1"/>
      <w:numFmt w:val="bullet"/>
      <w:lvlText w:val=""/>
      <w:lvlJc w:val="left"/>
      <w:pPr>
        <w:ind w:left="2720" w:hanging="360"/>
      </w:pPr>
      <w:rPr>
        <w:rFonts w:ascii="Symbol" w:hAnsi="Symbol" w:hint="default"/>
      </w:rPr>
    </w:lvl>
    <w:lvl w:ilvl="4" w:tplc="04150003" w:tentative="1">
      <w:start w:val="1"/>
      <w:numFmt w:val="bullet"/>
      <w:lvlText w:val="o"/>
      <w:lvlJc w:val="left"/>
      <w:pPr>
        <w:ind w:left="3440" w:hanging="360"/>
      </w:pPr>
      <w:rPr>
        <w:rFonts w:ascii="Courier New" w:hAnsi="Courier New" w:cs="Courier New" w:hint="default"/>
      </w:rPr>
    </w:lvl>
    <w:lvl w:ilvl="5" w:tplc="04150005" w:tentative="1">
      <w:start w:val="1"/>
      <w:numFmt w:val="bullet"/>
      <w:lvlText w:val=""/>
      <w:lvlJc w:val="left"/>
      <w:pPr>
        <w:ind w:left="4160" w:hanging="360"/>
      </w:pPr>
      <w:rPr>
        <w:rFonts w:ascii="Wingdings" w:hAnsi="Wingdings" w:hint="default"/>
      </w:rPr>
    </w:lvl>
    <w:lvl w:ilvl="6" w:tplc="04150001" w:tentative="1">
      <w:start w:val="1"/>
      <w:numFmt w:val="bullet"/>
      <w:lvlText w:val=""/>
      <w:lvlJc w:val="left"/>
      <w:pPr>
        <w:ind w:left="4880" w:hanging="360"/>
      </w:pPr>
      <w:rPr>
        <w:rFonts w:ascii="Symbol" w:hAnsi="Symbol" w:hint="default"/>
      </w:rPr>
    </w:lvl>
    <w:lvl w:ilvl="7" w:tplc="04150003" w:tentative="1">
      <w:start w:val="1"/>
      <w:numFmt w:val="bullet"/>
      <w:lvlText w:val="o"/>
      <w:lvlJc w:val="left"/>
      <w:pPr>
        <w:ind w:left="5600" w:hanging="360"/>
      </w:pPr>
      <w:rPr>
        <w:rFonts w:ascii="Courier New" w:hAnsi="Courier New" w:cs="Courier New" w:hint="default"/>
      </w:rPr>
    </w:lvl>
    <w:lvl w:ilvl="8" w:tplc="04150005" w:tentative="1">
      <w:start w:val="1"/>
      <w:numFmt w:val="bullet"/>
      <w:lvlText w:val=""/>
      <w:lvlJc w:val="left"/>
      <w:pPr>
        <w:ind w:left="6320" w:hanging="360"/>
      </w:pPr>
      <w:rPr>
        <w:rFonts w:ascii="Wingdings" w:hAnsi="Wingdings" w:hint="default"/>
      </w:rPr>
    </w:lvl>
  </w:abstractNum>
  <w:abstractNum w:abstractNumId="37" w15:restartNumberingAfterBreak="0">
    <w:nsid w:val="5C5D197A"/>
    <w:multiLevelType w:val="hybridMultilevel"/>
    <w:tmpl w:val="B920A4DC"/>
    <w:lvl w:ilvl="0" w:tplc="130AA9D8">
      <w:start w:val="1"/>
      <w:numFmt w:val="lowerLetter"/>
      <w:lvlText w:val="%1)"/>
      <w:lvlJc w:val="left"/>
      <w:pPr>
        <w:tabs>
          <w:tab w:val="num" w:pos="580"/>
        </w:tabs>
        <w:ind w:left="580" w:hanging="360"/>
      </w:pPr>
      <w:rPr>
        <w:rFonts w:ascii="Times New Roman" w:hAnsi="Times New Roman" w:hint="default"/>
        <w:b w:val="0"/>
        <w:i w:val="0"/>
        <w:color w:val="auto"/>
        <w:sz w:val="24"/>
      </w:rPr>
    </w:lvl>
    <w:lvl w:ilvl="1" w:tplc="55DE8E88">
      <w:start w:val="1"/>
      <w:numFmt w:val="bullet"/>
      <w:lvlText w:val=""/>
      <w:lvlJc w:val="left"/>
      <w:pPr>
        <w:tabs>
          <w:tab w:val="num" w:pos="-848"/>
        </w:tabs>
        <w:ind w:left="-848" w:hanging="360"/>
      </w:pPr>
      <w:rPr>
        <w:rFonts w:ascii="Symbol" w:hAnsi="Symbol" w:hint="default"/>
        <w:b w:val="0"/>
        <w:i w:val="0"/>
        <w:color w:val="auto"/>
        <w:sz w:val="24"/>
      </w:rPr>
    </w:lvl>
    <w:lvl w:ilvl="2" w:tplc="0415001B" w:tentative="1">
      <w:start w:val="1"/>
      <w:numFmt w:val="lowerRoman"/>
      <w:lvlText w:val="%3."/>
      <w:lvlJc w:val="right"/>
      <w:pPr>
        <w:tabs>
          <w:tab w:val="num" w:pos="-128"/>
        </w:tabs>
        <w:ind w:left="-128" w:hanging="180"/>
      </w:pPr>
    </w:lvl>
    <w:lvl w:ilvl="3" w:tplc="0415000F" w:tentative="1">
      <w:start w:val="1"/>
      <w:numFmt w:val="decimal"/>
      <w:lvlText w:val="%4."/>
      <w:lvlJc w:val="left"/>
      <w:pPr>
        <w:tabs>
          <w:tab w:val="num" w:pos="592"/>
        </w:tabs>
        <w:ind w:left="592" w:hanging="360"/>
      </w:pPr>
    </w:lvl>
    <w:lvl w:ilvl="4" w:tplc="04150019" w:tentative="1">
      <w:start w:val="1"/>
      <w:numFmt w:val="lowerLetter"/>
      <w:lvlText w:val="%5."/>
      <w:lvlJc w:val="left"/>
      <w:pPr>
        <w:tabs>
          <w:tab w:val="num" w:pos="1312"/>
        </w:tabs>
        <w:ind w:left="1312" w:hanging="360"/>
      </w:pPr>
    </w:lvl>
    <w:lvl w:ilvl="5" w:tplc="0415001B" w:tentative="1">
      <w:start w:val="1"/>
      <w:numFmt w:val="lowerRoman"/>
      <w:lvlText w:val="%6."/>
      <w:lvlJc w:val="right"/>
      <w:pPr>
        <w:tabs>
          <w:tab w:val="num" w:pos="2032"/>
        </w:tabs>
        <w:ind w:left="2032" w:hanging="180"/>
      </w:pPr>
    </w:lvl>
    <w:lvl w:ilvl="6" w:tplc="0415000F" w:tentative="1">
      <w:start w:val="1"/>
      <w:numFmt w:val="decimal"/>
      <w:lvlText w:val="%7."/>
      <w:lvlJc w:val="left"/>
      <w:pPr>
        <w:tabs>
          <w:tab w:val="num" w:pos="2752"/>
        </w:tabs>
        <w:ind w:left="2752" w:hanging="360"/>
      </w:pPr>
    </w:lvl>
    <w:lvl w:ilvl="7" w:tplc="04150019" w:tentative="1">
      <w:start w:val="1"/>
      <w:numFmt w:val="lowerLetter"/>
      <w:lvlText w:val="%8."/>
      <w:lvlJc w:val="left"/>
      <w:pPr>
        <w:tabs>
          <w:tab w:val="num" w:pos="3472"/>
        </w:tabs>
        <w:ind w:left="3472" w:hanging="360"/>
      </w:pPr>
    </w:lvl>
    <w:lvl w:ilvl="8" w:tplc="0415001B" w:tentative="1">
      <w:start w:val="1"/>
      <w:numFmt w:val="lowerRoman"/>
      <w:lvlText w:val="%9."/>
      <w:lvlJc w:val="right"/>
      <w:pPr>
        <w:tabs>
          <w:tab w:val="num" w:pos="4192"/>
        </w:tabs>
        <w:ind w:left="4192" w:hanging="180"/>
      </w:pPr>
    </w:lvl>
  </w:abstractNum>
  <w:abstractNum w:abstractNumId="38" w15:restartNumberingAfterBreak="0">
    <w:nsid w:val="5E0F21C8"/>
    <w:multiLevelType w:val="hybridMultilevel"/>
    <w:tmpl w:val="FBE89D3C"/>
    <w:lvl w:ilvl="0" w:tplc="D03C2E82">
      <w:start w:val="1"/>
      <w:numFmt w:val="bullet"/>
      <w:lvlText w:val=""/>
      <w:lvlJc w:val="left"/>
      <w:pPr>
        <w:tabs>
          <w:tab w:val="num" w:pos="1080"/>
        </w:tabs>
        <w:ind w:left="1080" w:hanging="360"/>
      </w:pPr>
      <w:rPr>
        <w:rFonts w:ascii="Symbol" w:hAnsi="Symbol" w:hint="default"/>
        <w:color w:val="auto"/>
      </w:rPr>
    </w:lvl>
    <w:lvl w:ilvl="1" w:tplc="A596FF74">
      <w:start w:val="1"/>
      <w:numFmt w:val="lowerLetter"/>
      <w:lvlText w:val="%2)"/>
      <w:lvlJc w:val="left"/>
      <w:pPr>
        <w:ind w:left="1800" w:hanging="360"/>
      </w:pPr>
      <w:rPr>
        <w:rFonts w:hint="default"/>
      </w:rPr>
    </w:lvl>
    <w:lvl w:ilvl="2" w:tplc="F138B098">
      <w:start w:val="1"/>
      <w:numFmt w:val="lowerLetter"/>
      <w:lvlText w:val="%3."/>
      <w:lvlJc w:val="left"/>
      <w:pPr>
        <w:tabs>
          <w:tab w:val="num" w:pos="2520"/>
        </w:tabs>
        <w:ind w:left="2520" w:hanging="360"/>
      </w:pPr>
      <w:rPr>
        <w:rFonts w:hint="default"/>
        <w:color w:val="auto"/>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FDB31E2"/>
    <w:multiLevelType w:val="hybridMultilevel"/>
    <w:tmpl w:val="70088430"/>
    <w:lvl w:ilvl="0" w:tplc="9E8255E2">
      <w:start w:val="4"/>
      <w:numFmt w:val="decimal"/>
      <w:lvlText w:val="%1."/>
      <w:lvlJc w:val="left"/>
      <w:pPr>
        <w:tabs>
          <w:tab w:val="num" w:pos="480"/>
        </w:tabs>
        <w:ind w:left="480" w:hanging="360"/>
      </w:pPr>
      <w:rPr>
        <w:rFonts w:hint="default"/>
        <w:b/>
        <w:i w:val="0"/>
        <w:color w:val="auto"/>
        <w:sz w:val="24"/>
      </w:rPr>
    </w:lvl>
    <w:lvl w:ilvl="1" w:tplc="CFF691E4">
      <w:start w:val="1"/>
      <w:numFmt w:val="lowerLetter"/>
      <w:lvlText w:val="%2)"/>
      <w:lvlJc w:val="left"/>
      <w:pPr>
        <w:tabs>
          <w:tab w:val="num" w:pos="840"/>
        </w:tabs>
        <w:ind w:left="840" w:hanging="360"/>
      </w:pPr>
      <w:rPr>
        <w:rFonts w:ascii="Times New Roman" w:hAnsi="Times New Roman" w:hint="default"/>
        <w:b w:val="0"/>
        <w:i w:val="0"/>
        <w:color w:val="auto"/>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32A1CC4"/>
    <w:multiLevelType w:val="hybridMultilevel"/>
    <w:tmpl w:val="4EDE3414"/>
    <w:lvl w:ilvl="0" w:tplc="D5D0168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63E33ED8"/>
    <w:multiLevelType w:val="hybridMultilevel"/>
    <w:tmpl w:val="6E3C54EA"/>
    <w:lvl w:ilvl="0" w:tplc="9BA47600">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470595C"/>
    <w:multiLevelType w:val="hybridMultilevel"/>
    <w:tmpl w:val="CB005440"/>
    <w:lvl w:ilvl="0" w:tplc="DACECB90">
      <w:start w:val="6"/>
      <w:numFmt w:val="decimal"/>
      <w:lvlText w:val="%1."/>
      <w:lvlJc w:val="left"/>
      <w:pPr>
        <w:tabs>
          <w:tab w:val="num" w:pos="480"/>
        </w:tabs>
        <w:ind w:left="48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5C17A6F"/>
    <w:multiLevelType w:val="hybridMultilevel"/>
    <w:tmpl w:val="7B222A0A"/>
    <w:lvl w:ilvl="0" w:tplc="0415000F">
      <w:start w:val="1"/>
      <w:numFmt w:val="decimal"/>
      <w:lvlText w:val="%1."/>
      <w:lvlJc w:val="left"/>
      <w:pPr>
        <w:ind w:left="720" w:hanging="360"/>
      </w:pPr>
      <w:rPr>
        <w:rFonts w:hint="default"/>
      </w:rPr>
    </w:lvl>
    <w:lvl w:ilvl="1" w:tplc="B32405C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7130D98"/>
    <w:multiLevelType w:val="hybridMultilevel"/>
    <w:tmpl w:val="3EF805F8"/>
    <w:lvl w:ilvl="0" w:tplc="E1C6144A">
      <w:start w:val="5"/>
      <w:numFmt w:val="decimal"/>
      <w:lvlText w:val="%1."/>
      <w:lvlJc w:val="left"/>
      <w:pPr>
        <w:tabs>
          <w:tab w:val="num" w:pos="480"/>
        </w:tabs>
        <w:ind w:left="48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8CD5C4E"/>
    <w:multiLevelType w:val="hybridMultilevel"/>
    <w:tmpl w:val="9BB63A94"/>
    <w:lvl w:ilvl="0" w:tplc="827894E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9AB2237"/>
    <w:multiLevelType w:val="hybridMultilevel"/>
    <w:tmpl w:val="8DCE9E5C"/>
    <w:lvl w:ilvl="0" w:tplc="BC9C1BC4">
      <w:start w:val="1"/>
      <w:numFmt w:val="bullet"/>
      <w:lvlText w:val=""/>
      <w:lvlJc w:val="left"/>
      <w:pPr>
        <w:tabs>
          <w:tab w:val="num" w:pos="1048"/>
        </w:tabs>
        <w:ind w:left="1048" w:hanging="481"/>
      </w:pPr>
      <w:rPr>
        <w:rFonts w:ascii="Symbol" w:hAnsi="Symbol" w:hint="default"/>
      </w:rPr>
    </w:lvl>
    <w:lvl w:ilvl="1" w:tplc="9EC8F2A8">
      <w:start w:val="2"/>
      <w:numFmt w:val="decimal"/>
      <w:lvlText w:val="%2."/>
      <w:lvlJc w:val="left"/>
      <w:pPr>
        <w:tabs>
          <w:tab w:val="num" w:pos="0"/>
        </w:tabs>
        <w:ind w:left="284" w:hanging="284"/>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AD36D4D"/>
    <w:multiLevelType w:val="hybridMultilevel"/>
    <w:tmpl w:val="D6286D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4E4330"/>
    <w:multiLevelType w:val="hybridMultilevel"/>
    <w:tmpl w:val="75A24E9A"/>
    <w:lvl w:ilvl="0" w:tplc="9BA47600">
      <w:start w:val="1"/>
      <w:numFmt w:val="bullet"/>
      <w:lvlText w:val=""/>
      <w:lvlJc w:val="left"/>
      <w:pPr>
        <w:ind w:left="150" w:hanging="360"/>
      </w:pPr>
      <w:rPr>
        <w:rFonts w:ascii="Symbol" w:hAnsi="Symbol" w:hint="default"/>
      </w:rPr>
    </w:lvl>
    <w:lvl w:ilvl="1" w:tplc="04150003" w:tentative="1">
      <w:start w:val="1"/>
      <w:numFmt w:val="bullet"/>
      <w:lvlText w:val="o"/>
      <w:lvlJc w:val="left"/>
      <w:pPr>
        <w:ind w:left="870" w:hanging="360"/>
      </w:pPr>
      <w:rPr>
        <w:rFonts w:ascii="Courier New" w:hAnsi="Courier New" w:cs="Courier New" w:hint="default"/>
      </w:rPr>
    </w:lvl>
    <w:lvl w:ilvl="2" w:tplc="04150005" w:tentative="1">
      <w:start w:val="1"/>
      <w:numFmt w:val="bullet"/>
      <w:lvlText w:val=""/>
      <w:lvlJc w:val="left"/>
      <w:pPr>
        <w:ind w:left="1590" w:hanging="360"/>
      </w:pPr>
      <w:rPr>
        <w:rFonts w:ascii="Wingdings" w:hAnsi="Wingdings" w:hint="default"/>
      </w:rPr>
    </w:lvl>
    <w:lvl w:ilvl="3" w:tplc="04150001" w:tentative="1">
      <w:start w:val="1"/>
      <w:numFmt w:val="bullet"/>
      <w:lvlText w:val=""/>
      <w:lvlJc w:val="left"/>
      <w:pPr>
        <w:ind w:left="2310" w:hanging="360"/>
      </w:pPr>
      <w:rPr>
        <w:rFonts w:ascii="Symbol" w:hAnsi="Symbol" w:hint="default"/>
      </w:rPr>
    </w:lvl>
    <w:lvl w:ilvl="4" w:tplc="04150003" w:tentative="1">
      <w:start w:val="1"/>
      <w:numFmt w:val="bullet"/>
      <w:lvlText w:val="o"/>
      <w:lvlJc w:val="left"/>
      <w:pPr>
        <w:ind w:left="3030" w:hanging="360"/>
      </w:pPr>
      <w:rPr>
        <w:rFonts w:ascii="Courier New" w:hAnsi="Courier New" w:cs="Courier New" w:hint="default"/>
      </w:rPr>
    </w:lvl>
    <w:lvl w:ilvl="5" w:tplc="04150005" w:tentative="1">
      <w:start w:val="1"/>
      <w:numFmt w:val="bullet"/>
      <w:lvlText w:val=""/>
      <w:lvlJc w:val="left"/>
      <w:pPr>
        <w:ind w:left="3750" w:hanging="360"/>
      </w:pPr>
      <w:rPr>
        <w:rFonts w:ascii="Wingdings" w:hAnsi="Wingdings" w:hint="default"/>
      </w:rPr>
    </w:lvl>
    <w:lvl w:ilvl="6" w:tplc="04150001" w:tentative="1">
      <w:start w:val="1"/>
      <w:numFmt w:val="bullet"/>
      <w:lvlText w:val=""/>
      <w:lvlJc w:val="left"/>
      <w:pPr>
        <w:ind w:left="4470" w:hanging="360"/>
      </w:pPr>
      <w:rPr>
        <w:rFonts w:ascii="Symbol" w:hAnsi="Symbol" w:hint="default"/>
      </w:rPr>
    </w:lvl>
    <w:lvl w:ilvl="7" w:tplc="04150003" w:tentative="1">
      <w:start w:val="1"/>
      <w:numFmt w:val="bullet"/>
      <w:lvlText w:val="o"/>
      <w:lvlJc w:val="left"/>
      <w:pPr>
        <w:ind w:left="5190" w:hanging="360"/>
      </w:pPr>
      <w:rPr>
        <w:rFonts w:ascii="Courier New" w:hAnsi="Courier New" w:cs="Courier New" w:hint="default"/>
      </w:rPr>
    </w:lvl>
    <w:lvl w:ilvl="8" w:tplc="04150005" w:tentative="1">
      <w:start w:val="1"/>
      <w:numFmt w:val="bullet"/>
      <w:lvlText w:val=""/>
      <w:lvlJc w:val="left"/>
      <w:pPr>
        <w:ind w:left="5910" w:hanging="360"/>
      </w:pPr>
      <w:rPr>
        <w:rFonts w:ascii="Wingdings" w:hAnsi="Wingdings" w:hint="default"/>
      </w:rPr>
    </w:lvl>
  </w:abstractNum>
  <w:abstractNum w:abstractNumId="49" w15:restartNumberingAfterBreak="0">
    <w:nsid w:val="6F6C558F"/>
    <w:multiLevelType w:val="hybridMultilevel"/>
    <w:tmpl w:val="41F83038"/>
    <w:lvl w:ilvl="0" w:tplc="D0DC386E">
      <w:start w:val="1"/>
      <w:numFmt w:val="decimal"/>
      <w:lvlText w:val="%1)"/>
      <w:lvlJc w:val="left"/>
      <w:pPr>
        <w:ind w:left="760" w:hanging="360"/>
      </w:pPr>
      <w:rPr>
        <w:rFonts w:hint="default"/>
      </w:rPr>
    </w:lvl>
    <w:lvl w:ilvl="1" w:tplc="04150019">
      <w:start w:val="1"/>
      <w:numFmt w:val="lowerLetter"/>
      <w:lvlText w:val="%2."/>
      <w:lvlJc w:val="left"/>
      <w:pPr>
        <w:ind w:left="1480" w:hanging="360"/>
      </w:pPr>
    </w:lvl>
    <w:lvl w:ilvl="2" w:tplc="0415001B">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50" w15:restartNumberingAfterBreak="0">
    <w:nsid w:val="706D43DD"/>
    <w:multiLevelType w:val="hybridMultilevel"/>
    <w:tmpl w:val="7E180146"/>
    <w:lvl w:ilvl="0" w:tplc="877E4BEA">
      <w:start w:val="2"/>
      <w:numFmt w:val="lowerLetter"/>
      <w:lvlText w:val="%1)"/>
      <w:lvlJc w:val="left"/>
      <w:pPr>
        <w:tabs>
          <w:tab w:val="num" w:pos="840"/>
        </w:tabs>
        <w:ind w:left="840" w:hanging="360"/>
      </w:pPr>
      <w:rPr>
        <w:rFonts w:ascii="Times New Roman" w:hAnsi="Times New Roman" w:hint="default"/>
        <w:b w:val="0"/>
        <w:i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1F93382"/>
    <w:multiLevelType w:val="hybridMultilevel"/>
    <w:tmpl w:val="8DE2B156"/>
    <w:lvl w:ilvl="0" w:tplc="EC54D6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2D8096F"/>
    <w:multiLevelType w:val="hybridMultilevel"/>
    <w:tmpl w:val="48A08E00"/>
    <w:lvl w:ilvl="0" w:tplc="9BA4760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3" w15:restartNumberingAfterBreak="0">
    <w:nsid w:val="73BB202C"/>
    <w:multiLevelType w:val="hybridMultilevel"/>
    <w:tmpl w:val="F768E254"/>
    <w:lvl w:ilvl="0" w:tplc="827894E0">
      <w:start w:val="1"/>
      <w:numFmt w:val="bullet"/>
      <w:lvlText w:val=""/>
      <w:lvlJc w:val="left"/>
      <w:pPr>
        <w:ind w:left="661" w:hanging="360"/>
      </w:pPr>
      <w:rPr>
        <w:rFonts w:ascii="Symbol" w:hAnsi="Symbol" w:hint="default"/>
      </w:rPr>
    </w:lvl>
    <w:lvl w:ilvl="1" w:tplc="04150003" w:tentative="1">
      <w:start w:val="1"/>
      <w:numFmt w:val="bullet"/>
      <w:lvlText w:val="o"/>
      <w:lvlJc w:val="left"/>
      <w:pPr>
        <w:ind w:left="1381" w:hanging="360"/>
      </w:pPr>
      <w:rPr>
        <w:rFonts w:ascii="Courier New" w:hAnsi="Courier New" w:cs="Courier New" w:hint="default"/>
      </w:rPr>
    </w:lvl>
    <w:lvl w:ilvl="2" w:tplc="04150005" w:tentative="1">
      <w:start w:val="1"/>
      <w:numFmt w:val="bullet"/>
      <w:lvlText w:val=""/>
      <w:lvlJc w:val="left"/>
      <w:pPr>
        <w:ind w:left="2101" w:hanging="360"/>
      </w:pPr>
      <w:rPr>
        <w:rFonts w:ascii="Wingdings" w:hAnsi="Wingdings" w:hint="default"/>
      </w:rPr>
    </w:lvl>
    <w:lvl w:ilvl="3" w:tplc="04150001" w:tentative="1">
      <w:start w:val="1"/>
      <w:numFmt w:val="bullet"/>
      <w:lvlText w:val=""/>
      <w:lvlJc w:val="left"/>
      <w:pPr>
        <w:ind w:left="2821" w:hanging="360"/>
      </w:pPr>
      <w:rPr>
        <w:rFonts w:ascii="Symbol" w:hAnsi="Symbol" w:hint="default"/>
      </w:rPr>
    </w:lvl>
    <w:lvl w:ilvl="4" w:tplc="04150003" w:tentative="1">
      <w:start w:val="1"/>
      <w:numFmt w:val="bullet"/>
      <w:lvlText w:val="o"/>
      <w:lvlJc w:val="left"/>
      <w:pPr>
        <w:ind w:left="3541" w:hanging="360"/>
      </w:pPr>
      <w:rPr>
        <w:rFonts w:ascii="Courier New" w:hAnsi="Courier New" w:cs="Courier New" w:hint="default"/>
      </w:rPr>
    </w:lvl>
    <w:lvl w:ilvl="5" w:tplc="04150005" w:tentative="1">
      <w:start w:val="1"/>
      <w:numFmt w:val="bullet"/>
      <w:lvlText w:val=""/>
      <w:lvlJc w:val="left"/>
      <w:pPr>
        <w:ind w:left="4261" w:hanging="360"/>
      </w:pPr>
      <w:rPr>
        <w:rFonts w:ascii="Wingdings" w:hAnsi="Wingdings" w:hint="default"/>
      </w:rPr>
    </w:lvl>
    <w:lvl w:ilvl="6" w:tplc="04150001" w:tentative="1">
      <w:start w:val="1"/>
      <w:numFmt w:val="bullet"/>
      <w:lvlText w:val=""/>
      <w:lvlJc w:val="left"/>
      <w:pPr>
        <w:ind w:left="4981" w:hanging="360"/>
      </w:pPr>
      <w:rPr>
        <w:rFonts w:ascii="Symbol" w:hAnsi="Symbol" w:hint="default"/>
      </w:rPr>
    </w:lvl>
    <w:lvl w:ilvl="7" w:tplc="04150003" w:tentative="1">
      <w:start w:val="1"/>
      <w:numFmt w:val="bullet"/>
      <w:lvlText w:val="o"/>
      <w:lvlJc w:val="left"/>
      <w:pPr>
        <w:ind w:left="5701" w:hanging="360"/>
      </w:pPr>
      <w:rPr>
        <w:rFonts w:ascii="Courier New" w:hAnsi="Courier New" w:cs="Courier New" w:hint="default"/>
      </w:rPr>
    </w:lvl>
    <w:lvl w:ilvl="8" w:tplc="04150005" w:tentative="1">
      <w:start w:val="1"/>
      <w:numFmt w:val="bullet"/>
      <w:lvlText w:val=""/>
      <w:lvlJc w:val="left"/>
      <w:pPr>
        <w:ind w:left="6421" w:hanging="360"/>
      </w:pPr>
      <w:rPr>
        <w:rFonts w:ascii="Wingdings" w:hAnsi="Wingdings" w:hint="default"/>
      </w:rPr>
    </w:lvl>
  </w:abstractNum>
  <w:abstractNum w:abstractNumId="54" w15:restartNumberingAfterBreak="0">
    <w:nsid w:val="740C513F"/>
    <w:multiLevelType w:val="hybridMultilevel"/>
    <w:tmpl w:val="C5CCBBC4"/>
    <w:lvl w:ilvl="0" w:tplc="171CEAEC">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FBCC4374">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7AA3082F"/>
    <w:multiLevelType w:val="hybridMultilevel"/>
    <w:tmpl w:val="23EA4086"/>
    <w:lvl w:ilvl="0" w:tplc="85684C54">
      <w:start w:val="3"/>
      <w:numFmt w:val="decimal"/>
      <w:lvlText w:val="%1."/>
      <w:lvlJc w:val="left"/>
      <w:pPr>
        <w:tabs>
          <w:tab w:val="num" w:pos="480"/>
        </w:tabs>
        <w:ind w:left="48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F522E04"/>
    <w:multiLevelType w:val="hybridMultilevel"/>
    <w:tmpl w:val="FA10CDF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5"/>
  </w:num>
  <w:num w:numId="3">
    <w:abstractNumId w:val="46"/>
  </w:num>
  <w:num w:numId="4">
    <w:abstractNumId w:val="43"/>
  </w:num>
  <w:num w:numId="5">
    <w:abstractNumId w:val="28"/>
  </w:num>
  <w:num w:numId="6">
    <w:abstractNumId w:val="40"/>
  </w:num>
  <w:num w:numId="7">
    <w:abstractNumId w:val="32"/>
  </w:num>
  <w:num w:numId="8">
    <w:abstractNumId w:val="4"/>
  </w:num>
  <w:num w:numId="9">
    <w:abstractNumId w:val="22"/>
  </w:num>
  <w:num w:numId="10">
    <w:abstractNumId w:val="20"/>
  </w:num>
  <w:num w:numId="11">
    <w:abstractNumId w:val="10"/>
  </w:num>
  <w:num w:numId="12">
    <w:abstractNumId w:val="33"/>
  </w:num>
  <w:num w:numId="13">
    <w:abstractNumId w:val="9"/>
  </w:num>
  <w:num w:numId="14">
    <w:abstractNumId w:val="25"/>
  </w:num>
  <w:num w:numId="15">
    <w:abstractNumId w:val="38"/>
  </w:num>
  <w:num w:numId="16">
    <w:abstractNumId w:val="27"/>
  </w:num>
  <w:num w:numId="17">
    <w:abstractNumId w:val="30"/>
  </w:num>
  <w:num w:numId="18">
    <w:abstractNumId w:val="13"/>
  </w:num>
  <w:num w:numId="19">
    <w:abstractNumId w:val="51"/>
  </w:num>
  <w:num w:numId="20">
    <w:abstractNumId w:val="55"/>
  </w:num>
  <w:num w:numId="21">
    <w:abstractNumId w:val="37"/>
  </w:num>
  <w:num w:numId="22">
    <w:abstractNumId w:val="39"/>
  </w:num>
  <w:num w:numId="23">
    <w:abstractNumId w:val="50"/>
  </w:num>
  <w:num w:numId="24">
    <w:abstractNumId w:val="44"/>
  </w:num>
  <w:num w:numId="25">
    <w:abstractNumId w:val="42"/>
  </w:num>
  <w:num w:numId="26">
    <w:abstractNumId w:val="34"/>
  </w:num>
  <w:num w:numId="27">
    <w:abstractNumId w:val="29"/>
  </w:num>
  <w:num w:numId="28">
    <w:abstractNumId w:val="14"/>
  </w:num>
  <w:num w:numId="29">
    <w:abstractNumId w:val="12"/>
  </w:num>
  <w:num w:numId="30">
    <w:abstractNumId w:val="15"/>
  </w:num>
  <w:num w:numId="31">
    <w:abstractNumId w:val="8"/>
  </w:num>
  <w:num w:numId="32">
    <w:abstractNumId w:val="54"/>
  </w:num>
  <w:num w:numId="33">
    <w:abstractNumId w:val="17"/>
  </w:num>
  <w:num w:numId="34">
    <w:abstractNumId w:val="7"/>
  </w:num>
  <w:num w:numId="35">
    <w:abstractNumId w:val="0"/>
    <w:lvlOverride w:ilvl="0">
      <w:lvl w:ilvl="0">
        <w:start w:val="1"/>
        <w:numFmt w:val="bullet"/>
        <w:lvlText w:val=""/>
        <w:legacy w:legacy="1" w:legacySpace="120" w:legacyIndent="340"/>
        <w:lvlJc w:val="left"/>
        <w:pPr>
          <w:ind w:left="540" w:hanging="340"/>
        </w:pPr>
        <w:rPr>
          <w:rFonts w:ascii="Symbol" w:hAnsi="Symbol" w:hint="default"/>
        </w:rPr>
      </w:lvl>
    </w:lvlOverride>
  </w:num>
  <w:num w:numId="36">
    <w:abstractNumId w:val="56"/>
  </w:num>
  <w:num w:numId="37">
    <w:abstractNumId w:val="19"/>
  </w:num>
  <w:num w:numId="38">
    <w:abstractNumId w:val="36"/>
  </w:num>
  <w:num w:numId="39">
    <w:abstractNumId w:val="18"/>
  </w:num>
  <w:num w:numId="40">
    <w:abstractNumId w:val="31"/>
  </w:num>
  <w:num w:numId="41">
    <w:abstractNumId w:val="49"/>
  </w:num>
  <w:num w:numId="42">
    <w:abstractNumId w:val="11"/>
  </w:num>
  <w:num w:numId="43">
    <w:abstractNumId w:val="35"/>
  </w:num>
  <w:num w:numId="44">
    <w:abstractNumId w:val="21"/>
  </w:num>
  <w:num w:numId="45">
    <w:abstractNumId w:val="48"/>
  </w:num>
  <w:num w:numId="46">
    <w:abstractNumId w:val="41"/>
  </w:num>
  <w:num w:numId="47">
    <w:abstractNumId w:val="52"/>
  </w:num>
  <w:num w:numId="48">
    <w:abstractNumId w:val="3"/>
  </w:num>
  <w:num w:numId="49">
    <w:abstractNumId w:val="23"/>
  </w:num>
  <w:num w:numId="50">
    <w:abstractNumId w:val="47"/>
  </w:num>
  <w:num w:numId="51">
    <w:abstractNumId w:val="1"/>
  </w:num>
  <w:num w:numId="52">
    <w:abstractNumId w:val="6"/>
  </w:num>
  <w:num w:numId="53">
    <w:abstractNumId w:val="2"/>
  </w:num>
  <w:num w:numId="54">
    <w:abstractNumId w:val="53"/>
  </w:num>
  <w:num w:numId="55">
    <w:abstractNumId w:val="24"/>
  </w:num>
  <w:num w:numId="56">
    <w:abstractNumId w:val="26"/>
  </w:num>
  <w:num w:numId="57">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E5"/>
    <w:rsid w:val="00000D03"/>
    <w:rsid w:val="00001AD2"/>
    <w:rsid w:val="000036BE"/>
    <w:rsid w:val="000062B3"/>
    <w:rsid w:val="0001010F"/>
    <w:rsid w:val="0001665D"/>
    <w:rsid w:val="000171D8"/>
    <w:rsid w:val="00023A76"/>
    <w:rsid w:val="000266C4"/>
    <w:rsid w:val="00027624"/>
    <w:rsid w:val="0003336F"/>
    <w:rsid w:val="00033FE9"/>
    <w:rsid w:val="00034DD3"/>
    <w:rsid w:val="000351F7"/>
    <w:rsid w:val="00036F25"/>
    <w:rsid w:val="00040DD9"/>
    <w:rsid w:val="00043B07"/>
    <w:rsid w:val="00043E58"/>
    <w:rsid w:val="00052C75"/>
    <w:rsid w:val="00053A54"/>
    <w:rsid w:val="00055B75"/>
    <w:rsid w:val="00062C20"/>
    <w:rsid w:val="000632BE"/>
    <w:rsid w:val="000634E7"/>
    <w:rsid w:val="0006535A"/>
    <w:rsid w:val="00066C07"/>
    <w:rsid w:val="00067B65"/>
    <w:rsid w:val="000703F7"/>
    <w:rsid w:val="00070F0C"/>
    <w:rsid w:val="0007169E"/>
    <w:rsid w:val="000733C3"/>
    <w:rsid w:val="000759C5"/>
    <w:rsid w:val="00077061"/>
    <w:rsid w:val="0007737E"/>
    <w:rsid w:val="000841CA"/>
    <w:rsid w:val="00086ADE"/>
    <w:rsid w:val="0008749F"/>
    <w:rsid w:val="00094428"/>
    <w:rsid w:val="00094B3D"/>
    <w:rsid w:val="00096CF0"/>
    <w:rsid w:val="00097444"/>
    <w:rsid w:val="000977CA"/>
    <w:rsid w:val="000A01F6"/>
    <w:rsid w:val="000A1756"/>
    <w:rsid w:val="000A4D7B"/>
    <w:rsid w:val="000A6D53"/>
    <w:rsid w:val="000A702D"/>
    <w:rsid w:val="000A74AC"/>
    <w:rsid w:val="000B0FA6"/>
    <w:rsid w:val="000B1334"/>
    <w:rsid w:val="000B1A3C"/>
    <w:rsid w:val="000B1F27"/>
    <w:rsid w:val="000B750D"/>
    <w:rsid w:val="000C3382"/>
    <w:rsid w:val="000C7F92"/>
    <w:rsid w:val="000D0694"/>
    <w:rsid w:val="000D0952"/>
    <w:rsid w:val="000D0956"/>
    <w:rsid w:val="000D09DA"/>
    <w:rsid w:val="000D3657"/>
    <w:rsid w:val="000D4657"/>
    <w:rsid w:val="000D70F6"/>
    <w:rsid w:val="000E03E7"/>
    <w:rsid w:val="000E42AC"/>
    <w:rsid w:val="000E453B"/>
    <w:rsid w:val="000E4DA8"/>
    <w:rsid w:val="000E61A3"/>
    <w:rsid w:val="000E6AB2"/>
    <w:rsid w:val="000F0C5E"/>
    <w:rsid w:val="000F15EB"/>
    <w:rsid w:val="000F1EF7"/>
    <w:rsid w:val="000F26C3"/>
    <w:rsid w:val="000F5F81"/>
    <w:rsid w:val="0011079F"/>
    <w:rsid w:val="00111990"/>
    <w:rsid w:val="001139A0"/>
    <w:rsid w:val="00114F76"/>
    <w:rsid w:val="00115225"/>
    <w:rsid w:val="00117D22"/>
    <w:rsid w:val="0012051F"/>
    <w:rsid w:val="00120EA8"/>
    <w:rsid w:val="001214B3"/>
    <w:rsid w:val="00123206"/>
    <w:rsid w:val="00124040"/>
    <w:rsid w:val="001252EC"/>
    <w:rsid w:val="00130461"/>
    <w:rsid w:val="00133EE5"/>
    <w:rsid w:val="00135E0F"/>
    <w:rsid w:val="001364B6"/>
    <w:rsid w:val="001437D1"/>
    <w:rsid w:val="001446EC"/>
    <w:rsid w:val="00147095"/>
    <w:rsid w:val="001520BE"/>
    <w:rsid w:val="0015267C"/>
    <w:rsid w:val="001531D8"/>
    <w:rsid w:val="00153BED"/>
    <w:rsid w:val="00156AFF"/>
    <w:rsid w:val="00165F99"/>
    <w:rsid w:val="00166127"/>
    <w:rsid w:val="00171591"/>
    <w:rsid w:val="00171D8B"/>
    <w:rsid w:val="001735F0"/>
    <w:rsid w:val="00175751"/>
    <w:rsid w:val="0017772C"/>
    <w:rsid w:val="00181478"/>
    <w:rsid w:val="00185948"/>
    <w:rsid w:val="00187651"/>
    <w:rsid w:val="0018765A"/>
    <w:rsid w:val="001921CB"/>
    <w:rsid w:val="001A1F0D"/>
    <w:rsid w:val="001A656A"/>
    <w:rsid w:val="001A7DCC"/>
    <w:rsid w:val="001B08B3"/>
    <w:rsid w:val="001B1DE8"/>
    <w:rsid w:val="001B2365"/>
    <w:rsid w:val="001B5852"/>
    <w:rsid w:val="001B70A8"/>
    <w:rsid w:val="001C1025"/>
    <w:rsid w:val="001C18EA"/>
    <w:rsid w:val="001C3D2A"/>
    <w:rsid w:val="001C55A7"/>
    <w:rsid w:val="001C5644"/>
    <w:rsid w:val="001D0A3D"/>
    <w:rsid w:val="001D0C9E"/>
    <w:rsid w:val="001D0E52"/>
    <w:rsid w:val="001D39D7"/>
    <w:rsid w:val="001D488D"/>
    <w:rsid w:val="001D58D4"/>
    <w:rsid w:val="001E3CF3"/>
    <w:rsid w:val="001E790E"/>
    <w:rsid w:val="001F05D5"/>
    <w:rsid w:val="001F0813"/>
    <w:rsid w:val="001F66AB"/>
    <w:rsid w:val="002003AA"/>
    <w:rsid w:val="00201269"/>
    <w:rsid w:val="002015EB"/>
    <w:rsid w:val="0020324B"/>
    <w:rsid w:val="0020432C"/>
    <w:rsid w:val="002044F8"/>
    <w:rsid w:val="00205C56"/>
    <w:rsid w:val="0020790B"/>
    <w:rsid w:val="00211323"/>
    <w:rsid w:val="00213F75"/>
    <w:rsid w:val="00214715"/>
    <w:rsid w:val="00214D02"/>
    <w:rsid w:val="00216DB0"/>
    <w:rsid w:val="002172D0"/>
    <w:rsid w:val="0022058D"/>
    <w:rsid w:val="002205D8"/>
    <w:rsid w:val="002231C0"/>
    <w:rsid w:val="0022530A"/>
    <w:rsid w:val="00230593"/>
    <w:rsid w:val="0023092E"/>
    <w:rsid w:val="00232DEC"/>
    <w:rsid w:val="00235FAA"/>
    <w:rsid w:val="00237D89"/>
    <w:rsid w:val="002400FA"/>
    <w:rsid w:val="0024125E"/>
    <w:rsid w:val="00241747"/>
    <w:rsid w:val="002419BE"/>
    <w:rsid w:val="00242945"/>
    <w:rsid w:val="00244828"/>
    <w:rsid w:val="002455B7"/>
    <w:rsid w:val="00247C89"/>
    <w:rsid w:val="00250DB6"/>
    <w:rsid w:val="002512B4"/>
    <w:rsid w:val="00251DDF"/>
    <w:rsid w:val="0025300E"/>
    <w:rsid w:val="00256A55"/>
    <w:rsid w:val="00257749"/>
    <w:rsid w:val="002601C9"/>
    <w:rsid w:val="00262945"/>
    <w:rsid w:val="00271CCD"/>
    <w:rsid w:val="002724D1"/>
    <w:rsid w:val="00273BBD"/>
    <w:rsid w:val="002761E0"/>
    <w:rsid w:val="002765ED"/>
    <w:rsid w:val="00280179"/>
    <w:rsid w:val="00281D0F"/>
    <w:rsid w:val="002834F6"/>
    <w:rsid w:val="0028693C"/>
    <w:rsid w:val="0029156B"/>
    <w:rsid w:val="002924B2"/>
    <w:rsid w:val="00294C40"/>
    <w:rsid w:val="002953CA"/>
    <w:rsid w:val="00295A60"/>
    <w:rsid w:val="00297868"/>
    <w:rsid w:val="002A13B3"/>
    <w:rsid w:val="002A16EB"/>
    <w:rsid w:val="002A1DBB"/>
    <w:rsid w:val="002A485B"/>
    <w:rsid w:val="002A4D3E"/>
    <w:rsid w:val="002A550E"/>
    <w:rsid w:val="002A77BC"/>
    <w:rsid w:val="002B4ACF"/>
    <w:rsid w:val="002B4D44"/>
    <w:rsid w:val="002B756D"/>
    <w:rsid w:val="002C1A0B"/>
    <w:rsid w:val="002C3269"/>
    <w:rsid w:val="002C39A9"/>
    <w:rsid w:val="002C51A1"/>
    <w:rsid w:val="002C6AF6"/>
    <w:rsid w:val="002D19FD"/>
    <w:rsid w:val="002D25DA"/>
    <w:rsid w:val="002D39DC"/>
    <w:rsid w:val="002D750D"/>
    <w:rsid w:val="002E1368"/>
    <w:rsid w:val="002E236E"/>
    <w:rsid w:val="002E7911"/>
    <w:rsid w:val="002E7F70"/>
    <w:rsid w:val="002F525F"/>
    <w:rsid w:val="002F6744"/>
    <w:rsid w:val="002F6C3F"/>
    <w:rsid w:val="002F78AD"/>
    <w:rsid w:val="00300371"/>
    <w:rsid w:val="00300989"/>
    <w:rsid w:val="00300F2D"/>
    <w:rsid w:val="003013DA"/>
    <w:rsid w:val="003016C6"/>
    <w:rsid w:val="00301831"/>
    <w:rsid w:val="0030235B"/>
    <w:rsid w:val="003048D5"/>
    <w:rsid w:val="00304901"/>
    <w:rsid w:val="00307EED"/>
    <w:rsid w:val="003124DF"/>
    <w:rsid w:val="003126C5"/>
    <w:rsid w:val="00317460"/>
    <w:rsid w:val="00317C78"/>
    <w:rsid w:val="003215CE"/>
    <w:rsid w:val="00322AD6"/>
    <w:rsid w:val="0032317B"/>
    <w:rsid w:val="003263EC"/>
    <w:rsid w:val="003313E7"/>
    <w:rsid w:val="0033195D"/>
    <w:rsid w:val="0033247F"/>
    <w:rsid w:val="00332593"/>
    <w:rsid w:val="0033457D"/>
    <w:rsid w:val="00336512"/>
    <w:rsid w:val="003401BD"/>
    <w:rsid w:val="00341FDC"/>
    <w:rsid w:val="003433E2"/>
    <w:rsid w:val="00345D82"/>
    <w:rsid w:val="003460DB"/>
    <w:rsid w:val="00346441"/>
    <w:rsid w:val="00351039"/>
    <w:rsid w:val="00352F5C"/>
    <w:rsid w:val="003534CB"/>
    <w:rsid w:val="0035665E"/>
    <w:rsid w:val="0036010C"/>
    <w:rsid w:val="00360BA4"/>
    <w:rsid w:val="00363590"/>
    <w:rsid w:val="003643DD"/>
    <w:rsid w:val="00366669"/>
    <w:rsid w:val="00371EF0"/>
    <w:rsid w:val="00376649"/>
    <w:rsid w:val="00383011"/>
    <w:rsid w:val="00383EEC"/>
    <w:rsid w:val="0038653F"/>
    <w:rsid w:val="00392649"/>
    <w:rsid w:val="00394D46"/>
    <w:rsid w:val="00394E55"/>
    <w:rsid w:val="00396AEA"/>
    <w:rsid w:val="00397E25"/>
    <w:rsid w:val="003A1485"/>
    <w:rsid w:val="003A3C27"/>
    <w:rsid w:val="003A413D"/>
    <w:rsid w:val="003A4E74"/>
    <w:rsid w:val="003A713F"/>
    <w:rsid w:val="003B02A4"/>
    <w:rsid w:val="003B2337"/>
    <w:rsid w:val="003B2F52"/>
    <w:rsid w:val="003B517E"/>
    <w:rsid w:val="003B79DD"/>
    <w:rsid w:val="003C0A6F"/>
    <w:rsid w:val="003C1288"/>
    <w:rsid w:val="003C4DF2"/>
    <w:rsid w:val="003D0664"/>
    <w:rsid w:val="003D0BAF"/>
    <w:rsid w:val="003D1422"/>
    <w:rsid w:val="003D2004"/>
    <w:rsid w:val="003D47F0"/>
    <w:rsid w:val="003D4FF4"/>
    <w:rsid w:val="003D5117"/>
    <w:rsid w:val="003D5D2D"/>
    <w:rsid w:val="003D6ED3"/>
    <w:rsid w:val="003E06F7"/>
    <w:rsid w:val="003E0706"/>
    <w:rsid w:val="003E120F"/>
    <w:rsid w:val="003E2601"/>
    <w:rsid w:val="003E2DB3"/>
    <w:rsid w:val="003E4ECE"/>
    <w:rsid w:val="003E54AB"/>
    <w:rsid w:val="003F0268"/>
    <w:rsid w:val="003F1FB2"/>
    <w:rsid w:val="003F3B12"/>
    <w:rsid w:val="003F46A6"/>
    <w:rsid w:val="003F6416"/>
    <w:rsid w:val="003F6690"/>
    <w:rsid w:val="003F70C4"/>
    <w:rsid w:val="003F7794"/>
    <w:rsid w:val="00400DB4"/>
    <w:rsid w:val="004015A0"/>
    <w:rsid w:val="00402E90"/>
    <w:rsid w:val="004042DA"/>
    <w:rsid w:val="00404F82"/>
    <w:rsid w:val="004067A8"/>
    <w:rsid w:val="00411BED"/>
    <w:rsid w:val="0041379B"/>
    <w:rsid w:val="00415611"/>
    <w:rsid w:val="004157B7"/>
    <w:rsid w:val="004175C9"/>
    <w:rsid w:val="00417A22"/>
    <w:rsid w:val="00417AF1"/>
    <w:rsid w:val="00422164"/>
    <w:rsid w:val="004221C1"/>
    <w:rsid w:val="00424601"/>
    <w:rsid w:val="004248AC"/>
    <w:rsid w:val="00430CC8"/>
    <w:rsid w:val="00432D8A"/>
    <w:rsid w:val="004339B7"/>
    <w:rsid w:val="004340AC"/>
    <w:rsid w:val="00434A29"/>
    <w:rsid w:val="00440240"/>
    <w:rsid w:val="00441391"/>
    <w:rsid w:val="0044249B"/>
    <w:rsid w:val="00442997"/>
    <w:rsid w:val="0044355F"/>
    <w:rsid w:val="004452CC"/>
    <w:rsid w:val="00445FF8"/>
    <w:rsid w:val="0044783A"/>
    <w:rsid w:val="004523F8"/>
    <w:rsid w:val="004524A0"/>
    <w:rsid w:val="0045499D"/>
    <w:rsid w:val="00455D74"/>
    <w:rsid w:val="004570A6"/>
    <w:rsid w:val="0046059C"/>
    <w:rsid w:val="00462307"/>
    <w:rsid w:val="004625A0"/>
    <w:rsid w:val="0046313F"/>
    <w:rsid w:val="00463957"/>
    <w:rsid w:val="00465A5C"/>
    <w:rsid w:val="00465C3F"/>
    <w:rsid w:val="00466053"/>
    <w:rsid w:val="0047121D"/>
    <w:rsid w:val="00473A32"/>
    <w:rsid w:val="00474324"/>
    <w:rsid w:val="00475F90"/>
    <w:rsid w:val="004825F2"/>
    <w:rsid w:val="00482DAC"/>
    <w:rsid w:val="00484499"/>
    <w:rsid w:val="004846FE"/>
    <w:rsid w:val="00485963"/>
    <w:rsid w:val="004863F3"/>
    <w:rsid w:val="004933FE"/>
    <w:rsid w:val="004935BA"/>
    <w:rsid w:val="00493D47"/>
    <w:rsid w:val="00495314"/>
    <w:rsid w:val="0049790E"/>
    <w:rsid w:val="004A01FA"/>
    <w:rsid w:val="004A1276"/>
    <w:rsid w:val="004A4396"/>
    <w:rsid w:val="004A474C"/>
    <w:rsid w:val="004A61C0"/>
    <w:rsid w:val="004B21C9"/>
    <w:rsid w:val="004B40B2"/>
    <w:rsid w:val="004B5426"/>
    <w:rsid w:val="004B685C"/>
    <w:rsid w:val="004C04F5"/>
    <w:rsid w:val="004C1720"/>
    <w:rsid w:val="004C1F91"/>
    <w:rsid w:val="004C3E6B"/>
    <w:rsid w:val="004C7AFB"/>
    <w:rsid w:val="004D2DDE"/>
    <w:rsid w:val="004D4219"/>
    <w:rsid w:val="004D4971"/>
    <w:rsid w:val="004D6C81"/>
    <w:rsid w:val="004D7015"/>
    <w:rsid w:val="004D732D"/>
    <w:rsid w:val="004E0703"/>
    <w:rsid w:val="004E0B82"/>
    <w:rsid w:val="004E1852"/>
    <w:rsid w:val="004E2360"/>
    <w:rsid w:val="004E2926"/>
    <w:rsid w:val="004E5012"/>
    <w:rsid w:val="004E6DBC"/>
    <w:rsid w:val="004F1B68"/>
    <w:rsid w:val="004F1BD4"/>
    <w:rsid w:val="004F1D32"/>
    <w:rsid w:val="004F28AA"/>
    <w:rsid w:val="004F54E5"/>
    <w:rsid w:val="004F5BE2"/>
    <w:rsid w:val="004F67E1"/>
    <w:rsid w:val="004F6CBB"/>
    <w:rsid w:val="004F6F15"/>
    <w:rsid w:val="004F74C7"/>
    <w:rsid w:val="00505F21"/>
    <w:rsid w:val="00507BA4"/>
    <w:rsid w:val="00510099"/>
    <w:rsid w:val="005104AB"/>
    <w:rsid w:val="00510D7A"/>
    <w:rsid w:val="00520AD9"/>
    <w:rsid w:val="005225E8"/>
    <w:rsid w:val="00523B2B"/>
    <w:rsid w:val="00526B2B"/>
    <w:rsid w:val="00527480"/>
    <w:rsid w:val="005305DA"/>
    <w:rsid w:val="0053189E"/>
    <w:rsid w:val="0053356A"/>
    <w:rsid w:val="005374CD"/>
    <w:rsid w:val="005413E5"/>
    <w:rsid w:val="00543957"/>
    <w:rsid w:val="005444DC"/>
    <w:rsid w:val="00545F47"/>
    <w:rsid w:val="0054737D"/>
    <w:rsid w:val="005476C1"/>
    <w:rsid w:val="00550CD3"/>
    <w:rsid w:val="005516C5"/>
    <w:rsid w:val="0055185C"/>
    <w:rsid w:val="00552258"/>
    <w:rsid w:val="00554D2D"/>
    <w:rsid w:val="00557349"/>
    <w:rsid w:val="0056027E"/>
    <w:rsid w:val="00561CFE"/>
    <w:rsid w:val="0056318F"/>
    <w:rsid w:val="005631A2"/>
    <w:rsid w:val="005717A9"/>
    <w:rsid w:val="005754E5"/>
    <w:rsid w:val="0057635C"/>
    <w:rsid w:val="005765F4"/>
    <w:rsid w:val="00576FDA"/>
    <w:rsid w:val="00577CFA"/>
    <w:rsid w:val="00580AAB"/>
    <w:rsid w:val="00582519"/>
    <w:rsid w:val="0058392A"/>
    <w:rsid w:val="005846B3"/>
    <w:rsid w:val="00584AD8"/>
    <w:rsid w:val="00585333"/>
    <w:rsid w:val="005858C9"/>
    <w:rsid w:val="005861C1"/>
    <w:rsid w:val="00586B68"/>
    <w:rsid w:val="00592AA8"/>
    <w:rsid w:val="00594B61"/>
    <w:rsid w:val="005A0030"/>
    <w:rsid w:val="005A3115"/>
    <w:rsid w:val="005A32F1"/>
    <w:rsid w:val="005A77B9"/>
    <w:rsid w:val="005B1986"/>
    <w:rsid w:val="005B3800"/>
    <w:rsid w:val="005B4500"/>
    <w:rsid w:val="005B52E9"/>
    <w:rsid w:val="005B644A"/>
    <w:rsid w:val="005B6CAC"/>
    <w:rsid w:val="005C6622"/>
    <w:rsid w:val="005C7449"/>
    <w:rsid w:val="005D00FA"/>
    <w:rsid w:val="005D01B2"/>
    <w:rsid w:val="005D1F38"/>
    <w:rsid w:val="005D2DD4"/>
    <w:rsid w:val="005D7945"/>
    <w:rsid w:val="005E0954"/>
    <w:rsid w:val="005E4038"/>
    <w:rsid w:val="005E621C"/>
    <w:rsid w:val="005E7214"/>
    <w:rsid w:val="005F4492"/>
    <w:rsid w:val="005F4FD2"/>
    <w:rsid w:val="005F7824"/>
    <w:rsid w:val="005F7B9D"/>
    <w:rsid w:val="006012B4"/>
    <w:rsid w:val="00601A4B"/>
    <w:rsid w:val="00603B9E"/>
    <w:rsid w:val="0061001C"/>
    <w:rsid w:val="006115FF"/>
    <w:rsid w:val="00613635"/>
    <w:rsid w:val="006143E5"/>
    <w:rsid w:val="0061463A"/>
    <w:rsid w:val="00615BD1"/>
    <w:rsid w:val="00616A45"/>
    <w:rsid w:val="006220DB"/>
    <w:rsid w:val="0062240A"/>
    <w:rsid w:val="00622998"/>
    <w:rsid w:val="0062370B"/>
    <w:rsid w:val="00625A17"/>
    <w:rsid w:val="00625BAB"/>
    <w:rsid w:val="00627A13"/>
    <w:rsid w:val="00630B33"/>
    <w:rsid w:val="0063245A"/>
    <w:rsid w:val="00634CB2"/>
    <w:rsid w:val="006371CC"/>
    <w:rsid w:val="00637836"/>
    <w:rsid w:val="00640989"/>
    <w:rsid w:val="00641AB0"/>
    <w:rsid w:val="00644D86"/>
    <w:rsid w:val="006458C0"/>
    <w:rsid w:val="00653CF6"/>
    <w:rsid w:val="0065672B"/>
    <w:rsid w:val="00665E7C"/>
    <w:rsid w:val="0066676A"/>
    <w:rsid w:val="00666CDB"/>
    <w:rsid w:val="00666FAA"/>
    <w:rsid w:val="00667198"/>
    <w:rsid w:val="00671FA6"/>
    <w:rsid w:val="00673E1B"/>
    <w:rsid w:val="00675405"/>
    <w:rsid w:val="006817DE"/>
    <w:rsid w:val="006833B2"/>
    <w:rsid w:val="0068376B"/>
    <w:rsid w:val="006837D3"/>
    <w:rsid w:val="00684328"/>
    <w:rsid w:val="0068660E"/>
    <w:rsid w:val="00687C3C"/>
    <w:rsid w:val="00691020"/>
    <w:rsid w:val="00691037"/>
    <w:rsid w:val="00692B49"/>
    <w:rsid w:val="00694827"/>
    <w:rsid w:val="00695C9D"/>
    <w:rsid w:val="00696EAC"/>
    <w:rsid w:val="00697108"/>
    <w:rsid w:val="006A1859"/>
    <w:rsid w:val="006A1C0A"/>
    <w:rsid w:val="006A2387"/>
    <w:rsid w:val="006A5F51"/>
    <w:rsid w:val="006A7EB0"/>
    <w:rsid w:val="006B0EA7"/>
    <w:rsid w:val="006B15DB"/>
    <w:rsid w:val="006B46E6"/>
    <w:rsid w:val="006C0AF3"/>
    <w:rsid w:val="006C40C1"/>
    <w:rsid w:val="006C5602"/>
    <w:rsid w:val="006D0A54"/>
    <w:rsid w:val="006D24D9"/>
    <w:rsid w:val="006D2CAC"/>
    <w:rsid w:val="006D38CC"/>
    <w:rsid w:val="006D510C"/>
    <w:rsid w:val="006D7915"/>
    <w:rsid w:val="006E0123"/>
    <w:rsid w:val="006E0E54"/>
    <w:rsid w:val="006E0FA6"/>
    <w:rsid w:val="006E3EA7"/>
    <w:rsid w:val="006E4E62"/>
    <w:rsid w:val="006E59DC"/>
    <w:rsid w:val="006E5C2C"/>
    <w:rsid w:val="006E76AE"/>
    <w:rsid w:val="006F041E"/>
    <w:rsid w:val="006F0ECC"/>
    <w:rsid w:val="006F14DD"/>
    <w:rsid w:val="006F1B44"/>
    <w:rsid w:val="006F5BD7"/>
    <w:rsid w:val="006F6137"/>
    <w:rsid w:val="006F62EB"/>
    <w:rsid w:val="006F65C8"/>
    <w:rsid w:val="006F77F7"/>
    <w:rsid w:val="00700198"/>
    <w:rsid w:val="00700904"/>
    <w:rsid w:val="00704A1F"/>
    <w:rsid w:val="00706FEB"/>
    <w:rsid w:val="0071102B"/>
    <w:rsid w:val="0071354A"/>
    <w:rsid w:val="00713684"/>
    <w:rsid w:val="007140FA"/>
    <w:rsid w:val="00715F67"/>
    <w:rsid w:val="007160D1"/>
    <w:rsid w:val="00721368"/>
    <w:rsid w:val="0072153D"/>
    <w:rsid w:val="00721BB2"/>
    <w:rsid w:val="00723227"/>
    <w:rsid w:val="00723DE2"/>
    <w:rsid w:val="0073012E"/>
    <w:rsid w:val="00733739"/>
    <w:rsid w:val="00740FF6"/>
    <w:rsid w:val="007456C5"/>
    <w:rsid w:val="00755951"/>
    <w:rsid w:val="007573AC"/>
    <w:rsid w:val="007610A9"/>
    <w:rsid w:val="00761EDA"/>
    <w:rsid w:val="00762505"/>
    <w:rsid w:val="00762F00"/>
    <w:rsid w:val="00763B54"/>
    <w:rsid w:val="0076461E"/>
    <w:rsid w:val="007652A4"/>
    <w:rsid w:val="0076553E"/>
    <w:rsid w:val="00767661"/>
    <w:rsid w:val="00767EC1"/>
    <w:rsid w:val="00771BC5"/>
    <w:rsid w:val="00772076"/>
    <w:rsid w:val="00772100"/>
    <w:rsid w:val="00773612"/>
    <w:rsid w:val="007740F6"/>
    <w:rsid w:val="00774637"/>
    <w:rsid w:val="00774928"/>
    <w:rsid w:val="00775CCC"/>
    <w:rsid w:val="00781280"/>
    <w:rsid w:val="007845C5"/>
    <w:rsid w:val="00785F30"/>
    <w:rsid w:val="007905AD"/>
    <w:rsid w:val="007907A6"/>
    <w:rsid w:val="00792307"/>
    <w:rsid w:val="00795953"/>
    <w:rsid w:val="00796342"/>
    <w:rsid w:val="0079736D"/>
    <w:rsid w:val="00797DB0"/>
    <w:rsid w:val="007A06DA"/>
    <w:rsid w:val="007A3344"/>
    <w:rsid w:val="007A49B8"/>
    <w:rsid w:val="007A5838"/>
    <w:rsid w:val="007A75F9"/>
    <w:rsid w:val="007B6D6F"/>
    <w:rsid w:val="007C1748"/>
    <w:rsid w:val="007C3BF1"/>
    <w:rsid w:val="007C6A07"/>
    <w:rsid w:val="007C6D73"/>
    <w:rsid w:val="007D1829"/>
    <w:rsid w:val="007D1DB8"/>
    <w:rsid w:val="007D2275"/>
    <w:rsid w:val="007D2DC7"/>
    <w:rsid w:val="007D7E99"/>
    <w:rsid w:val="007E08CE"/>
    <w:rsid w:val="007E2C76"/>
    <w:rsid w:val="007E57C6"/>
    <w:rsid w:val="007E5B67"/>
    <w:rsid w:val="007E788E"/>
    <w:rsid w:val="007E7CC7"/>
    <w:rsid w:val="007F016E"/>
    <w:rsid w:val="007F112B"/>
    <w:rsid w:val="007F287A"/>
    <w:rsid w:val="00802B18"/>
    <w:rsid w:val="00803B66"/>
    <w:rsid w:val="00804563"/>
    <w:rsid w:val="00804C80"/>
    <w:rsid w:val="008115EF"/>
    <w:rsid w:val="00812C01"/>
    <w:rsid w:val="0081785A"/>
    <w:rsid w:val="008201BF"/>
    <w:rsid w:val="00822070"/>
    <w:rsid w:val="008231C8"/>
    <w:rsid w:val="00824015"/>
    <w:rsid w:val="00825628"/>
    <w:rsid w:val="00831484"/>
    <w:rsid w:val="00832323"/>
    <w:rsid w:val="00832DD9"/>
    <w:rsid w:val="00844DBB"/>
    <w:rsid w:val="00845D1C"/>
    <w:rsid w:val="0084689C"/>
    <w:rsid w:val="00846956"/>
    <w:rsid w:val="00847E89"/>
    <w:rsid w:val="008531C9"/>
    <w:rsid w:val="00853361"/>
    <w:rsid w:val="008564E7"/>
    <w:rsid w:val="00857AAB"/>
    <w:rsid w:val="008602E3"/>
    <w:rsid w:val="00861E10"/>
    <w:rsid w:val="00863B54"/>
    <w:rsid w:val="00865672"/>
    <w:rsid w:val="008667F6"/>
    <w:rsid w:val="008673D9"/>
    <w:rsid w:val="008718DB"/>
    <w:rsid w:val="008725A3"/>
    <w:rsid w:val="0087783E"/>
    <w:rsid w:val="00881BD1"/>
    <w:rsid w:val="008832C3"/>
    <w:rsid w:val="00884A05"/>
    <w:rsid w:val="0088513B"/>
    <w:rsid w:val="00887079"/>
    <w:rsid w:val="008915E6"/>
    <w:rsid w:val="0089230E"/>
    <w:rsid w:val="00892367"/>
    <w:rsid w:val="008934C3"/>
    <w:rsid w:val="00894854"/>
    <w:rsid w:val="00895CAE"/>
    <w:rsid w:val="00896DFD"/>
    <w:rsid w:val="00896FF4"/>
    <w:rsid w:val="00897406"/>
    <w:rsid w:val="008A07E4"/>
    <w:rsid w:val="008A0952"/>
    <w:rsid w:val="008A0EEC"/>
    <w:rsid w:val="008A1B4F"/>
    <w:rsid w:val="008A264C"/>
    <w:rsid w:val="008A2B77"/>
    <w:rsid w:val="008A3F3F"/>
    <w:rsid w:val="008A6A26"/>
    <w:rsid w:val="008B14A6"/>
    <w:rsid w:val="008B276E"/>
    <w:rsid w:val="008B3D1B"/>
    <w:rsid w:val="008B5B34"/>
    <w:rsid w:val="008B5BC0"/>
    <w:rsid w:val="008B61CD"/>
    <w:rsid w:val="008B72A7"/>
    <w:rsid w:val="008C0690"/>
    <w:rsid w:val="008C1202"/>
    <w:rsid w:val="008C2ECF"/>
    <w:rsid w:val="008C38CF"/>
    <w:rsid w:val="008C6BCC"/>
    <w:rsid w:val="008C7D17"/>
    <w:rsid w:val="008D024C"/>
    <w:rsid w:val="008D2A35"/>
    <w:rsid w:val="008D3C2B"/>
    <w:rsid w:val="008D61B3"/>
    <w:rsid w:val="008E02FA"/>
    <w:rsid w:val="008E0534"/>
    <w:rsid w:val="008E2DA6"/>
    <w:rsid w:val="008E4C42"/>
    <w:rsid w:val="008E63E5"/>
    <w:rsid w:val="008E7859"/>
    <w:rsid w:val="008F0704"/>
    <w:rsid w:val="008F35FA"/>
    <w:rsid w:val="008F59B1"/>
    <w:rsid w:val="008F721E"/>
    <w:rsid w:val="00900432"/>
    <w:rsid w:val="00901B5C"/>
    <w:rsid w:val="009035AC"/>
    <w:rsid w:val="00906977"/>
    <w:rsid w:val="00906B4B"/>
    <w:rsid w:val="00910FEA"/>
    <w:rsid w:val="00912AE6"/>
    <w:rsid w:val="00914E00"/>
    <w:rsid w:val="00916D05"/>
    <w:rsid w:val="00920725"/>
    <w:rsid w:val="00921EE9"/>
    <w:rsid w:val="00922924"/>
    <w:rsid w:val="0092618B"/>
    <w:rsid w:val="00927777"/>
    <w:rsid w:val="00927BF6"/>
    <w:rsid w:val="009301FE"/>
    <w:rsid w:val="00931C63"/>
    <w:rsid w:val="00940F10"/>
    <w:rsid w:val="0094147F"/>
    <w:rsid w:val="0094156F"/>
    <w:rsid w:val="00942A87"/>
    <w:rsid w:val="009444E5"/>
    <w:rsid w:val="00944B46"/>
    <w:rsid w:val="00946005"/>
    <w:rsid w:val="00951915"/>
    <w:rsid w:val="00952CDD"/>
    <w:rsid w:val="009537B3"/>
    <w:rsid w:val="00954B17"/>
    <w:rsid w:val="0095648E"/>
    <w:rsid w:val="009642CA"/>
    <w:rsid w:val="00965CB0"/>
    <w:rsid w:val="00965CCF"/>
    <w:rsid w:val="00967EEC"/>
    <w:rsid w:val="00970036"/>
    <w:rsid w:val="0097076F"/>
    <w:rsid w:val="009714DD"/>
    <w:rsid w:val="0097154B"/>
    <w:rsid w:val="00973D56"/>
    <w:rsid w:val="00975A38"/>
    <w:rsid w:val="00975C3A"/>
    <w:rsid w:val="0097725F"/>
    <w:rsid w:val="00984E4E"/>
    <w:rsid w:val="0099787D"/>
    <w:rsid w:val="009A203D"/>
    <w:rsid w:val="009A3BE8"/>
    <w:rsid w:val="009B0514"/>
    <w:rsid w:val="009B0D31"/>
    <w:rsid w:val="009B64EE"/>
    <w:rsid w:val="009B7034"/>
    <w:rsid w:val="009B7590"/>
    <w:rsid w:val="009C02DA"/>
    <w:rsid w:val="009C1DF6"/>
    <w:rsid w:val="009C57E0"/>
    <w:rsid w:val="009C63A3"/>
    <w:rsid w:val="009C7D18"/>
    <w:rsid w:val="009D18C5"/>
    <w:rsid w:val="009D5BB9"/>
    <w:rsid w:val="009D75A2"/>
    <w:rsid w:val="009E1242"/>
    <w:rsid w:val="009E1A53"/>
    <w:rsid w:val="009E20A6"/>
    <w:rsid w:val="009E21E6"/>
    <w:rsid w:val="009E6781"/>
    <w:rsid w:val="009E69E1"/>
    <w:rsid w:val="009E77E0"/>
    <w:rsid w:val="009F2ABB"/>
    <w:rsid w:val="009F63BF"/>
    <w:rsid w:val="009F6BDE"/>
    <w:rsid w:val="00A0033A"/>
    <w:rsid w:val="00A01FD5"/>
    <w:rsid w:val="00A03269"/>
    <w:rsid w:val="00A03438"/>
    <w:rsid w:val="00A03C1B"/>
    <w:rsid w:val="00A04534"/>
    <w:rsid w:val="00A05D7F"/>
    <w:rsid w:val="00A06512"/>
    <w:rsid w:val="00A07142"/>
    <w:rsid w:val="00A114BF"/>
    <w:rsid w:val="00A12AE4"/>
    <w:rsid w:val="00A132E8"/>
    <w:rsid w:val="00A154CD"/>
    <w:rsid w:val="00A20597"/>
    <w:rsid w:val="00A2161E"/>
    <w:rsid w:val="00A23589"/>
    <w:rsid w:val="00A2690D"/>
    <w:rsid w:val="00A26E7B"/>
    <w:rsid w:val="00A313F3"/>
    <w:rsid w:val="00A341DC"/>
    <w:rsid w:val="00A34EFA"/>
    <w:rsid w:val="00A4124B"/>
    <w:rsid w:val="00A41806"/>
    <w:rsid w:val="00A461BD"/>
    <w:rsid w:val="00A5438B"/>
    <w:rsid w:val="00A54F49"/>
    <w:rsid w:val="00A5620A"/>
    <w:rsid w:val="00A56C80"/>
    <w:rsid w:val="00A62AF8"/>
    <w:rsid w:val="00A71036"/>
    <w:rsid w:val="00A73731"/>
    <w:rsid w:val="00A7758A"/>
    <w:rsid w:val="00A84993"/>
    <w:rsid w:val="00A84BBE"/>
    <w:rsid w:val="00A85DB1"/>
    <w:rsid w:val="00A941D6"/>
    <w:rsid w:val="00A94DA2"/>
    <w:rsid w:val="00A9699E"/>
    <w:rsid w:val="00AA241F"/>
    <w:rsid w:val="00AA445F"/>
    <w:rsid w:val="00AA4EC9"/>
    <w:rsid w:val="00AA67CA"/>
    <w:rsid w:val="00AA6A32"/>
    <w:rsid w:val="00AB081A"/>
    <w:rsid w:val="00AB14C2"/>
    <w:rsid w:val="00AB3DE3"/>
    <w:rsid w:val="00AC279D"/>
    <w:rsid w:val="00AC650B"/>
    <w:rsid w:val="00AC7B55"/>
    <w:rsid w:val="00AD1BFE"/>
    <w:rsid w:val="00AD2639"/>
    <w:rsid w:val="00AD523B"/>
    <w:rsid w:val="00AD553B"/>
    <w:rsid w:val="00AD6DF7"/>
    <w:rsid w:val="00AD7FD3"/>
    <w:rsid w:val="00AE17E6"/>
    <w:rsid w:val="00AE182F"/>
    <w:rsid w:val="00AE1E0C"/>
    <w:rsid w:val="00AE5021"/>
    <w:rsid w:val="00AE615C"/>
    <w:rsid w:val="00AE7AF2"/>
    <w:rsid w:val="00AF25C9"/>
    <w:rsid w:val="00AF2A70"/>
    <w:rsid w:val="00AF31FD"/>
    <w:rsid w:val="00AF3469"/>
    <w:rsid w:val="00AF5A0B"/>
    <w:rsid w:val="00B009AD"/>
    <w:rsid w:val="00B00A63"/>
    <w:rsid w:val="00B04054"/>
    <w:rsid w:val="00B04991"/>
    <w:rsid w:val="00B052BA"/>
    <w:rsid w:val="00B05773"/>
    <w:rsid w:val="00B0771F"/>
    <w:rsid w:val="00B100BA"/>
    <w:rsid w:val="00B103D4"/>
    <w:rsid w:val="00B131F5"/>
    <w:rsid w:val="00B13A8C"/>
    <w:rsid w:val="00B17E38"/>
    <w:rsid w:val="00B20053"/>
    <w:rsid w:val="00B22346"/>
    <w:rsid w:val="00B23450"/>
    <w:rsid w:val="00B23631"/>
    <w:rsid w:val="00B23F0E"/>
    <w:rsid w:val="00B25340"/>
    <w:rsid w:val="00B259F6"/>
    <w:rsid w:val="00B25B6A"/>
    <w:rsid w:val="00B27807"/>
    <w:rsid w:val="00B33E51"/>
    <w:rsid w:val="00B369B1"/>
    <w:rsid w:val="00B400FC"/>
    <w:rsid w:val="00B404A0"/>
    <w:rsid w:val="00B42BB8"/>
    <w:rsid w:val="00B43A7E"/>
    <w:rsid w:val="00B44418"/>
    <w:rsid w:val="00B45308"/>
    <w:rsid w:val="00B47D7B"/>
    <w:rsid w:val="00B50C30"/>
    <w:rsid w:val="00B528DE"/>
    <w:rsid w:val="00B55688"/>
    <w:rsid w:val="00B56F62"/>
    <w:rsid w:val="00B61D75"/>
    <w:rsid w:val="00B6238A"/>
    <w:rsid w:val="00B62D03"/>
    <w:rsid w:val="00B63528"/>
    <w:rsid w:val="00B6476D"/>
    <w:rsid w:val="00B65A91"/>
    <w:rsid w:val="00B706ED"/>
    <w:rsid w:val="00B72B23"/>
    <w:rsid w:val="00B770AF"/>
    <w:rsid w:val="00B77C52"/>
    <w:rsid w:val="00B80004"/>
    <w:rsid w:val="00B85AD7"/>
    <w:rsid w:val="00B90247"/>
    <w:rsid w:val="00B90248"/>
    <w:rsid w:val="00B920B1"/>
    <w:rsid w:val="00B94015"/>
    <w:rsid w:val="00B95FBB"/>
    <w:rsid w:val="00BA1D31"/>
    <w:rsid w:val="00BA3C63"/>
    <w:rsid w:val="00BA586E"/>
    <w:rsid w:val="00BA6A51"/>
    <w:rsid w:val="00BA702D"/>
    <w:rsid w:val="00BB0CD7"/>
    <w:rsid w:val="00BB2C2B"/>
    <w:rsid w:val="00BB2D69"/>
    <w:rsid w:val="00BB36E6"/>
    <w:rsid w:val="00BB424F"/>
    <w:rsid w:val="00BB4366"/>
    <w:rsid w:val="00BB62CB"/>
    <w:rsid w:val="00BB6560"/>
    <w:rsid w:val="00BB7AB7"/>
    <w:rsid w:val="00BB7F99"/>
    <w:rsid w:val="00BC0055"/>
    <w:rsid w:val="00BC5875"/>
    <w:rsid w:val="00BD0762"/>
    <w:rsid w:val="00BD1B2F"/>
    <w:rsid w:val="00BD42E0"/>
    <w:rsid w:val="00BD4896"/>
    <w:rsid w:val="00BD4EB0"/>
    <w:rsid w:val="00BE13C3"/>
    <w:rsid w:val="00BE1CAA"/>
    <w:rsid w:val="00BE2870"/>
    <w:rsid w:val="00BE2D96"/>
    <w:rsid w:val="00BE3E47"/>
    <w:rsid w:val="00BF227A"/>
    <w:rsid w:val="00BF52D2"/>
    <w:rsid w:val="00BF73C4"/>
    <w:rsid w:val="00C00382"/>
    <w:rsid w:val="00C03D14"/>
    <w:rsid w:val="00C048CD"/>
    <w:rsid w:val="00C051C0"/>
    <w:rsid w:val="00C05257"/>
    <w:rsid w:val="00C0719B"/>
    <w:rsid w:val="00C0724F"/>
    <w:rsid w:val="00C07329"/>
    <w:rsid w:val="00C1577A"/>
    <w:rsid w:val="00C15CEF"/>
    <w:rsid w:val="00C2063B"/>
    <w:rsid w:val="00C20E7E"/>
    <w:rsid w:val="00C2190A"/>
    <w:rsid w:val="00C234B4"/>
    <w:rsid w:val="00C2509D"/>
    <w:rsid w:val="00C266CE"/>
    <w:rsid w:val="00C27355"/>
    <w:rsid w:val="00C2782E"/>
    <w:rsid w:val="00C27F03"/>
    <w:rsid w:val="00C33825"/>
    <w:rsid w:val="00C351C3"/>
    <w:rsid w:val="00C36406"/>
    <w:rsid w:val="00C405C5"/>
    <w:rsid w:val="00C43186"/>
    <w:rsid w:val="00C43BE3"/>
    <w:rsid w:val="00C47099"/>
    <w:rsid w:val="00C473EF"/>
    <w:rsid w:val="00C47950"/>
    <w:rsid w:val="00C521EA"/>
    <w:rsid w:val="00C560DE"/>
    <w:rsid w:val="00C560F8"/>
    <w:rsid w:val="00C564EF"/>
    <w:rsid w:val="00C635D9"/>
    <w:rsid w:val="00C7078F"/>
    <w:rsid w:val="00C740DA"/>
    <w:rsid w:val="00C81661"/>
    <w:rsid w:val="00C81745"/>
    <w:rsid w:val="00C82513"/>
    <w:rsid w:val="00C84C8A"/>
    <w:rsid w:val="00C86A7A"/>
    <w:rsid w:val="00C87219"/>
    <w:rsid w:val="00C874FA"/>
    <w:rsid w:val="00C93990"/>
    <w:rsid w:val="00C93E12"/>
    <w:rsid w:val="00C93F43"/>
    <w:rsid w:val="00C9467B"/>
    <w:rsid w:val="00C952AC"/>
    <w:rsid w:val="00C9622D"/>
    <w:rsid w:val="00C9712E"/>
    <w:rsid w:val="00CA118B"/>
    <w:rsid w:val="00CA212A"/>
    <w:rsid w:val="00CA6693"/>
    <w:rsid w:val="00CB0EAD"/>
    <w:rsid w:val="00CB260E"/>
    <w:rsid w:val="00CB3161"/>
    <w:rsid w:val="00CB592F"/>
    <w:rsid w:val="00CB7A86"/>
    <w:rsid w:val="00CD090E"/>
    <w:rsid w:val="00CD0EE6"/>
    <w:rsid w:val="00CD2454"/>
    <w:rsid w:val="00CE1C7D"/>
    <w:rsid w:val="00CE3CB5"/>
    <w:rsid w:val="00CE5BCC"/>
    <w:rsid w:val="00CE60CD"/>
    <w:rsid w:val="00CE7328"/>
    <w:rsid w:val="00CF044A"/>
    <w:rsid w:val="00CF0DEA"/>
    <w:rsid w:val="00CF3704"/>
    <w:rsid w:val="00CF4CBE"/>
    <w:rsid w:val="00CF6DFB"/>
    <w:rsid w:val="00CF761E"/>
    <w:rsid w:val="00D00672"/>
    <w:rsid w:val="00D02460"/>
    <w:rsid w:val="00D059ED"/>
    <w:rsid w:val="00D060BE"/>
    <w:rsid w:val="00D12BD6"/>
    <w:rsid w:val="00D1312A"/>
    <w:rsid w:val="00D13640"/>
    <w:rsid w:val="00D21305"/>
    <w:rsid w:val="00D2143D"/>
    <w:rsid w:val="00D21F6C"/>
    <w:rsid w:val="00D2250E"/>
    <w:rsid w:val="00D23B75"/>
    <w:rsid w:val="00D245EA"/>
    <w:rsid w:val="00D248D7"/>
    <w:rsid w:val="00D25696"/>
    <w:rsid w:val="00D26E3F"/>
    <w:rsid w:val="00D27714"/>
    <w:rsid w:val="00D32962"/>
    <w:rsid w:val="00D33A25"/>
    <w:rsid w:val="00D36522"/>
    <w:rsid w:val="00D3667F"/>
    <w:rsid w:val="00D374C4"/>
    <w:rsid w:val="00D4223E"/>
    <w:rsid w:val="00D46728"/>
    <w:rsid w:val="00D47298"/>
    <w:rsid w:val="00D50EA1"/>
    <w:rsid w:val="00D53564"/>
    <w:rsid w:val="00D553A4"/>
    <w:rsid w:val="00D554EF"/>
    <w:rsid w:val="00D56CD0"/>
    <w:rsid w:val="00D61AA7"/>
    <w:rsid w:val="00D6363F"/>
    <w:rsid w:val="00D64197"/>
    <w:rsid w:val="00D64BEF"/>
    <w:rsid w:val="00D65636"/>
    <w:rsid w:val="00D709AD"/>
    <w:rsid w:val="00D70CE5"/>
    <w:rsid w:val="00D72A36"/>
    <w:rsid w:val="00D7340D"/>
    <w:rsid w:val="00D73612"/>
    <w:rsid w:val="00D741B7"/>
    <w:rsid w:val="00D77170"/>
    <w:rsid w:val="00D819F6"/>
    <w:rsid w:val="00D84C2F"/>
    <w:rsid w:val="00D856CF"/>
    <w:rsid w:val="00D85E94"/>
    <w:rsid w:val="00D9023E"/>
    <w:rsid w:val="00D91B97"/>
    <w:rsid w:val="00D94111"/>
    <w:rsid w:val="00D95939"/>
    <w:rsid w:val="00D96D8F"/>
    <w:rsid w:val="00D97B59"/>
    <w:rsid w:val="00DA1EBE"/>
    <w:rsid w:val="00DA272A"/>
    <w:rsid w:val="00DA4223"/>
    <w:rsid w:val="00DB067A"/>
    <w:rsid w:val="00DB1112"/>
    <w:rsid w:val="00DB1AC5"/>
    <w:rsid w:val="00DB3E85"/>
    <w:rsid w:val="00DB6990"/>
    <w:rsid w:val="00DC2ECF"/>
    <w:rsid w:val="00DC33D3"/>
    <w:rsid w:val="00DC4DC2"/>
    <w:rsid w:val="00DD1368"/>
    <w:rsid w:val="00DD1B4F"/>
    <w:rsid w:val="00DD1FFB"/>
    <w:rsid w:val="00DD611A"/>
    <w:rsid w:val="00DE02C3"/>
    <w:rsid w:val="00DE3C94"/>
    <w:rsid w:val="00DE4BE9"/>
    <w:rsid w:val="00DE519C"/>
    <w:rsid w:val="00DE562F"/>
    <w:rsid w:val="00DF1DB7"/>
    <w:rsid w:val="00DF3C41"/>
    <w:rsid w:val="00DF46AA"/>
    <w:rsid w:val="00DF55F0"/>
    <w:rsid w:val="00DF5AF3"/>
    <w:rsid w:val="00E06DEA"/>
    <w:rsid w:val="00E07642"/>
    <w:rsid w:val="00E117C1"/>
    <w:rsid w:val="00E118C9"/>
    <w:rsid w:val="00E13470"/>
    <w:rsid w:val="00E1445A"/>
    <w:rsid w:val="00E1629E"/>
    <w:rsid w:val="00E16572"/>
    <w:rsid w:val="00E17197"/>
    <w:rsid w:val="00E17ECE"/>
    <w:rsid w:val="00E215F5"/>
    <w:rsid w:val="00E22A93"/>
    <w:rsid w:val="00E22C09"/>
    <w:rsid w:val="00E2444C"/>
    <w:rsid w:val="00E24B08"/>
    <w:rsid w:val="00E26798"/>
    <w:rsid w:val="00E27C23"/>
    <w:rsid w:val="00E27FF9"/>
    <w:rsid w:val="00E3086D"/>
    <w:rsid w:val="00E30E49"/>
    <w:rsid w:val="00E32215"/>
    <w:rsid w:val="00E35E1A"/>
    <w:rsid w:val="00E44B3F"/>
    <w:rsid w:val="00E458DB"/>
    <w:rsid w:val="00E50958"/>
    <w:rsid w:val="00E5337A"/>
    <w:rsid w:val="00E555FA"/>
    <w:rsid w:val="00E55E5B"/>
    <w:rsid w:val="00E56810"/>
    <w:rsid w:val="00E571F7"/>
    <w:rsid w:val="00E573A7"/>
    <w:rsid w:val="00E57B95"/>
    <w:rsid w:val="00E601D5"/>
    <w:rsid w:val="00E60354"/>
    <w:rsid w:val="00E61F4B"/>
    <w:rsid w:val="00E64C62"/>
    <w:rsid w:val="00E668D1"/>
    <w:rsid w:val="00E6719F"/>
    <w:rsid w:val="00E67602"/>
    <w:rsid w:val="00E67DDE"/>
    <w:rsid w:val="00E7072C"/>
    <w:rsid w:val="00E75773"/>
    <w:rsid w:val="00E77489"/>
    <w:rsid w:val="00E81818"/>
    <w:rsid w:val="00E81A9C"/>
    <w:rsid w:val="00E85A65"/>
    <w:rsid w:val="00E85C1A"/>
    <w:rsid w:val="00E9004A"/>
    <w:rsid w:val="00E904D0"/>
    <w:rsid w:val="00E91994"/>
    <w:rsid w:val="00E939D5"/>
    <w:rsid w:val="00E94173"/>
    <w:rsid w:val="00E9419C"/>
    <w:rsid w:val="00E94565"/>
    <w:rsid w:val="00E9769B"/>
    <w:rsid w:val="00E97801"/>
    <w:rsid w:val="00EA3FCC"/>
    <w:rsid w:val="00EA508E"/>
    <w:rsid w:val="00EA600F"/>
    <w:rsid w:val="00EA6D20"/>
    <w:rsid w:val="00EA77BE"/>
    <w:rsid w:val="00EB0034"/>
    <w:rsid w:val="00EB181C"/>
    <w:rsid w:val="00EB27B5"/>
    <w:rsid w:val="00EB286C"/>
    <w:rsid w:val="00EB733B"/>
    <w:rsid w:val="00EB7707"/>
    <w:rsid w:val="00EB7948"/>
    <w:rsid w:val="00EC270F"/>
    <w:rsid w:val="00EC2794"/>
    <w:rsid w:val="00EC41D9"/>
    <w:rsid w:val="00EC520D"/>
    <w:rsid w:val="00EC5F3C"/>
    <w:rsid w:val="00EC60AF"/>
    <w:rsid w:val="00ED0882"/>
    <w:rsid w:val="00ED17A4"/>
    <w:rsid w:val="00ED1F02"/>
    <w:rsid w:val="00ED2A84"/>
    <w:rsid w:val="00ED3C9F"/>
    <w:rsid w:val="00ED4E88"/>
    <w:rsid w:val="00ED5B52"/>
    <w:rsid w:val="00ED7836"/>
    <w:rsid w:val="00EE0D9B"/>
    <w:rsid w:val="00EE16C7"/>
    <w:rsid w:val="00EE253C"/>
    <w:rsid w:val="00EE3D94"/>
    <w:rsid w:val="00EE42CB"/>
    <w:rsid w:val="00EE687F"/>
    <w:rsid w:val="00EF2050"/>
    <w:rsid w:val="00EF4E73"/>
    <w:rsid w:val="00EF57C8"/>
    <w:rsid w:val="00EF623E"/>
    <w:rsid w:val="00EF7E53"/>
    <w:rsid w:val="00F00448"/>
    <w:rsid w:val="00F013A6"/>
    <w:rsid w:val="00F02A47"/>
    <w:rsid w:val="00F03E3C"/>
    <w:rsid w:val="00F0546B"/>
    <w:rsid w:val="00F05C71"/>
    <w:rsid w:val="00F10B13"/>
    <w:rsid w:val="00F1302A"/>
    <w:rsid w:val="00F1372E"/>
    <w:rsid w:val="00F16227"/>
    <w:rsid w:val="00F247A5"/>
    <w:rsid w:val="00F251ED"/>
    <w:rsid w:val="00F255A0"/>
    <w:rsid w:val="00F304C5"/>
    <w:rsid w:val="00F31AEB"/>
    <w:rsid w:val="00F31BD1"/>
    <w:rsid w:val="00F32AFF"/>
    <w:rsid w:val="00F335B0"/>
    <w:rsid w:val="00F341D4"/>
    <w:rsid w:val="00F358D2"/>
    <w:rsid w:val="00F36F2B"/>
    <w:rsid w:val="00F3722D"/>
    <w:rsid w:val="00F37E37"/>
    <w:rsid w:val="00F404A8"/>
    <w:rsid w:val="00F41CF1"/>
    <w:rsid w:val="00F41F68"/>
    <w:rsid w:val="00F421C1"/>
    <w:rsid w:val="00F43657"/>
    <w:rsid w:val="00F5268C"/>
    <w:rsid w:val="00F53F74"/>
    <w:rsid w:val="00F54CF7"/>
    <w:rsid w:val="00F56CA0"/>
    <w:rsid w:val="00F5747F"/>
    <w:rsid w:val="00F57E7F"/>
    <w:rsid w:val="00F61C42"/>
    <w:rsid w:val="00F63D87"/>
    <w:rsid w:val="00F656FA"/>
    <w:rsid w:val="00F6586E"/>
    <w:rsid w:val="00F668BF"/>
    <w:rsid w:val="00F6734A"/>
    <w:rsid w:val="00F71052"/>
    <w:rsid w:val="00F7271D"/>
    <w:rsid w:val="00F7317E"/>
    <w:rsid w:val="00F7327A"/>
    <w:rsid w:val="00F7427D"/>
    <w:rsid w:val="00F759C0"/>
    <w:rsid w:val="00F83843"/>
    <w:rsid w:val="00F83AC1"/>
    <w:rsid w:val="00F84569"/>
    <w:rsid w:val="00F8524C"/>
    <w:rsid w:val="00F864D2"/>
    <w:rsid w:val="00F90A6F"/>
    <w:rsid w:val="00F91795"/>
    <w:rsid w:val="00F920D3"/>
    <w:rsid w:val="00FA0033"/>
    <w:rsid w:val="00FA1244"/>
    <w:rsid w:val="00FA16ED"/>
    <w:rsid w:val="00FA18A3"/>
    <w:rsid w:val="00FA392D"/>
    <w:rsid w:val="00FA3B50"/>
    <w:rsid w:val="00FA4DD1"/>
    <w:rsid w:val="00FA6DA1"/>
    <w:rsid w:val="00FA72AB"/>
    <w:rsid w:val="00FB03FF"/>
    <w:rsid w:val="00FB25A7"/>
    <w:rsid w:val="00FB2F51"/>
    <w:rsid w:val="00FB3A4A"/>
    <w:rsid w:val="00FC0642"/>
    <w:rsid w:val="00FC1188"/>
    <w:rsid w:val="00FC16B6"/>
    <w:rsid w:val="00FC29C3"/>
    <w:rsid w:val="00FC2D5A"/>
    <w:rsid w:val="00FC593E"/>
    <w:rsid w:val="00FC6228"/>
    <w:rsid w:val="00FD0306"/>
    <w:rsid w:val="00FD1BB3"/>
    <w:rsid w:val="00FD43CF"/>
    <w:rsid w:val="00FD47EB"/>
    <w:rsid w:val="00FD61FC"/>
    <w:rsid w:val="00FD62CA"/>
    <w:rsid w:val="00FD73E8"/>
    <w:rsid w:val="00FE21CD"/>
    <w:rsid w:val="00FE2C78"/>
    <w:rsid w:val="00FE6006"/>
    <w:rsid w:val="00FE7E02"/>
    <w:rsid w:val="00FF1D5D"/>
    <w:rsid w:val="00FF45E7"/>
    <w:rsid w:val="00FF62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FDDC66-EB4A-42F5-AE6A-4122960E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2">
    <w:name w:val="heading 2"/>
    <w:basedOn w:val="Normalny"/>
    <w:next w:val="Normalny"/>
    <w:qFormat/>
    <w:pPr>
      <w:keepNext/>
      <w:overflowPunct w:val="0"/>
      <w:autoSpaceDE w:val="0"/>
      <w:autoSpaceDN w:val="0"/>
      <w:adjustRightInd w:val="0"/>
      <w:spacing w:line="360" w:lineRule="auto"/>
      <w:jc w:val="center"/>
      <w:textAlignment w:val="baseline"/>
      <w:outlineLvl w:val="1"/>
    </w:pPr>
    <w:rPr>
      <w:b/>
      <w:szCs w:val="20"/>
    </w:rPr>
  </w:style>
  <w:style w:type="paragraph" w:styleId="Nagwek3">
    <w:name w:val="heading 3"/>
    <w:basedOn w:val="Normalny"/>
    <w:next w:val="Normalny"/>
    <w:link w:val="Nagwek3Znak"/>
    <w:qFormat/>
    <w:rsid w:val="0029156B"/>
    <w:pPr>
      <w:keepNext/>
      <w:spacing w:before="240" w:after="60" w:line="360" w:lineRule="auto"/>
      <w:ind w:firstLine="851"/>
      <w:jc w:val="both"/>
      <w:outlineLvl w:val="2"/>
    </w:pPr>
    <w:rPr>
      <w:rFonts w:ascii="Arial" w:eastAsia="Calibri" w:hAnsi="Arial" w:cs="Arial"/>
      <w:b/>
      <w:b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overflowPunct w:val="0"/>
      <w:autoSpaceDE w:val="0"/>
      <w:autoSpaceDN w:val="0"/>
      <w:adjustRightInd w:val="0"/>
      <w:jc w:val="both"/>
      <w:textAlignment w:val="baseline"/>
    </w:pPr>
    <w:rPr>
      <w:szCs w:val="20"/>
    </w:rPr>
  </w:style>
  <w:style w:type="paragraph" w:styleId="Legenda">
    <w:name w:val="caption"/>
    <w:basedOn w:val="Normalny"/>
    <w:next w:val="Normalny"/>
    <w:qFormat/>
    <w:pPr>
      <w:overflowPunct w:val="0"/>
      <w:autoSpaceDE w:val="0"/>
      <w:autoSpaceDN w:val="0"/>
      <w:adjustRightInd w:val="0"/>
      <w:ind w:right="4252"/>
      <w:jc w:val="center"/>
      <w:textAlignment w:val="baseline"/>
    </w:pPr>
    <w:rPr>
      <w:rFonts w:ascii="Times New Roman PL" w:hAnsi="Times New Roman PL"/>
      <w:b/>
      <w:caps/>
      <w:szCs w:val="20"/>
    </w:rPr>
  </w:style>
  <w:style w:type="paragraph" w:customStyle="1" w:styleId="Tekstpodstawowy21">
    <w:name w:val="Tekst podstawowy 21"/>
    <w:basedOn w:val="Normalny"/>
    <w:pPr>
      <w:tabs>
        <w:tab w:val="left" w:pos="927"/>
      </w:tabs>
      <w:overflowPunct w:val="0"/>
      <w:autoSpaceDE w:val="0"/>
      <w:autoSpaceDN w:val="0"/>
      <w:adjustRightInd w:val="0"/>
      <w:spacing w:after="240"/>
      <w:jc w:val="both"/>
      <w:textAlignment w:val="baseline"/>
    </w:pPr>
    <w:rPr>
      <w:sz w:val="26"/>
      <w:szCs w:val="20"/>
    </w:rPr>
  </w:style>
  <w:style w:type="paragraph" w:customStyle="1" w:styleId="akapit">
    <w:name w:val="akapit"/>
    <w:basedOn w:val="Tekstpodstawowy21"/>
    <w:pPr>
      <w:tabs>
        <w:tab w:val="clear" w:pos="927"/>
      </w:tabs>
      <w:spacing w:after="120"/>
      <w:jc w:val="center"/>
      <w:textAlignment w:val="auto"/>
    </w:pPr>
    <w:rPr>
      <w:rFonts w:ascii="Arial" w:hAnsi="Arial"/>
      <w:b/>
      <w:sz w:val="22"/>
    </w:rPr>
  </w:style>
  <w:style w:type="paragraph" w:styleId="Tekstpodstawowy2">
    <w:name w:val="Body Text 2"/>
    <w:basedOn w:val="Normalny"/>
    <w:pPr>
      <w:tabs>
        <w:tab w:val="left" w:pos="720"/>
      </w:tabs>
      <w:spacing w:line="360" w:lineRule="auto"/>
      <w:jc w:val="both"/>
    </w:pPr>
    <w:rPr>
      <w:b/>
      <w:bCs/>
      <w:sz w:val="26"/>
    </w:rPr>
  </w:style>
  <w:style w:type="paragraph" w:styleId="Tekstpodstawowywcity">
    <w:name w:val="Body Text Indent"/>
    <w:basedOn w:val="Normalny"/>
    <w:pPr>
      <w:overflowPunct w:val="0"/>
      <w:autoSpaceDE w:val="0"/>
      <w:autoSpaceDN w:val="0"/>
      <w:adjustRightInd w:val="0"/>
      <w:spacing w:after="240" w:line="360" w:lineRule="atLeast"/>
      <w:ind w:left="600"/>
      <w:jc w:val="both"/>
    </w:pPr>
  </w:style>
  <w:style w:type="paragraph" w:styleId="Tekstpodstawowywcity2">
    <w:name w:val="Body Text Indent 2"/>
    <w:basedOn w:val="Normalny"/>
    <w:pPr>
      <w:tabs>
        <w:tab w:val="left" w:pos="720"/>
      </w:tabs>
      <w:spacing w:line="360" w:lineRule="auto"/>
      <w:ind w:left="426"/>
      <w:jc w:val="both"/>
    </w:pPr>
    <w:rPr>
      <w:i/>
      <w:iCs/>
      <w:sz w:val="20"/>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dymka">
    <w:name w:val="Balloon Text"/>
    <w:basedOn w:val="Normalny"/>
    <w:semiHidden/>
    <w:rPr>
      <w:rFonts w:ascii="Tahoma" w:hAnsi="Tahoma" w:cs="Tahoma"/>
      <w:sz w:val="16"/>
      <w:szCs w:val="16"/>
    </w:rPr>
  </w:style>
  <w:style w:type="paragraph" w:styleId="Mapadokumentu">
    <w:name w:val="Document Map"/>
    <w:basedOn w:val="Normalny"/>
    <w:semiHidden/>
    <w:pPr>
      <w:shd w:val="clear" w:color="auto" w:fill="000080"/>
    </w:pPr>
    <w:rPr>
      <w:rFonts w:ascii="Tahoma" w:hAnsi="Tahoma" w:cs="Tahoma"/>
      <w:sz w:val="20"/>
      <w:szCs w:val="20"/>
    </w:rPr>
  </w:style>
  <w:style w:type="paragraph" w:styleId="Stopka">
    <w:name w:val="footer"/>
    <w:basedOn w:val="Normalny"/>
    <w:link w:val="StopkaZnak"/>
    <w:uiPriority w:val="99"/>
    <w:pPr>
      <w:tabs>
        <w:tab w:val="center" w:pos="4536"/>
        <w:tab w:val="right" w:pos="9072"/>
      </w:tabs>
    </w:pPr>
  </w:style>
  <w:style w:type="character" w:styleId="Odwoaniedokomentarza">
    <w:name w:val="annotation reference"/>
    <w:semiHidden/>
    <w:rsid w:val="004E0B82"/>
    <w:rPr>
      <w:sz w:val="16"/>
      <w:szCs w:val="16"/>
    </w:rPr>
  </w:style>
  <w:style w:type="paragraph" w:styleId="Tekstkomentarza">
    <w:name w:val="annotation text"/>
    <w:basedOn w:val="Normalny"/>
    <w:semiHidden/>
    <w:rsid w:val="004E0B82"/>
    <w:rPr>
      <w:sz w:val="20"/>
      <w:szCs w:val="20"/>
    </w:rPr>
  </w:style>
  <w:style w:type="paragraph" w:styleId="Tematkomentarza">
    <w:name w:val="annotation subject"/>
    <w:basedOn w:val="Tekstkomentarza"/>
    <w:next w:val="Tekstkomentarza"/>
    <w:semiHidden/>
    <w:rsid w:val="004E0B82"/>
    <w:rPr>
      <w:b/>
      <w:bCs/>
    </w:rPr>
  </w:style>
  <w:style w:type="character" w:customStyle="1" w:styleId="Nagwek3Znak">
    <w:name w:val="Nagłówek 3 Znak"/>
    <w:link w:val="Nagwek3"/>
    <w:rsid w:val="0029156B"/>
    <w:rPr>
      <w:rFonts w:ascii="Arial" w:eastAsia="Calibri" w:hAnsi="Arial" w:cs="Arial"/>
      <w:b/>
      <w:bCs/>
      <w:sz w:val="26"/>
      <w:szCs w:val="26"/>
      <w:lang w:eastAsia="en-US"/>
    </w:rPr>
  </w:style>
  <w:style w:type="paragraph" w:customStyle="1" w:styleId="Tekstpodstawowy211">
    <w:name w:val="Tekst podstawowy 211"/>
    <w:basedOn w:val="Normalny"/>
    <w:rsid w:val="0029156B"/>
    <w:pPr>
      <w:tabs>
        <w:tab w:val="left" w:pos="927"/>
      </w:tabs>
      <w:overflowPunct w:val="0"/>
      <w:autoSpaceDE w:val="0"/>
      <w:autoSpaceDN w:val="0"/>
      <w:adjustRightInd w:val="0"/>
      <w:spacing w:after="240"/>
      <w:jc w:val="both"/>
      <w:textAlignment w:val="baseline"/>
    </w:pPr>
    <w:rPr>
      <w:sz w:val="26"/>
      <w:szCs w:val="20"/>
    </w:rPr>
  </w:style>
  <w:style w:type="paragraph" w:styleId="Akapitzlist">
    <w:name w:val="List Paragraph"/>
    <w:basedOn w:val="Normalny"/>
    <w:uiPriority w:val="34"/>
    <w:qFormat/>
    <w:rsid w:val="0029156B"/>
    <w:pPr>
      <w:ind w:left="720"/>
      <w:contextualSpacing/>
    </w:pPr>
  </w:style>
  <w:style w:type="character" w:customStyle="1" w:styleId="TekstpodstawowyZnak">
    <w:name w:val="Tekst podstawowy Znak"/>
    <w:basedOn w:val="Domylnaczcionkaakapitu"/>
    <w:link w:val="Tekstpodstawowy"/>
    <w:rsid w:val="001C1025"/>
    <w:rPr>
      <w:sz w:val="24"/>
    </w:rPr>
  </w:style>
  <w:style w:type="paragraph" w:styleId="Poprawka">
    <w:name w:val="Revision"/>
    <w:hidden/>
    <w:uiPriority w:val="99"/>
    <w:semiHidden/>
    <w:rsid w:val="004339B7"/>
    <w:rPr>
      <w:sz w:val="24"/>
      <w:szCs w:val="24"/>
    </w:rPr>
  </w:style>
  <w:style w:type="paragraph" w:customStyle="1" w:styleId="Default">
    <w:name w:val="Default"/>
    <w:rsid w:val="00BB2C2B"/>
    <w:pPr>
      <w:autoSpaceDE w:val="0"/>
      <w:autoSpaceDN w:val="0"/>
      <w:adjustRightInd w:val="0"/>
    </w:pPr>
    <w:rPr>
      <w:rFonts w:ascii="Arial" w:hAnsi="Arial" w:cs="Arial"/>
      <w:color w:val="000000"/>
      <w:sz w:val="24"/>
      <w:szCs w:val="24"/>
    </w:rPr>
  </w:style>
  <w:style w:type="character" w:customStyle="1" w:styleId="StopkaZnak">
    <w:name w:val="Stopka Znak"/>
    <w:basedOn w:val="Domylnaczcionkaakapitu"/>
    <w:link w:val="Stopka"/>
    <w:uiPriority w:val="99"/>
    <w:rsid w:val="00023A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39041">
      <w:bodyDiv w:val="1"/>
      <w:marLeft w:val="0"/>
      <w:marRight w:val="0"/>
      <w:marTop w:val="0"/>
      <w:marBottom w:val="0"/>
      <w:divBdr>
        <w:top w:val="none" w:sz="0" w:space="0" w:color="auto"/>
        <w:left w:val="none" w:sz="0" w:space="0" w:color="auto"/>
        <w:bottom w:val="none" w:sz="0" w:space="0" w:color="auto"/>
        <w:right w:val="none" w:sz="0" w:space="0" w:color="auto"/>
      </w:divBdr>
    </w:div>
    <w:div w:id="921599203">
      <w:bodyDiv w:val="1"/>
      <w:marLeft w:val="0"/>
      <w:marRight w:val="0"/>
      <w:marTop w:val="0"/>
      <w:marBottom w:val="0"/>
      <w:divBdr>
        <w:top w:val="none" w:sz="0" w:space="0" w:color="auto"/>
        <w:left w:val="none" w:sz="0" w:space="0" w:color="auto"/>
        <w:bottom w:val="none" w:sz="0" w:space="0" w:color="auto"/>
        <w:right w:val="none" w:sz="0" w:space="0" w:color="auto"/>
      </w:divBdr>
    </w:div>
    <w:div w:id="967399315">
      <w:bodyDiv w:val="1"/>
      <w:marLeft w:val="0"/>
      <w:marRight w:val="0"/>
      <w:marTop w:val="0"/>
      <w:marBottom w:val="0"/>
      <w:divBdr>
        <w:top w:val="none" w:sz="0" w:space="0" w:color="auto"/>
        <w:left w:val="none" w:sz="0" w:space="0" w:color="auto"/>
        <w:bottom w:val="none" w:sz="0" w:space="0" w:color="auto"/>
        <w:right w:val="none" w:sz="0" w:space="0" w:color="auto"/>
      </w:divBdr>
    </w:div>
    <w:div w:id="1665090259">
      <w:bodyDiv w:val="1"/>
      <w:marLeft w:val="0"/>
      <w:marRight w:val="0"/>
      <w:marTop w:val="0"/>
      <w:marBottom w:val="0"/>
      <w:divBdr>
        <w:top w:val="none" w:sz="0" w:space="0" w:color="auto"/>
        <w:left w:val="none" w:sz="0" w:space="0" w:color="auto"/>
        <w:bottom w:val="none" w:sz="0" w:space="0" w:color="auto"/>
        <w:right w:val="none" w:sz="0" w:space="0" w:color="auto"/>
      </w:divBdr>
      <w:divsChild>
        <w:div w:id="269549678">
          <w:marLeft w:val="0"/>
          <w:marRight w:val="0"/>
          <w:marTop w:val="0"/>
          <w:marBottom w:val="0"/>
          <w:divBdr>
            <w:top w:val="none" w:sz="0" w:space="0" w:color="auto"/>
            <w:left w:val="none" w:sz="0" w:space="0" w:color="auto"/>
            <w:bottom w:val="none" w:sz="0" w:space="0" w:color="auto"/>
            <w:right w:val="none" w:sz="0" w:space="0" w:color="auto"/>
          </w:divBdr>
        </w:div>
        <w:div w:id="111633410">
          <w:marLeft w:val="0"/>
          <w:marRight w:val="0"/>
          <w:marTop w:val="0"/>
          <w:marBottom w:val="0"/>
          <w:divBdr>
            <w:top w:val="none" w:sz="0" w:space="0" w:color="auto"/>
            <w:left w:val="none" w:sz="0" w:space="0" w:color="auto"/>
            <w:bottom w:val="none" w:sz="0" w:space="0" w:color="auto"/>
            <w:right w:val="none" w:sz="0" w:space="0" w:color="auto"/>
          </w:divBdr>
        </w:div>
        <w:div w:id="950362350">
          <w:marLeft w:val="0"/>
          <w:marRight w:val="0"/>
          <w:marTop w:val="0"/>
          <w:marBottom w:val="0"/>
          <w:divBdr>
            <w:top w:val="none" w:sz="0" w:space="0" w:color="auto"/>
            <w:left w:val="none" w:sz="0" w:space="0" w:color="auto"/>
            <w:bottom w:val="none" w:sz="0" w:space="0" w:color="auto"/>
            <w:right w:val="none" w:sz="0" w:space="0" w:color="auto"/>
          </w:divBdr>
        </w:div>
        <w:div w:id="846212427">
          <w:marLeft w:val="0"/>
          <w:marRight w:val="0"/>
          <w:marTop w:val="0"/>
          <w:marBottom w:val="0"/>
          <w:divBdr>
            <w:top w:val="none" w:sz="0" w:space="0" w:color="auto"/>
            <w:left w:val="none" w:sz="0" w:space="0" w:color="auto"/>
            <w:bottom w:val="none" w:sz="0" w:space="0" w:color="auto"/>
            <w:right w:val="none" w:sz="0" w:space="0" w:color="auto"/>
          </w:divBdr>
        </w:div>
        <w:div w:id="585503926">
          <w:marLeft w:val="0"/>
          <w:marRight w:val="0"/>
          <w:marTop w:val="0"/>
          <w:marBottom w:val="0"/>
          <w:divBdr>
            <w:top w:val="none" w:sz="0" w:space="0" w:color="auto"/>
            <w:left w:val="none" w:sz="0" w:space="0" w:color="auto"/>
            <w:bottom w:val="none" w:sz="0" w:space="0" w:color="auto"/>
            <w:right w:val="none" w:sz="0" w:space="0" w:color="auto"/>
          </w:divBdr>
        </w:div>
        <w:div w:id="190647773">
          <w:marLeft w:val="0"/>
          <w:marRight w:val="0"/>
          <w:marTop w:val="0"/>
          <w:marBottom w:val="0"/>
          <w:divBdr>
            <w:top w:val="none" w:sz="0" w:space="0" w:color="auto"/>
            <w:left w:val="none" w:sz="0" w:space="0" w:color="auto"/>
            <w:bottom w:val="none" w:sz="0" w:space="0" w:color="auto"/>
            <w:right w:val="none" w:sz="0" w:space="0" w:color="auto"/>
          </w:divBdr>
        </w:div>
      </w:divsChild>
    </w:div>
    <w:div w:id="1781336979">
      <w:bodyDiv w:val="1"/>
      <w:marLeft w:val="0"/>
      <w:marRight w:val="0"/>
      <w:marTop w:val="0"/>
      <w:marBottom w:val="0"/>
      <w:divBdr>
        <w:top w:val="none" w:sz="0" w:space="0" w:color="auto"/>
        <w:left w:val="none" w:sz="0" w:space="0" w:color="auto"/>
        <w:bottom w:val="none" w:sz="0" w:space="0" w:color="auto"/>
        <w:right w:val="none" w:sz="0" w:space="0" w:color="auto"/>
      </w:divBdr>
    </w:div>
    <w:div w:id="2119448042">
      <w:bodyDiv w:val="1"/>
      <w:marLeft w:val="0"/>
      <w:marRight w:val="0"/>
      <w:marTop w:val="0"/>
      <w:marBottom w:val="0"/>
      <w:divBdr>
        <w:top w:val="none" w:sz="0" w:space="0" w:color="auto"/>
        <w:left w:val="none" w:sz="0" w:space="0" w:color="auto"/>
        <w:bottom w:val="none" w:sz="0" w:space="0" w:color="auto"/>
        <w:right w:val="none" w:sz="0" w:space="0" w:color="auto"/>
      </w:divBdr>
    </w:div>
    <w:div w:id="2124692772">
      <w:bodyDiv w:val="1"/>
      <w:marLeft w:val="0"/>
      <w:marRight w:val="0"/>
      <w:marTop w:val="0"/>
      <w:marBottom w:val="0"/>
      <w:divBdr>
        <w:top w:val="none" w:sz="0" w:space="0" w:color="auto"/>
        <w:left w:val="none" w:sz="0" w:space="0" w:color="auto"/>
        <w:bottom w:val="none" w:sz="0" w:space="0" w:color="auto"/>
        <w:right w:val="none" w:sz="0" w:space="0" w:color="auto"/>
      </w:divBdr>
      <w:divsChild>
        <w:div w:id="1953659083">
          <w:marLeft w:val="0"/>
          <w:marRight w:val="0"/>
          <w:marTop w:val="0"/>
          <w:marBottom w:val="0"/>
          <w:divBdr>
            <w:top w:val="none" w:sz="0" w:space="0" w:color="auto"/>
            <w:left w:val="none" w:sz="0" w:space="0" w:color="auto"/>
            <w:bottom w:val="none" w:sz="0" w:space="0" w:color="auto"/>
            <w:right w:val="none" w:sz="0" w:space="0" w:color="auto"/>
          </w:divBdr>
        </w:div>
        <w:div w:id="695471471">
          <w:marLeft w:val="0"/>
          <w:marRight w:val="0"/>
          <w:marTop w:val="0"/>
          <w:marBottom w:val="0"/>
          <w:divBdr>
            <w:top w:val="none" w:sz="0" w:space="0" w:color="auto"/>
            <w:left w:val="none" w:sz="0" w:space="0" w:color="auto"/>
            <w:bottom w:val="none" w:sz="0" w:space="0" w:color="auto"/>
            <w:right w:val="none" w:sz="0" w:space="0" w:color="auto"/>
          </w:divBdr>
        </w:div>
        <w:div w:id="1601378356">
          <w:marLeft w:val="0"/>
          <w:marRight w:val="0"/>
          <w:marTop w:val="0"/>
          <w:marBottom w:val="0"/>
          <w:divBdr>
            <w:top w:val="none" w:sz="0" w:space="0" w:color="auto"/>
            <w:left w:val="none" w:sz="0" w:space="0" w:color="auto"/>
            <w:bottom w:val="none" w:sz="0" w:space="0" w:color="auto"/>
            <w:right w:val="none" w:sz="0" w:space="0" w:color="auto"/>
          </w:divBdr>
        </w:div>
        <w:div w:id="533268989">
          <w:marLeft w:val="0"/>
          <w:marRight w:val="0"/>
          <w:marTop w:val="0"/>
          <w:marBottom w:val="0"/>
          <w:divBdr>
            <w:top w:val="none" w:sz="0" w:space="0" w:color="auto"/>
            <w:left w:val="none" w:sz="0" w:space="0" w:color="auto"/>
            <w:bottom w:val="none" w:sz="0" w:space="0" w:color="auto"/>
            <w:right w:val="none" w:sz="0" w:space="0" w:color="auto"/>
          </w:divBdr>
        </w:div>
        <w:div w:id="910655148">
          <w:marLeft w:val="0"/>
          <w:marRight w:val="0"/>
          <w:marTop w:val="0"/>
          <w:marBottom w:val="0"/>
          <w:divBdr>
            <w:top w:val="none" w:sz="0" w:space="0" w:color="auto"/>
            <w:left w:val="none" w:sz="0" w:space="0" w:color="auto"/>
            <w:bottom w:val="none" w:sz="0" w:space="0" w:color="auto"/>
            <w:right w:val="none" w:sz="0" w:space="0" w:color="auto"/>
          </w:divBdr>
        </w:div>
        <w:div w:id="828178473">
          <w:marLeft w:val="0"/>
          <w:marRight w:val="0"/>
          <w:marTop w:val="0"/>
          <w:marBottom w:val="0"/>
          <w:divBdr>
            <w:top w:val="none" w:sz="0" w:space="0" w:color="auto"/>
            <w:left w:val="none" w:sz="0" w:space="0" w:color="auto"/>
            <w:bottom w:val="none" w:sz="0" w:space="0" w:color="auto"/>
            <w:right w:val="none" w:sz="0" w:space="0" w:color="auto"/>
          </w:divBdr>
        </w:div>
        <w:div w:id="956569726">
          <w:marLeft w:val="0"/>
          <w:marRight w:val="0"/>
          <w:marTop w:val="0"/>
          <w:marBottom w:val="0"/>
          <w:divBdr>
            <w:top w:val="none" w:sz="0" w:space="0" w:color="auto"/>
            <w:left w:val="none" w:sz="0" w:space="0" w:color="auto"/>
            <w:bottom w:val="none" w:sz="0" w:space="0" w:color="auto"/>
            <w:right w:val="none" w:sz="0" w:space="0" w:color="auto"/>
          </w:divBdr>
        </w:div>
        <w:div w:id="750809423">
          <w:marLeft w:val="0"/>
          <w:marRight w:val="0"/>
          <w:marTop w:val="0"/>
          <w:marBottom w:val="0"/>
          <w:divBdr>
            <w:top w:val="none" w:sz="0" w:space="0" w:color="auto"/>
            <w:left w:val="none" w:sz="0" w:space="0" w:color="auto"/>
            <w:bottom w:val="none" w:sz="0" w:space="0" w:color="auto"/>
            <w:right w:val="none" w:sz="0" w:space="0" w:color="auto"/>
          </w:divBdr>
        </w:div>
        <w:div w:id="267007656">
          <w:marLeft w:val="0"/>
          <w:marRight w:val="0"/>
          <w:marTop w:val="0"/>
          <w:marBottom w:val="0"/>
          <w:divBdr>
            <w:top w:val="none" w:sz="0" w:space="0" w:color="auto"/>
            <w:left w:val="none" w:sz="0" w:space="0" w:color="auto"/>
            <w:bottom w:val="none" w:sz="0" w:space="0" w:color="auto"/>
            <w:right w:val="none" w:sz="0" w:space="0" w:color="auto"/>
          </w:divBdr>
        </w:div>
        <w:div w:id="1971782750">
          <w:marLeft w:val="0"/>
          <w:marRight w:val="0"/>
          <w:marTop w:val="0"/>
          <w:marBottom w:val="0"/>
          <w:divBdr>
            <w:top w:val="none" w:sz="0" w:space="0" w:color="auto"/>
            <w:left w:val="none" w:sz="0" w:space="0" w:color="auto"/>
            <w:bottom w:val="none" w:sz="0" w:space="0" w:color="auto"/>
            <w:right w:val="none" w:sz="0" w:space="0" w:color="auto"/>
          </w:divBdr>
        </w:div>
        <w:div w:id="376664385">
          <w:marLeft w:val="0"/>
          <w:marRight w:val="0"/>
          <w:marTop w:val="0"/>
          <w:marBottom w:val="0"/>
          <w:divBdr>
            <w:top w:val="none" w:sz="0" w:space="0" w:color="auto"/>
            <w:left w:val="none" w:sz="0" w:space="0" w:color="auto"/>
            <w:bottom w:val="none" w:sz="0" w:space="0" w:color="auto"/>
            <w:right w:val="none" w:sz="0" w:space="0" w:color="auto"/>
          </w:divBdr>
        </w:div>
        <w:div w:id="1668440514">
          <w:marLeft w:val="0"/>
          <w:marRight w:val="0"/>
          <w:marTop w:val="0"/>
          <w:marBottom w:val="0"/>
          <w:divBdr>
            <w:top w:val="none" w:sz="0" w:space="0" w:color="auto"/>
            <w:left w:val="none" w:sz="0" w:space="0" w:color="auto"/>
            <w:bottom w:val="none" w:sz="0" w:space="0" w:color="auto"/>
            <w:right w:val="none" w:sz="0" w:space="0" w:color="auto"/>
          </w:divBdr>
        </w:div>
        <w:div w:id="2016150389">
          <w:marLeft w:val="0"/>
          <w:marRight w:val="0"/>
          <w:marTop w:val="0"/>
          <w:marBottom w:val="0"/>
          <w:divBdr>
            <w:top w:val="none" w:sz="0" w:space="0" w:color="auto"/>
            <w:left w:val="none" w:sz="0" w:space="0" w:color="auto"/>
            <w:bottom w:val="none" w:sz="0" w:space="0" w:color="auto"/>
            <w:right w:val="none" w:sz="0" w:space="0" w:color="auto"/>
          </w:divBdr>
        </w:div>
        <w:div w:id="530459159">
          <w:marLeft w:val="0"/>
          <w:marRight w:val="0"/>
          <w:marTop w:val="0"/>
          <w:marBottom w:val="0"/>
          <w:divBdr>
            <w:top w:val="none" w:sz="0" w:space="0" w:color="auto"/>
            <w:left w:val="none" w:sz="0" w:space="0" w:color="auto"/>
            <w:bottom w:val="none" w:sz="0" w:space="0" w:color="auto"/>
            <w:right w:val="none" w:sz="0" w:space="0" w:color="auto"/>
          </w:divBdr>
        </w:div>
        <w:div w:id="976958411">
          <w:marLeft w:val="0"/>
          <w:marRight w:val="0"/>
          <w:marTop w:val="0"/>
          <w:marBottom w:val="0"/>
          <w:divBdr>
            <w:top w:val="none" w:sz="0" w:space="0" w:color="auto"/>
            <w:left w:val="none" w:sz="0" w:space="0" w:color="auto"/>
            <w:bottom w:val="none" w:sz="0" w:space="0" w:color="auto"/>
            <w:right w:val="none" w:sz="0" w:space="0" w:color="auto"/>
          </w:divBdr>
        </w:div>
      </w:divsChild>
    </w:div>
    <w:div w:id="2146778208">
      <w:bodyDiv w:val="1"/>
      <w:marLeft w:val="0"/>
      <w:marRight w:val="0"/>
      <w:marTop w:val="0"/>
      <w:marBottom w:val="0"/>
      <w:divBdr>
        <w:top w:val="none" w:sz="0" w:space="0" w:color="auto"/>
        <w:left w:val="none" w:sz="0" w:space="0" w:color="auto"/>
        <w:bottom w:val="none" w:sz="0" w:space="0" w:color="auto"/>
        <w:right w:val="none" w:sz="0" w:space="0" w:color="auto"/>
      </w:divBdr>
      <w:divsChild>
        <w:div w:id="561989858">
          <w:marLeft w:val="0"/>
          <w:marRight w:val="0"/>
          <w:marTop w:val="0"/>
          <w:marBottom w:val="0"/>
          <w:divBdr>
            <w:top w:val="none" w:sz="0" w:space="0" w:color="auto"/>
            <w:left w:val="none" w:sz="0" w:space="0" w:color="auto"/>
            <w:bottom w:val="none" w:sz="0" w:space="0" w:color="auto"/>
            <w:right w:val="none" w:sz="0" w:space="0" w:color="auto"/>
          </w:divBdr>
        </w:div>
        <w:div w:id="853302792">
          <w:marLeft w:val="0"/>
          <w:marRight w:val="0"/>
          <w:marTop w:val="0"/>
          <w:marBottom w:val="0"/>
          <w:divBdr>
            <w:top w:val="none" w:sz="0" w:space="0" w:color="auto"/>
            <w:left w:val="none" w:sz="0" w:space="0" w:color="auto"/>
            <w:bottom w:val="none" w:sz="0" w:space="0" w:color="auto"/>
            <w:right w:val="none" w:sz="0" w:space="0" w:color="auto"/>
          </w:divBdr>
        </w:div>
        <w:div w:id="2147309281">
          <w:marLeft w:val="0"/>
          <w:marRight w:val="0"/>
          <w:marTop w:val="0"/>
          <w:marBottom w:val="0"/>
          <w:divBdr>
            <w:top w:val="none" w:sz="0" w:space="0" w:color="auto"/>
            <w:left w:val="none" w:sz="0" w:space="0" w:color="auto"/>
            <w:bottom w:val="none" w:sz="0" w:space="0" w:color="auto"/>
            <w:right w:val="none" w:sz="0" w:space="0" w:color="auto"/>
          </w:divBdr>
        </w:div>
        <w:div w:id="482048242">
          <w:marLeft w:val="0"/>
          <w:marRight w:val="0"/>
          <w:marTop w:val="0"/>
          <w:marBottom w:val="0"/>
          <w:divBdr>
            <w:top w:val="none" w:sz="0" w:space="0" w:color="auto"/>
            <w:left w:val="none" w:sz="0" w:space="0" w:color="auto"/>
            <w:bottom w:val="none" w:sz="0" w:space="0" w:color="auto"/>
            <w:right w:val="none" w:sz="0" w:space="0" w:color="auto"/>
          </w:divBdr>
        </w:div>
        <w:div w:id="342174336">
          <w:marLeft w:val="0"/>
          <w:marRight w:val="0"/>
          <w:marTop w:val="0"/>
          <w:marBottom w:val="0"/>
          <w:divBdr>
            <w:top w:val="none" w:sz="0" w:space="0" w:color="auto"/>
            <w:left w:val="none" w:sz="0" w:space="0" w:color="auto"/>
            <w:bottom w:val="none" w:sz="0" w:space="0" w:color="auto"/>
            <w:right w:val="none" w:sz="0" w:space="0" w:color="auto"/>
          </w:divBdr>
        </w:div>
        <w:div w:id="1942684511">
          <w:marLeft w:val="0"/>
          <w:marRight w:val="0"/>
          <w:marTop w:val="0"/>
          <w:marBottom w:val="0"/>
          <w:divBdr>
            <w:top w:val="none" w:sz="0" w:space="0" w:color="auto"/>
            <w:left w:val="none" w:sz="0" w:space="0" w:color="auto"/>
            <w:bottom w:val="none" w:sz="0" w:space="0" w:color="auto"/>
            <w:right w:val="none" w:sz="0" w:space="0" w:color="auto"/>
          </w:divBdr>
        </w:div>
        <w:div w:id="1263562992">
          <w:marLeft w:val="0"/>
          <w:marRight w:val="0"/>
          <w:marTop w:val="0"/>
          <w:marBottom w:val="0"/>
          <w:divBdr>
            <w:top w:val="none" w:sz="0" w:space="0" w:color="auto"/>
            <w:left w:val="none" w:sz="0" w:space="0" w:color="auto"/>
            <w:bottom w:val="none" w:sz="0" w:space="0" w:color="auto"/>
            <w:right w:val="none" w:sz="0" w:space="0" w:color="auto"/>
          </w:divBdr>
        </w:div>
        <w:div w:id="1647125297">
          <w:marLeft w:val="0"/>
          <w:marRight w:val="0"/>
          <w:marTop w:val="0"/>
          <w:marBottom w:val="0"/>
          <w:divBdr>
            <w:top w:val="none" w:sz="0" w:space="0" w:color="auto"/>
            <w:left w:val="none" w:sz="0" w:space="0" w:color="auto"/>
            <w:bottom w:val="none" w:sz="0" w:space="0" w:color="auto"/>
            <w:right w:val="none" w:sz="0" w:space="0" w:color="auto"/>
          </w:divBdr>
        </w:div>
        <w:div w:id="364477833">
          <w:marLeft w:val="0"/>
          <w:marRight w:val="0"/>
          <w:marTop w:val="0"/>
          <w:marBottom w:val="0"/>
          <w:divBdr>
            <w:top w:val="none" w:sz="0" w:space="0" w:color="auto"/>
            <w:left w:val="none" w:sz="0" w:space="0" w:color="auto"/>
            <w:bottom w:val="none" w:sz="0" w:space="0" w:color="auto"/>
            <w:right w:val="none" w:sz="0" w:space="0" w:color="auto"/>
          </w:divBdr>
        </w:div>
        <w:div w:id="307250699">
          <w:marLeft w:val="0"/>
          <w:marRight w:val="0"/>
          <w:marTop w:val="0"/>
          <w:marBottom w:val="0"/>
          <w:divBdr>
            <w:top w:val="none" w:sz="0" w:space="0" w:color="auto"/>
            <w:left w:val="none" w:sz="0" w:space="0" w:color="auto"/>
            <w:bottom w:val="none" w:sz="0" w:space="0" w:color="auto"/>
            <w:right w:val="none" w:sz="0" w:space="0" w:color="auto"/>
          </w:divBdr>
        </w:div>
        <w:div w:id="800341900">
          <w:marLeft w:val="0"/>
          <w:marRight w:val="0"/>
          <w:marTop w:val="0"/>
          <w:marBottom w:val="0"/>
          <w:divBdr>
            <w:top w:val="none" w:sz="0" w:space="0" w:color="auto"/>
            <w:left w:val="none" w:sz="0" w:space="0" w:color="auto"/>
            <w:bottom w:val="none" w:sz="0" w:space="0" w:color="auto"/>
            <w:right w:val="none" w:sz="0" w:space="0" w:color="auto"/>
          </w:divBdr>
        </w:div>
        <w:div w:id="1987390460">
          <w:marLeft w:val="0"/>
          <w:marRight w:val="0"/>
          <w:marTop w:val="0"/>
          <w:marBottom w:val="0"/>
          <w:divBdr>
            <w:top w:val="none" w:sz="0" w:space="0" w:color="auto"/>
            <w:left w:val="none" w:sz="0" w:space="0" w:color="auto"/>
            <w:bottom w:val="none" w:sz="0" w:space="0" w:color="auto"/>
            <w:right w:val="none" w:sz="0" w:space="0" w:color="auto"/>
          </w:divBdr>
        </w:div>
        <w:div w:id="1948809253">
          <w:marLeft w:val="0"/>
          <w:marRight w:val="0"/>
          <w:marTop w:val="0"/>
          <w:marBottom w:val="0"/>
          <w:divBdr>
            <w:top w:val="none" w:sz="0" w:space="0" w:color="auto"/>
            <w:left w:val="none" w:sz="0" w:space="0" w:color="auto"/>
            <w:bottom w:val="none" w:sz="0" w:space="0" w:color="auto"/>
            <w:right w:val="none" w:sz="0" w:space="0" w:color="auto"/>
          </w:divBdr>
        </w:div>
        <w:div w:id="1343627331">
          <w:marLeft w:val="0"/>
          <w:marRight w:val="0"/>
          <w:marTop w:val="0"/>
          <w:marBottom w:val="0"/>
          <w:divBdr>
            <w:top w:val="none" w:sz="0" w:space="0" w:color="auto"/>
            <w:left w:val="none" w:sz="0" w:space="0" w:color="auto"/>
            <w:bottom w:val="none" w:sz="0" w:space="0" w:color="auto"/>
            <w:right w:val="none" w:sz="0" w:space="0" w:color="auto"/>
          </w:divBdr>
        </w:div>
        <w:div w:id="762457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hart" Target="charts/chart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chart" Target="charts/chart5.xm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header" Target="header4.xml"/><Relationship Id="rId33" Type="http://schemas.openxmlformats.org/officeDocument/2006/relationships/chart" Target="charts/chart1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hart" Target="charts/chart4.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8.xml"/><Relationship Id="rId32" Type="http://schemas.openxmlformats.org/officeDocument/2006/relationships/chart" Target="charts/chart1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hart" Target="charts/chart7.xml"/><Relationship Id="rId28" Type="http://schemas.openxmlformats.org/officeDocument/2006/relationships/chart" Target="charts/chart10.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3.xm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hart" Target="charts/chart6.xml"/><Relationship Id="rId27" Type="http://schemas.openxmlformats.org/officeDocument/2006/relationships/chart" Target="charts/chart9.xml"/><Relationship Id="rId30" Type="http://schemas.openxmlformats.org/officeDocument/2006/relationships/image" Target="media/image3.png"/><Relationship Id="rId35" Type="http://schemas.openxmlformats.org/officeDocument/2006/relationships/header" Target="header7.xml"/></Relationships>
</file>

<file path=word/charts/_rels/chart1.xml.rels><?xml version="1.0" encoding="UTF-8" standalone="yes"?>
<Relationships xmlns="http://schemas.openxmlformats.org/package/2006/relationships"><Relationship Id="rId1" Type="http://schemas.openxmlformats.org/officeDocument/2006/relationships/oleObject" Target="https://dysk.mf.gov.pl/BDF/Docs/BDF1/SPRAWOZDANIE%20GKO%20i%20KOMISJE/KO%20zbiorcze%20spr%20roczne%20201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SR-WIN-003.mf.gov.pl\folders_citrix\AZYM\Pulpit\KO%20zbiorcze%20spr%20roczne%20201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SR-WIN-003.mf.gov.pl\folders_citrix\AZYM\Pulpit\KO%20zbiorcze%20spr%20roczne%202018.xlsx"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file:///\\FSR-WIN-003.mf.gov.pl\folders_citrix\AZYM\Pulpit\KO%20zbiorcze%20spr%20roczne%202018.xlsx" TargetMode="External"/><Relationship Id="rId2" Type="http://schemas.microsoft.com/office/2011/relationships/chartColorStyle" Target="colors1.xml"/><Relationship Id="rId1" Type="http://schemas.microsoft.com/office/2011/relationships/chartStyle" Target="style1.xml"/></Relationships>
</file>

<file path=word/charts/_rels/chart13.xml.rels><?xml version="1.0" encoding="UTF-8" standalone="yes"?>
<Relationships xmlns="http://schemas.openxmlformats.org/package/2006/relationships"><Relationship Id="rId1" Type="http://schemas.openxmlformats.org/officeDocument/2006/relationships/oleObject" Target="file:///\\FSR-WIN-003.mf.gov.pl\folders_citrix\AZYM\Pulpit\KO%20zbiorcze%20spr%20roczne%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ysk.mf.gov.pl/BDF/Docs/BDF1/SPRAWOZDANIE%20GKO%20i%20KOMISJE/KO%20zbiorcze%20spr%20roczne%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dysk.mf.gov.pl/BDF/Docs/BDF1/SPRAWOZDANIE%20GKO%20i%20KOMISJE/KO%20zbiorcze%20spr%20roczne%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dysk.mf.gov.pl/BDF/Docs/BDF1/SPRAWOZDANIE%20GKO%20i%20KOMISJE/KO%20zbiorcze%20spr%20roczne%202018.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zym\AppData\Local\Microsoft\Windows\INetCache\Content.Outlook\MCW1ZENW\analiza%20KO%20IV%20kw%20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SR-WIN-003.mf.gov.pl\folders_citrix\AZYM\Pulpit\KO%20zbiorcze%20spr%20roczne%2020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SR-WIN-003.mf.gov.pl\folders_citrix\AZYM\Pulpit\KO%20zbiorcze%20spr%20roczne%20201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SR-WIN-003.mf.gov.pl\folders_citrix\AZYM\Pulpit\KO%20zbiorcze%20spr%20roczne%2020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dysk.mf.gov.pl/BDF/Docs/BDF1/SPRAWOZDANIE%20GKO%20i%20KOMISJE/KO%20zbiorcze%20spr%20roczne%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a:ea typeface="Arial"/>
                <a:cs typeface="Arial"/>
              </a:defRPr>
            </a:pPr>
            <a:r>
              <a:rPr lang="pl-PL"/>
              <a:t>Odwołania oczekujące na rozpoznanie</a:t>
            </a:r>
          </a:p>
        </c:rich>
      </c:tx>
      <c:layout>
        <c:manualLayout>
          <c:xMode val="edge"/>
          <c:yMode val="edge"/>
          <c:x val="0.25824968654895258"/>
          <c:y val="3.6529761811861919E-2"/>
        </c:manualLayout>
      </c:layout>
      <c:overlay val="0"/>
      <c:spPr>
        <a:noFill/>
        <a:ln w="25400">
          <a:noFill/>
        </a:ln>
      </c:spPr>
    </c:title>
    <c:autoTitleDeleted val="0"/>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351509144854406"/>
          <c:y val="0.13926971690772358"/>
          <c:w val="0.82209483551416573"/>
          <c:h val="0.66666815306647997"/>
        </c:manualLayout>
      </c:layout>
      <c:bar3DChart>
        <c:barDir val="col"/>
        <c:grouping val="clustered"/>
        <c:varyColors val="1"/>
        <c:ser>
          <c:idx val="0"/>
          <c:order val="0"/>
          <c:spPr>
            <a:solidFill>
              <a:srgbClr val="9999FF"/>
            </a:solidFill>
            <a:ln w="12700">
              <a:solidFill>
                <a:srgbClr val="000000"/>
              </a:solidFill>
              <a:prstDash val="solid"/>
            </a:ln>
          </c:spPr>
          <c:invertIfNegative val="0"/>
          <c:dPt>
            <c:idx val="0"/>
            <c:invertIfNegative val="0"/>
            <c:bubble3D val="0"/>
            <c:spPr>
              <a:solidFill>
                <a:srgbClr val="9999FF"/>
              </a:solidFill>
              <a:ln w="12700">
                <a:solidFill>
                  <a:srgbClr val="000000"/>
                </a:solidFill>
                <a:prstDash val="solid"/>
              </a:ln>
            </c:spPr>
          </c:dPt>
          <c:dPt>
            <c:idx val="1"/>
            <c:invertIfNegative val="0"/>
            <c:bubble3D val="0"/>
            <c:spPr>
              <a:solidFill>
                <a:srgbClr val="993366"/>
              </a:solidFill>
              <a:ln w="12700">
                <a:solidFill>
                  <a:srgbClr val="000000"/>
                </a:solidFill>
                <a:prstDash val="solid"/>
              </a:ln>
            </c:spPr>
          </c:dPt>
          <c:dPt>
            <c:idx val="2"/>
            <c:invertIfNegative val="0"/>
            <c:bubble3D val="0"/>
            <c:spPr>
              <a:solidFill>
                <a:srgbClr val="FFFFCC"/>
              </a:solidFill>
              <a:ln w="12700">
                <a:solidFill>
                  <a:srgbClr val="000000"/>
                </a:solidFill>
                <a:prstDash val="solid"/>
              </a:ln>
            </c:spPr>
          </c:dPt>
          <c:dPt>
            <c:idx val="3"/>
            <c:invertIfNegative val="0"/>
            <c:bubble3D val="0"/>
            <c:spPr>
              <a:solidFill>
                <a:srgbClr val="92D050"/>
              </a:solidFill>
              <a:ln w="12700">
                <a:solidFill>
                  <a:srgbClr val="000000"/>
                </a:solidFill>
                <a:prstDash val="solid"/>
              </a:ln>
            </c:spPr>
          </c:dPt>
          <c:dLbls>
            <c:dLbl>
              <c:idx val="0"/>
              <c:layout>
                <c:manualLayout>
                  <c:x val="-2.651596455751496E-3"/>
                  <c:y val="8.485300638790013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2325150532654E-3"/>
                  <c:y val="9.405643643859586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3790711598639841E-3"/>
                  <c:y val="8.414859957573796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8.751902587519025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sz="11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'[KO zbiorcze spr roczne 2018.xlsx]Wykresy GKO'!$C$3:$F$3</c:f>
              <c:numCache>
                <c:formatCode>General</c:formatCode>
                <c:ptCount val="4"/>
                <c:pt idx="0">
                  <c:v>2015</c:v>
                </c:pt>
                <c:pt idx="1">
                  <c:v>2016</c:v>
                </c:pt>
                <c:pt idx="2">
                  <c:v>2017</c:v>
                </c:pt>
                <c:pt idx="3">
                  <c:v>2018</c:v>
                </c:pt>
              </c:numCache>
            </c:numRef>
          </c:cat>
          <c:val>
            <c:numRef>
              <c:f>'[KO zbiorcze spr roczne 2018.xlsx]Wykresy GKO'!$C$4:$F$4</c:f>
              <c:numCache>
                <c:formatCode>#,##0</c:formatCode>
                <c:ptCount val="4"/>
                <c:pt idx="0">
                  <c:v>39</c:v>
                </c:pt>
                <c:pt idx="1">
                  <c:v>60</c:v>
                </c:pt>
                <c:pt idx="2">
                  <c:v>45</c:v>
                </c:pt>
                <c:pt idx="3">
                  <c:v>47</c:v>
                </c:pt>
              </c:numCache>
            </c:numRef>
          </c:val>
        </c:ser>
        <c:dLbls>
          <c:showLegendKey val="0"/>
          <c:showVal val="1"/>
          <c:showCatName val="0"/>
          <c:showSerName val="0"/>
          <c:showPercent val="0"/>
          <c:showBubbleSize val="0"/>
        </c:dLbls>
        <c:gapWidth val="150"/>
        <c:shape val="box"/>
        <c:axId val="315360872"/>
        <c:axId val="315362440"/>
        <c:axId val="0"/>
      </c:bar3DChart>
      <c:catAx>
        <c:axId val="315360872"/>
        <c:scaling>
          <c:orientation val="minMax"/>
        </c:scaling>
        <c:delete val="0"/>
        <c:axPos val="b"/>
        <c:title>
          <c:tx>
            <c:rich>
              <a:bodyPr/>
              <a:lstStyle/>
              <a:p>
                <a:pPr>
                  <a:defRPr sz="900" b="1" i="0" u="none" strike="noStrike" baseline="0">
                    <a:solidFill>
                      <a:srgbClr val="000000"/>
                    </a:solidFill>
                    <a:latin typeface="Arial"/>
                    <a:ea typeface="Arial"/>
                    <a:cs typeface="Arial"/>
                  </a:defRPr>
                </a:pPr>
                <a:r>
                  <a:rPr lang="pl-PL"/>
                  <a:t>lata</a:t>
                </a:r>
              </a:p>
            </c:rich>
          </c:tx>
          <c:layout>
            <c:manualLayout>
              <c:xMode val="edge"/>
              <c:yMode val="edge"/>
              <c:x val="0.87374480808263388"/>
              <c:y val="0.83561823607665475"/>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pl-PL"/>
          </a:p>
        </c:txPr>
        <c:crossAx val="315362440"/>
        <c:crosses val="autoZero"/>
        <c:auto val="1"/>
        <c:lblAlgn val="ctr"/>
        <c:lblOffset val="100"/>
        <c:tickLblSkip val="1"/>
        <c:tickMarkSkip val="1"/>
        <c:noMultiLvlLbl val="0"/>
      </c:catAx>
      <c:valAx>
        <c:axId val="315362440"/>
        <c:scaling>
          <c:orientation val="minMax"/>
        </c:scaling>
        <c:delete val="0"/>
        <c:axPos val="l"/>
        <c:majorGridlines>
          <c:spPr>
            <a:ln w="3175">
              <a:solidFill>
                <a:srgbClr val="000000"/>
              </a:solidFill>
              <a:prstDash val="solid"/>
            </a:ln>
          </c:spPr>
        </c:majorGridlines>
        <c:title>
          <c:tx>
            <c:rich>
              <a:bodyPr rot="0" vert="horz"/>
              <a:lstStyle/>
              <a:p>
                <a:pPr algn="ctr">
                  <a:defRPr sz="900" b="1" i="0" u="none" strike="noStrike" baseline="0">
                    <a:solidFill>
                      <a:srgbClr val="000000"/>
                    </a:solidFill>
                    <a:latin typeface="Arial"/>
                    <a:ea typeface="Arial"/>
                    <a:cs typeface="Arial"/>
                  </a:defRPr>
                </a:pPr>
                <a:r>
                  <a:rPr lang="pl-PL"/>
                  <a:t>liczba
odwołań</a:t>
                </a:r>
              </a:p>
            </c:rich>
          </c:tx>
          <c:layout>
            <c:manualLayout>
              <c:xMode val="edge"/>
              <c:yMode val="edge"/>
              <c:x val="3.5389765662362509E-2"/>
              <c:y val="0.46575432351777946"/>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pl-PL"/>
          </a:p>
        </c:txPr>
        <c:crossAx val="315360872"/>
        <c:crosses val="autoZero"/>
        <c:crossBetween val="between"/>
      </c:valAx>
      <c:spPr>
        <a:noFill/>
        <a:ln w="25400">
          <a:noFill/>
        </a:ln>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a:ea typeface="Arial"/>
          <a:cs typeface="Arial"/>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pl-PL" sz="1200"/>
              <a:t>Orzeczenia w kwestii odpowiedzialności</a:t>
            </a:r>
          </a:p>
        </c:rich>
      </c:tx>
      <c:layout>
        <c:manualLayout>
          <c:xMode val="edge"/>
          <c:yMode val="edge"/>
          <c:x val="0.28956916434392893"/>
          <c:y val="0.10325566568651109"/>
        </c:manualLayout>
      </c:layout>
      <c:overlay val="0"/>
      <c:spPr>
        <a:noFill/>
        <a:ln w="25400">
          <a:noFill/>
        </a:ln>
      </c:spPr>
    </c:title>
    <c:autoTitleDeleted val="0"/>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9302623996054835"/>
          <c:y val="0.25806465162164594"/>
          <c:w val="0.75840632345789638"/>
          <c:h val="0.58064546614870327"/>
        </c:manualLayout>
      </c:layout>
      <c:bar3DChart>
        <c:barDir val="col"/>
        <c:grouping val="clustered"/>
        <c:varyColors val="1"/>
        <c:ser>
          <c:idx val="0"/>
          <c:order val="0"/>
          <c:spPr>
            <a:solidFill>
              <a:srgbClr val="9999FF"/>
            </a:solidFill>
            <a:ln w="12700">
              <a:solidFill>
                <a:srgbClr val="000000"/>
              </a:solidFill>
              <a:prstDash val="solid"/>
            </a:ln>
          </c:spPr>
          <c:invertIfNegative val="0"/>
          <c:dPt>
            <c:idx val="0"/>
            <c:invertIfNegative val="0"/>
            <c:bubble3D val="0"/>
            <c:spPr>
              <a:solidFill>
                <a:srgbClr val="9999FF"/>
              </a:solidFill>
              <a:ln w="12700">
                <a:solidFill>
                  <a:srgbClr val="000000"/>
                </a:solidFill>
                <a:prstDash val="solid"/>
              </a:ln>
            </c:spPr>
          </c:dPt>
          <c:dPt>
            <c:idx val="1"/>
            <c:invertIfNegative val="0"/>
            <c:bubble3D val="0"/>
            <c:spPr>
              <a:solidFill>
                <a:srgbClr val="993366"/>
              </a:solidFill>
              <a:ln w="12700">
                <a:solidFill>
                  <a:srgbClr val="000000"/>
                </a:solidFill>
                <a:prstDash val="solid"/>
              </a:ln>
            </c:spPr>
          </c:dPt>
          <c:dPt>
            <c:idx val="2"/>
            <c:invertIfNegative val="0"/>
            <c:bubble3D val="0"/>
            <c:spPr>
              <a:solidFill>
                <a:srgbClr val="FFFFCC"/>
              </a:solidFill>
              <a:ln w="12700">
                <a:solidFill>
                  <a:srgbClr val="000000"/>
                </a:solidFill>
                <a:prstDash val="solid"/>
              </a:ln>
            </c:spPr>
          </c:dPt>
          <c:dPt>
            <c:idx val="3"/>
            <c:invertIfNegative val="0"/>
            <c:bubble3D val="0"/>
            <c:spPr>
              <a:solidFill>
                <a:srgbClr val="92D050"/>
              </a:solidFill>
              <a:ln w="12700">
                <a:solidFill>
                  <a:srgbClr val="000000"/>
                </a:solidFill>
                <a:prstDash val="solid"/>
              </a:ln>
            </c:spPr>
          </c:dPt>
          <c:dLbls>
            <c:dLbl>
              <c:idx val="0"/>
              <c:layout>
                <c:manualLayout>
                  <c:x val="-2.3231937425732233E-3"/>
                  <c:y val="0.1137471986147869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9804133010505468E-3"/>
                  <c:y val="0.12370944498326018"/>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8847755970802155E-4"/>
                  <c:y val="0.10603564951040828"/>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11482199902465219"/>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sz="115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Wykresy!$C$114:$F$114</c:f>
              <c:numCache>
                <c:formatCode>General</c:formatCode>
                <c:ptCount val="4"/>
                <c:pt idx="0">
                  <c:v>2015</c:v>
                </c:pt>
                <c:pt idx="1">
                  <c:v>2016</c:v>
                </c:pt>
                <c:pt idx="2">
                  <c:v>2017</c:v>
                </c:pt>
                <c:pt idx="3">
                  <c:v>2018</c:v>
                </c:pt>
              </c:numCache>
            </c:numRef>
          </c:cat>
          <c:val>
            <c:numRef>
              <c:f>Wykresy!$C$115:$F$115</c:f>
              <c:numCache>
                <c:formatCode>#,##0</c:formatCode>
                <c:ptCount val="4"/>
                <c:pt idx="0">
                  <c:v>1073</c:v>
                </c:pt>
                <c:pt idx="1">
                  <c:v>1047</c:v>
                </c:pt>
                <c:pt idx="2">
                  <c:v>1017</c:v>
                </c:pt>
                <c:pt idx="3">
                  <c:v>935</c:v>
                </c:pt>
              </c:numCache>
            </c:numRef>
          </c:val>
        </c:ser>
        <c:dLbls>
          <c:showLegendKey val="0"/>
          <c:showVal val="1"/>
          <c:showCatName val="0"/>
          <c:showSerName val="0"/>
          <c:showPercent val="0"/>
          <c:showBubbleSize val="0"/>
        </c:dLbls>
        <c:gapWidth val="116"/>
        <c:shape val="box"/>
        <c:axId val="316084704"/>
        <c:axId val="316505608"/>
        <c:axId val="0"/>
      </c:bar3DChart>
      <c:catAx>
        <c:axId val="316084704"/>
        <c:scaling>
          <c:orientation val="minMax"/>
        </c:scaling>
        <c:delete val="0"/>
        <c:axPos val="b"/>
        <c:title>
          <c:tx>
            <c:rich>
              <a:bodyPr/>
              <a:lstStyle/>
              <a:p>
                <a:pPr>
                  <a:defRPr sz="975" b="1" i="0" u="none" strike="noStrike" baseline="0">
                    <a:solidFill>
                      <a:srgbClr val="000000"/>
                    </a:solidFill>
                    <a:latin typeface="Arial"/>
                    <a:ea typeface="Arial"/>
                    <a:cs typeface="Arial"/>
                  </a:defRPr>
                </a:pPr>
                <a:r>
                  <a:rPr lang="pl-PL"/>
                  <a:t>lata</a:t>
                </a:r>
              </a:p>
            </c:rich>
          </c:tx>
          <c:layout>
            <c:manualLayout>
              <c:xMode val="edge"/>
              <c:yMode val="edge"/>
              <c:x val="0.88288571486703693"/>
              <c:y val="0.86178691390089823"/>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pl-PL"/>
          </a:p>
        </c:txPr>
        <c:crossAx val="316505608"/>
        <c:crosses val="autoZero"/>
        <c:auto val="1"/>
        <c:lblAlgn val="ctr"/>
        <c:lblOffset val="100"/>
        <c:tickLblSkip val="1"/>
        <c:tickMarkSkip val="1"/>
        <c:noMultiLvlLbl val="0"/>
      </c:catAx>
      <c:valAx>
        <c:axId val="316505608"/>
        <c:scaling>
          <c:orientation val="minMax"/>
          <c:min val="0"/>
        </c:scaling>
        <c:delete val="0"/>
        <c:axPos val="l"/>
        <c:majorGridlines>
          <c:spPr>
            <a:ln w="3175">
              <a:solidFill>
                <a:srgbClr val="000000"/>
              </a:solidFill>
              <a:prstDash val="solid"/>
            </a:ln>
          </c:spPr>
        </c:majorGridlines>
        <c:title>
          <c:tx>
            <c:rich>
              <a:bodyPr rot="0" vert="horz"/>
              <a:lstStyle/>
              <a:p>
                <a:pPr algn="ctr">
                  <a:defRPr sz="980" b="1" i="0" u="none" strike="noStrike" baseline="0">
                    <a:solidFill>
                      <a:srgbClr val="000000"/>
                    </a:solidFill>
                    <a:latin typeface="Arial"/>
                    <a:ea typeface="Arial"/>
                    <a:cs typeface="Arial"/>
                  </a:defRPr>
                </a:pPr>
                <a:r>
                  <a:rPr lang="pl-PL" sz="980"/>
                  <a:t>liczba
obwinionych</a:t>
                </a:r>
              </a:p>
            </c:rich>
          </c:tx>
          <c:layout>
            <c:manualLayout>
              <c:xMode val="edge"/>
              <c:yMode val="edge"/>
              <c:x val="1.7746715769055996E-2"/>
              <c:y val="0.54193584622381497"/>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pl-PL"/>
          </a:p>
        </c:txPr>
        <c:crossAx val="316084704"/>
        <c:crosses val="autoZero"/>
        <c:crossBetween val="between"/>
      </c:valAx>
      <c:spPr>
        <a:noFill/>
        <a:ln w="25400">
          <a:noFill/>
        </a:ln>
      </c:spPr>
    </c:plotArea>
    <c:plotVisOnly val="1"/>
    <c:dispBlanksAs val="gap"/>
    <c:showDLblsOverMax val="0"/>
  </c:chart>
  <c:spPr>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6200000" scaled="1"/>
      <a:tileRect/>
    </a:gra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a:ea typeface="Arial"/>
          <a:cs typeface="Arial"/>
        </a:defRPr>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pl-PL" sz="1200"/>
              <a:t>Orzeczenia o uznaniu odpowiedzialności</a:t>
            </a:r>
          </a:p>
        </c:rich>
      </c:tx>
      <c:layout>
        <c:manualLayout>
          <c:xMode val="edge"/>
          <c:yMode val="edge"/>
          <c:x val="0.29837758414138421"/>
          <c:y val="5.938605944085916E-2"/>
        </c:manualLayout>
      </c:layout>
      <c:overlay val="0"/>
      <c:spPr>
        <a:noFill/>
        <a:ln w="25400">
          <a:noFill/>
        </a:ln>
      </c:spPr>
    </c:title>
    <c:autoTitleDeleted val="0"/>
    <c:view3D>
      <c:rotX val="15"/>
      <c:hPercent val="3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5593063343502326"/>
          <c:y val="0.26201992274924191"/>
          <c:w val="0.70536979458921045"/>
          <c:h val="0.48798205796418459"/>
        </c:manualLayout>
      </c:layout>
      <c:bar3DChart>
        <c:barDir val="col"/>
        <c:grouping val="clustered"/>
        <c:varyColors val="1"/>
        <c:ser>
          <c:idx val="0"/>
          <c:order val="0"/>
          <c:spPr>
            <a:solidFill>
              <a:srgbClr val="9999FF"/>
            </a:solidFill>
            <a:ln w="12700">
              <a:solidFill>
                <a:srgbClr val="000000"/>
              </a:solidFill>
              <a:prstDash val="solid"/>
            </a:ln>
          </c:spPr>
          <c:invertIfNegative val="0"/>
          <c:dPt>
            <c:idx val="0"/>
            <c:invertIfNegative val="0"/>
            <c:bubble3D val="0"/>
            <c:spPr>
              <a:solidFill>
                <a:srgbClr val="9999FF"/>
              </a:solidFill>
              <a:ln w="12700">
                <a:solidFill>
                  <a:srgbClr val="000000"/>
                </a:solidFill>
                <a:prstDash val="solid"/>
              </a:ln>
            </c:spPr>
          </c:dPt>
          <c:dPt>
            <c:idx val="1"/>
            <c:invertIfNegative val="0"/>
            <c:bubble3D val="0"/>
            <c:spPr>
              <a:solidFill>
                <a:srgbClr val="993366"/>
              </a:solidFill>
              <a:ln w="12700">
                <a:solidFill>
                  <a:srgbClr val="000000"/>
                </a:solidFill>
                <a:prstDash val="solid"/>
              </a:ln>
            </c:spPr>
          </c:dPt>
          <c:dPt>
            <c:idx val="2"/>
            <c:invertIfNegative val="0"/>
            <c:bubble3D val="0"/>
            <c:spPr>
              <a:solidFill>
                <a:srgbClr val="FFFFCC"/>
              </a:solidFill>
              <a:ln w="12700">
                <a:solidFill>
                  <a:srgbClr val="000000"/>
                </a:solidFill>
                <a:prstDash val="solid"/>
              </a:ln>
            </c:spPr>
          </c:dPt>
          <c:dPt>
            <c:idx val="3"/>
            <c:invertIfNegative val="0"/>
            <c:bubble3D val="0"/>
            <c:spPr>
              <a:solidFill>
                <a:srgbClr val="92D050"/>
              </a:solidFill>
              <a:ln w="12700">
                <a:solidFill>
                  <a:srgbClr val="000000"/>
                </a:solidFill>
                <a:prstDash val="solid"/>
              </a:ln>
            </c:spPr>
          </c:dPt>
          <c:dLbls>
            <c:dLbl>
              <c:idx val="0"/>
              <c:layout>
                <c:manualLayout>
                  <c:x val="5.1135285146713266E-4"/>
                  <c:y val="0.12440332594506558"/>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667648464141485E-3"/>
                  <c:y val="0.1165317593465669"/>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470667164110721E-3"/>
                  <c:y val="0.1200407783397215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12052877138413685"/>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sz="12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Wykresy!$C$141:$F$141</c:f>
              <c:numCache>
                <c:formatCode>General</c:formatCode>
                <c:ptCount val="4"/>
                <c:pt idx="0">
                  <c:v>2015</c:v>
                </c:pt>
                <c:pt idx="1">
                  <c:v>2016</c:v>
                </c:pt>
                <c:pt idx="2">
                  <c:v>2017</c:v>
                </c:pt>
                <c:pt idx="3">
                  <c:v>2018</c:v>
                </c:pt>
              </c:numCache>
            </c:numRef>
          </c:cat>
          <c:val>
            <c:numRef>
              <c:f>Wykresy!$C$142:$F$142</c:f>
              <c:numCache>
                <c:formatCode>#,##0</c:formatCode>
                <c:ptCount val="4"/>
                <c:pt idx="0">
                  <c:v>783</c:v>
                </c:pt>
                <c:pt idx="1">
                  <c:v>761</c:v>
                </c:pt>
                <c:pt idx="2">
                  <c:v>763</c:v>
                </c:pt>
                <c:pt idx="3">
                  <c:v>717</c:v>
                </c:pt>
              </c:numCache>
            </c:numRef>
          </c:val>
        </c:ser>
        <c:dLbls>
          <c:showLegendKey val="0"/>
          <c:showVal val="1"/>
          <c:showCatName val="0"/>
          <c:showSerName val="0"/>
          <c:showPercent val="0"/>
          <c:showBubbleSize val="0"/>
        </c:dLbls>
        <c:gapWidth val="116"/>
        <c:shape val="box"/>
        <c:axId val="316503648"/>
        <c:axId val="316505216"/>
        <c:axId val="0"/>
      </c:bar3DChart>
      <c:catAx>
        <c:axId val="316503648"/>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pl-PL"/>
                  <a:t>lata</a:t>
                </a:r>
              </a:p>
            </c:rich>
          </c:tx>
          <c:layout>
            <c:manualLayout>
              <c:xMode val="edge"/>
              <c:yMode val="edge"/>
              <c:x val="0.88835178112488866"/>
              <c:y val="0.77546135854324583"/>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pl-PL"/>
          </a:p>
        </c:txPr>
        <c:crossAx val="316505216"/>
        <c:crosses val="autoZero"/>
        <c:auto val="1"/>
        <c:lblAlgn val="ctr"/>
        <c:lblOffset val="100"/>
        <c:tickLblSkip val="1"/>
        <c:tickMarkSkip val="1"/>
        <c:noMultiLvlLbl val="0"/>
      </c:catAx>
      <c:valAx>
        <c:axId val="316505216"/>
        <c:scaling>
          <c:orientation val="minMax"/>
          <c:min val="0"/>
        </c:scaling>
        <c:delete val="0"/>
        <c:axPos val="l"/>
        <c:majorGridlines>
          <c:spPr>
            <a:ln w="3175">
              <a:solidFill>
                <a:srgbClr val="000000"/>
              </a:solidFill>
              <a:prstDash val="solid"/>
            </a:ln>
          </c:spPr>
        </c:majorGridlines>
        <c:title>
          <c:tx>
            <c:rich>
              <a:bodyPr rot="0" vert="horz"/>
              <a:lstStyle/>
              <a:p>
                <a:pPr algn="ctr">
                  <a:defRPr sz="900" b="1" i="0" u="none" strike="noStrike" baseline="0">
                    <a:solidFill>
                      <a:srgbClr val="000000"/>
                    </a:solidFill>
                    <a:latin typeface="Arial"/>
                    <a:ea typeface="Arial"/>
                    <a:cs typeface="Arial"/>
                  </a:defRPr>
                </a:pPr>
                <a:r>
                  <a:rPr lang="pl-PL"/>
                  <a:t>liczba odpowiedzialnych</a:t>
                </a:r>
              </a:p>
            </c:rich>
          </c:tx>
          <c:layout>
            <c:manualLayout>
              <c:xMode val="edge"/>
              <c:yMode val="edge"/>
              <c:x val="9.8595164731633163E-3"/>
              <c:y val="0.49597227883699191"/>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pl-PL"/>
          </a:p>
        </c:txPr>
        <c:crossAx val="316503648"/>
        <c:crosses val="autoZero"/>
        <c:crossBetween val="between"/>
      </c:valAx>
      <c:spPr>
        <a:noFill/>
        <a:ln w="25400">
          <a:noFill/>
        </a:ln>
      </c:spPr>
    </c:plotArea>
    <c:plotVisOnly val="1"/>
    <c:dispBlanksAs val="gap"/>
    <c:showDLblsOverMax val="0"/>
  </c:chart>
  <c:spPr>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6200000" scaled="1"/>
      <a:tileRect/>
    </a:gra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a:ea typeface="Arial"/>
          <a:cs typeface="Arial"/>
        </a:defRPr>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pl-PL" sz="1200"/>
              <a:t>Naruszenia dyscypliny finansów publicznych</a:t>
            </a:r>
            <a:br>
              <a:rPr lang="pl-PL" sz="1200"/>
            </a:br>
            <a:r>
              <a:rPr lang="pl-PL" sz="1200"/>
              <a:t> najczęściej przypisywane w 2018 r.</a:t>
            </a:r>
          </a:p>
        </c:rich>
      </c:tx>
      <c:layout>
        <c:manualLayout>
          <c:xMode val="edge"/>
          <c:yMode val="edge"/>
          <c:x val="0.26843795459687497"/>
          <c:y val="7.5194104386586705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pl-PL"/>
        </a:p>
      </c:txPr>
    </c:title>
    <c:autoTitleDeleted val="0"/>
    <c:view3D>
      <c:rotX val="20"/>
      <c:rotY val="20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568665694012072"/>
          <c:y val="0.35925130121446686"/>
          <c:w val="0.80595995842798251"/>
          <c:h val="0.50471185476613589"/>
        </c:manualLayout>
      </c:layout>
      <c:pie3DChart>
        <c:varyColors val="1"/>
        <c:ser>
          <c:idx val="0"/>
          <c:order val="0"/>
          <c:tx>
            <c:strRef>
              <c:f>Wykresy!$B$271:$B$278</c:f>
              <c:strCache>
                <c:ptCount val="8"/>
                <c:pt idx="0">
                  <c:v>art. 17 "zamówienia publiczne"</c:v>
                </c:pt>
                <c:pt idx="1">
                  <c:v>art. 11 "wydatki"</c:v>
                </c:pt>
                <c:pt idx="2">
                  <c:v>art. 18 pkt 2 "sprawozdania"</c:v>
                </c:pt>
                <c:pt idx="3">
                  <c:v>art. 18 pkt 1 "inwentaryzacja"</c:v>
                </c:pt>
                <c:pt idx="4">
                  <c:v>art. 15 "zaciągnięcie zobowiązania"</c:v>
                </c:pt>
                <c:pt idx="5">
                  <c:v>art. 18b "wstępna kontrola operacji gos. i fin."</c:v>
                </c:pt>
                <c:pt idx="6">
                  <c:v>art. 9 </c:v>
                </c:pt>
                <c:pt idx="7">
                  <c:v>pozostałe artykuły łącznie</c:v>
                </c:pt>
              </c:strCache>
            </c:strRef>
          </c:tx>
          <c:explosion val="19"/>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explosion val="14"/>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dPt>
          <c:dPt>
            <c:idx val="7"/>
            <c:bubble3D val="0"/>
            <c:explosion val="11"/>
            <c:spPr>
              <a:solidFill>
                <a:schemeClr val="accent2">
                  <a:lumMod val="60000"/>
                </a:schemeClr>
              </a:solidFill>
              <a:ln>
                <a:noFill/>
              </a:ln>
              <a:effectLst>
                <a:outerShdw blurRad="254000" sx="102000" sy="102000" algn="ctr" rotWithShape="0">
                  <a:prstClr val="black">
                    <a:alpha val="20000"/>
                  </a:prstClr>
                </a:outerShdw>
              </a:effectLst>
              <a:sp3d/>
            </c:spPr>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dPt>
          <c:dLbls>
            <c:dLbl>
              <c:idx val="0"/>
              <c:layout>
                <c:manualLayout>
                  <c:x val="2.8332004222185992E-3"/>
                  <c:y val="5.6374887445638641E-3"/>
                </c:manualLayout>
              </c:layout>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850" b="1" i="0" u="none" strike="noStrike" kern="1200" baseline="0">
                      <a:solidFill>
                        <a:schemeClr val="lt1"/>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layout>
                    <c:manualLayout>
                      <c:w val="9.7403458785940839E-2"/>
                      <c:h val="8.7227490724243392E-2"/>
                    </c:manualLayout>
                  </c15:layout>
                </c:ext>
              </c:extLst>
            </c:dLbl>
            <c:dLbl>
              <c:idx val="1"/>
              <c:layout>
                <c:manualLayout>
                  <c:x val="1.5725492523857312E-2"/>
                  <c:y val="-3.5743050366879324E-2"/>
                </c:manualLayout>
              </c:layout>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850" b="1" i="0" u="none" strike="noStrike" kern="1200" baseline="0">
                      <a:solidFill>
                        <a:schemeClr val="lt1"/>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layout>
                    <c:manualLayout>
                      <c:w val="7.6412105320659895E-2"/>
                      <c:h val="8.0324412003244111E-2"/>
                    </c:manualLayout>
                  </c15:layout>
                </c:ext>
              </c:extLst>
            </c:dLbl>
            <c:dLbl>
              <c:idx val="2"/>
              <c:layout>
                <c:manualLayout>
                  <c:x val="1.7843822291669541E-2"/>
                  <c:y val="-2.3047219381801074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6.8222994314761684E-2"/>
                  <c:y val="-1.4881833747542287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2.0407576879832169E-2"/>
                  <c:y val="-3.2066338423025587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7.2041953457882668E-2"/>
                      <c:h val="7.7080291970802906E-2"/>
                    </c:manualLayout>
                  </c15:layout>
                </c:ext>
              </c:extLst>
            </c:dLbl>
            <c:dLbl>
              <c:idx val="5"/>
              <c:layout>
                <c:manualLayout>
                  <c:x val="-3.6440872619536126E-4"/>
                  <c:y val="-3.6126725035282997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1.0356469611770567E-2"/>
                  <c:y val="2.5112249293075119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7"/>
              <c:layout>
                <c:manualLayout>
                  <c:x val="-6.140011751235127E-2"/>
                  <c:y val="1.6575665268118856E-3"/>
                </c:manualLayout>
              </c:layout>
              <c:tx>
                <c:rich>
                  <a:bodyPr rot="0" spcFirstLastPara="1" vertOverflow="ellipsis" vert="horz" wrap="square" lIns="38100" tIns="19050" rIns="38100" bIns="19050" anchor="ctr" anchorCtr="1">
                    <a:noAutofit/>
                  </a:bodyPr>
                  <a:lstStyle/>
                  <a:p>
                    <a:pPr>
                      <a:defRPr sz="850" b="1" i="0" u="none" strike="noStrike" kern="1200" baseline="0">
                        <a:solidFill>
                          <a:schemeClr val="lt1"/>
                        </a:solidFill>
                        <a:latin typeface="+mn-lt"/>
                        <a:ea typeface="+mn-ea"/>
                        <a:cs typeface="+mn-cs"/>
                      </a:defRPr>
                    </a:pPr>
                    <a:fld id="{FCA993DB-CEB2-4C54-93EA-FDFE7C29E619}" type="PERCENTAGE">
                      <a:rPr lang="en-US" sz="850"/>
                      <a:pPr>
                        <a:defRPr sz="850"/>
                      </a:pPr>
                      <a:t>[PROCENTOWE]</a:t>
                    </a:fld>
                    <a:r>
                      <a:rPr lang="en-US" sz="850"/>
                      <a:t> </a:t>
                    </a:r>
                    <a:br>
                      <a:rPr lang="en-US" sz="850"/>
                    </a:br>
                    <a:r>
                      <a:rPr lang="en-US" sz="850"/>
                      <a:t>pozostałe art.</a:t>
                    </a:r>
                    <a:r>
                      <a:rPr lang="en-US" sz="850" baseline="0"/>
                      <a:t> łącznie</a:t>
                    </a:r>
                  </a:p>
                </c:rich>
              </c:tx>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850" b="1" i="0" u="none" strike="noStrike" kern="1200" baseline="0">
                      <a:solidFill>
                        <a:schemeClr val="lt1"/>
                      </a:solidFill>
                      <a:latin typeface="+mn-lt"/>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layout>
                    <c:manualLayout>
                      <c:w val="0.20374473839737584"/>
                      <c:h val="0.10484561692562153"/>
                    </c:manualLayout>
                  </c15:layout>
                  <c15:dlblFieldTable/>
                  <c15:showDataLabelsRange val="0"/>
                </c:ext>
              </c:extLst>
            </c:dLbl>
            <c:dLbl>
              <c:idx val="8"/>
              <c:dLblPos val="ctr"/>
              <c:showLegendKey val="0"/>
              <c:showVal val="0"/>
              <c:showCatName val="0"/>
              <c:showSerName val="0"/>
              <c:showPercent val="1"/>
              <c:showBubbleSize val="0"/>
              <c:extLst>
                <c:ext xmlns:c15="http://schemas.microsoft.com/office/drawing/2012/chart" uri="{CE6537A1-D6FC-4f65-9D91-7224C49458BB}"/>
              </c:extLst>
            </c:dLbl>
            <c:dLbl>
              <c:idx val="9"/>
              <c:layout>
                <c:manualLayout>
                  <c:x val="-0.11349158107761242"/>
                  <c:y val="2.0539286987814353E-5"/>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50" b="1" i="0" u="none" strike="noStrike" kern="1200" baseline="0">
                    <a:solidFill>
                      <a:schemeClr val="lt1"/>
                    </a:solidFill>
                    <a:latin typeface="+mn-lt"/>
                    <a:ea typeface="+mn-ea"/>
                    <a:cs typeface="+mn-cs"/>
                  </a:defRPr>
                </a:pPr>
                <a:endParaRPr lang="pl-PL"/>
              </a:p>
            </c:txPr>
            <c:dLblPos val="ctr"/>
            <c:showLegendKey val="0"/>
            <c:showVal val="0"/>
            <c:showCatName val="1"/>
            <c:showSerName val="0"/>
            <c:showPercent val="1"/>
            <c:showBubbleSize val="0"/>
            <c:showLeaderLines val="0"/>
            <c:extLst>
              <c:ext xmlns:c15="http://schemas.microsoft.com/office/drawing/2012/chart" uri="{CE6537A1-D6FC-4f65-9D91-7224C49458BB}"/>
            </c:extLst>
          </c:dLbls>
          <c:cat>
            <c:strRef>
              <c:f>Wykresy!$C$271:$C$278</c:f>
              <c:strCache>
                <c:ptCount val="8"/>
                <c:pt idx="0">
                  <c:v>art. 17</c:v>
                </c:pt>
                <c:pt idx="1">
                  <c:v>art. 11</c:v>
                </c:pt>
                <c:pt idx="2">
                  <c:v>art. 18 pkt 2</c:v>
                </c:pt>
                <c:pt idx="3">
                  <c:v>art. 18 pkt 1</c:v>
                </c:pt>
                <c:pt idx="4">
                  <c:v>art. 15</c:v>
                </c:pt>
                <c:pt idx="5">
                  <c:v>art. 18b</c:v>
                </c:pt>
                <c:pt idx="6">
                  <c:v>art. 9 </c:v>
                </c:pt>
                <c:pt idx="7">
                  <c:v>pozostałe artykuły łącznie</c:v>
                </c:pt>
              </c:strCache>
            </c:strRef>
          </c:cat>
          <c:val>
            <c:numRef>
              <c:f>Wykresy!$D$271:$D$278</c:f>
              <c:numCache>
                <c:formatCode>#,##0</c:formatCode>
                <c:ptCount val="8"/>
                <c:pt idx="0">
                  <c:v>183</c:v>
                </c:pt>
                <c:pt idx="1">
                  <c:v>107</c:v>
                </c:pt>
                <c:pt idx="2">
                  <c:v>136</c:v>
                </c:pt>
                <c:pt idx="3">
                  <c:v>137</c:v>
                </c:pt>
                <c:pt idx="4">
                  <c:v>78</c:v>
                </c:pt>
                <c:pt idx="5">
                  <c:v>53</c:v>
                </c:pt>
                <c:pt idx="6">
                  <c:v>138</c:v>
                </c:pt>
                <c:pt idx="7">
                  <c:v>180</c:v>
                </c:pt>
              </c:numCache>
            </c:numRef>
          </c:val>
        </c:ser>
        <c:dLbls>
          <c:dLblPos val="ctr"/>
          <c:showLegendKey val="0"/>
          <c:showVal val="0"/>
          <c:showCatName val="1"/>
          <c:showSerName val="0"/>
          <c:showPercent val="1"/>
          <c:showBubbleSize val="0"/>
          <c:showLeaderLines val="0"/>
        </c:dLbls>
      </c:pie3DChart>
      <c:spPr>
        <a:noFill/>
        <a:ln>
          <a:noFill/>
        </a:ln>
        <a:effectLst/>
      </c:spPr>
    </c:plotArea>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pl-PL" sz="1200"/>
              <a:t>Sprawy oczekujące na rozstrzygnicie na koniec roku </a:t>
            </a:r>
          </a:p>
        </c:rich>
      </c:tx>
      <c:layout>
        <c:manualLayout>
          <c:xMode val="edge"/>
          <c:yMode val="edge"/>
          <c:x val="0.19863688259769643"/>
          <c:y val="0.11799682000466687"/>
        </c:manualLayout>
      </c:layout>
      <c:overlay val="0"/>
      <c:spPr>
        <a:noFill/>
        <a:ln w="25400">
          <a:noFill/>
        </a:ln>
      </c:spPr>
    </c:title>
    <c:autoTitleDeleted val="0"/>
    <c:view3D>
      <c:rotX val="15"/>
      <c:hPercent val="3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0326242016793339"/>
          <c:y val="0.22921921405758461"/>
          <c:w val="0.76286142877841656"/>
          <c:h val="0.53904298690464958"/>
        </c:manualLayout>
      </c:layout>
      <c:bar3DChart>
        <c:barDir val="col"/>
        <c:grouping val="clustered"/>
        <c:varyColors val="1"/>
        <c:ser>
          <c:idx val="0"/>
          <c:order val="0"/>
          <c:spPr>
            <a:solidFill>
              <a:srgbClr val="9999FF"/>
            </a:solidFill>
            <a:ln w="12700">
              <a:solidFill>
                <a:srgbClr val="000000"/>
              </a:solidFill>
              <a:prstDash val="solid"/>
            </a:ln>
          </c:spPr>
          <c:invertIfNegative val="0"/>
          <c:dPt>
            <c:idx val="0"/>
            <c:invertIfNegative val="0"/>
            <c:bubble3D val="0"/>
            <c:spPr>
              <a:solidFill>
                <a:srgbClr val="9999FF"/>
              </a:solidFill>
              <a:ln w="12700">
                <a:solidFill>
                  <a:srgbClr val="000000"/>
                </a:solidFill>
                <a:prstDash val="solid"/>
              </a:ln>
            </c:spPr>
          </c:dPt>
          <c:dPt>
            <c:idx val="1"/>
            <c:invertIfNegative val="0"/>
            <c:bubble3D val="0"/>
            <c:spPr>
              <a:solidFill>
                <a:srgbClr val="993366"/>
              </a:solidFill>
              <a:ln w="12700">
                <a:solidFill>
                  <a:srgbClr val="000000"/>
                </a:solidFill>
                <a:prstDash val="solid"/>
              </a:ln>
            </c:spPr>
          </c:dPt>
          <c:dPt>
            <c:idx val="2"/>
            <c:invertIfNegative val="0"/>
            <c:bubble3D val="0"/>
            <c:spPr>
              <a:solidFill>
                <a:srgbClr val="FFFFCC"/>
              </a:solidFill>
              <a:ln w="12700">
                <a:solidFill>
                  <a:srgbClr val="000000"/>
                </a:solidFill>
                <a:prstDash val="solid"/>
              </a:ln>
            </c:spPr>
          </c:dPt>
          <c:dPt>
            <c:idx val="3"/>
            <c:invertIfNegative val="0"/>
            <c:bubble3D val="0"/>
            <c:spPr>
              <a:solidFill>
                <a:srgbClr val="92D050"/>
              </a:solidFill>
              <a:ln w="12700">
                <a:solidFill>
                  <a:srgbClr val="000000"/>
                </a:solidFill>
                <a:prstDash val="solid"/>
              </a:ln>
            </c:spPr>
          </c:dPt>
          <c:dLbls>
            <c:dLbl>
              <c:idx val="0"/>
              <c:layout>
                <c:manualLayout>
                  <c:x val="1.084279587067413E-3"/>
                  <c:y val="0.2069184969099933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805221226979437E-3"/>
                  <c:y val="0.20711391011263178"/>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8652081241522664E-4"/>
                  <c:y val="0.16478190386048283"/>
                </c:manualLayout>
              </c:layout>
              <c:showLegendKey val="0"/>
              <c:showVal val="1"/>
              <c:showCatName val="0"/>
              <c:showSerName val="0"/>
              <c:showPercent val="0"/>
              <c:showBubbleSize val="0"/>
              <c:extLst>
                <c:ext xmlns:c15="http://schemas.microsoft.com/office/drawing/2012/chart" uri="{CE6537A1-D6FC-4f65-9D91-7224C49458BB}">
                  <c15:layout>
                    <c:manualLayout>
                      <c:w val="5.6342193802955839E-2"/>
                      <c:h val="7.3401534526854204E-2"/>
                    </c:manualLayout>
                  </c15:layout>
                </c:ext>
              </c:extLst>
            </c:dLbl>
            <c:dLbl>
              <c:idx val="3"/>
              <c:layout>
                <c:manualLayout>
                  <c:x val="4.3459365493263794E-3"/>
                  <c:y val="0.16299918500407498"/>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sz="115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Wykresy!$C$86:$F$86</c:f>
              <c:numCache>
                <c:formatCode>General</c:formatCode>
                <c:ptCount val="4"/>
                <c:pt idx="0">
                  <c:v>2015</c:v>
                </c:pt>
                <c:pt idx="1">
                  <c:v>2016</c:v>
                </c:pt>
                <c:pt idx="2">
                  <c:v>2017</c:v>
                </c:pt>
                <c:pt idx="3">
                  <c:v>2018</c:v>
                </c:pt>
              </c:numCache>
            </c:numRef>
          </c:cat>
          <c:val>
            <c:numRef>
              <c:f>Wykresy!$C$55:$F$55</c:f>
              <c:numCache>
                <c:formatCode>#,##0</c:formatCode>
                <c:ptCount val="4"/>
                <c:pt idx="0">
                  <c:v>300</c:v>
                </c:pt>
                <c:pt idx="1">
                  <c:v>352</c:v>
                </c:pt>
                <c:pt idx="2">
                  <c:v>367</c:v>
                </c:pt>
                <c:pt idx="3">
                  <c:v>352</c:v>
                </c:pt>
              </c:numCache>
            </c:numRef>
          </c:val>
        </c:ser>
        <c:dLbls>
          <c:showLegendKey val="0"/>
          <c:showVal val="1"/>
          <c:showCatName val="0"/>
          <c:showSerName val="0"/>
          <c:showPercent val="0"/>
          <c:showBubbleSize val="0"/>
        </c:dLbls>
        <c:gapWidth val="114"/>
        <c:shape val="box"/>
        <c:axId val="316504040"/>
        <c:axId val="316503256"/>
        <c:axId val="0"/>
      </c:bar3DChart>
      <c:catAx>
        <c:axId val="316504040"/>
        <c:scaling>
          <c:orientation val="minMax"/>
        </c:scaling>
        <c:delete val="0"/>
        <c:axPos val="b"/>
        <c:title>
          <c:tx>
            <c:rich>
              <a:bodyPr/>
              <a:lstStyle/>
              <a:p>
                <a:pPr>
                  <a:defRPr sz="975" b="1" i="0" u="none" strike="noStrike" baseline="0">
                    <a:solidFill>
                      <a:srgbClr val="000000"/>
                    </a:solidFill>
                    <a:latin typeface="Arial"/>
                    <a:ea typeface="Arial"/>
                    <a:cs typeface="Arial"/>
                  </a:defRPr>
                </a:pPr>
                <a:r>
                  <a:rPr lang="pl-PL"/>
                  <a:t>lata </a:t>
                </a:r>
              </a:p>
            </c:rich>
          </c:tx>
          <c:layout>
            <c:manualLayout>
              <c:xMode val="edge"/>
              <c:yMode val="edge"/>
              <c:x val="0.86538307548583804"/>
              <c:y val="0.81004241829184553"/>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pl-PL"/>
          </a:p>
        </c:txPr>
        <c:crossAx val="316503256"/>
        <c:crosses val="autoZero"/>
        <c:auto val="1"/>
        <c:lblAlgn val="ctr"/>
        <c:lblOffset val="100"/>
        <c:tickLblSkip val="1"/>
        <c:tickMarkSkip val="1"/>
        <c:noMultiLvlLbl val="0"/>
      </c:catAx>
      <c:valAx>
        <c:axId val="316503256"/>
        <c:scaling>
          <c:orientation val="minMax"/>
        </c:scaling>
        <c:delete val="0"/>
        <c:axPos val="l"/>
        <c:majorGridlines>
          <c:spPr>
            <a:ln w="3175">
              <a:solidFill>
                <a:srgbClr val="000000"/>
              </a:solidFill>
              <a:prstDash val="solid"/>
            </a:ln>
          </c:spPr>
        </c:majorGridlines>
        <c:title>
          <c:tx>
            <c:rich>
              <a:bodyPr rot="0" vert="horz"/>
              <a:lstStyle/>
              <a:p>
                <a:pPr algn="ctr">
                  <a:defRPr sz="975" b="1" i="0" u="none" strike="noStrike" baseline="0">
                    <a:solidFill>
                      <a:srgbClr val="000000"/>
                    </a:solidFill>
                    <a:latin typeface="Arial"/>
                    <a:ea typeface="Arial"/>
                    <a:cs typeface="Arial"/>
                  </a:defRPr>
                </a:pPr>
                <a:r>
                  <a:rPr lang="pl-PL"/>
                  <a:t>liczba
obwinionych</a:t>
                </a:r>
              </a:p>
            </c:rich>
          </c:tx>
          <c:layout>
            <c:manualLayout>
              <c:xMode val="edge"/>
              <c:yMode val="edge"/>
              <c:x val="1.9640446552819067E-2"/>
              <c:y val="0.4902236849959572"/>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pl-PL"/>
          </a:p>
        </c:txPr>
        <c:crossAx val="316504040"/>
        <c:crosses val="autoZero"/>
        <c:crossBetween val="between"/>
      </c:valAx>
      <c:spPr>
        <a:noFill/>
        <a:ln w="25400">
          <a:noFill/>
        </a:ln>
      </c:spPr>
    </c:plotArea>
    <c:plotVisOnly val="1"/>
    <c:dispBlanksAs val="gap"/>
    <c:showDLblsOverMax val="0"/>
  </c:chart>
  <c:spPr>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6200000" scaled="1"/>
      <a:tileRect/>
    </a:gra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a:ea typeface="Arial"/>
          <a:cs typeface="Arial"/>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pl-PL" sz="1200"/>
              <a:t>Odwołania, które wpłynęły do rozpoznania</a:t>
            </a:r>
          </a:p>
        </c:rich>
      </c:tx>
      <c:layout>
        <c:manualLayout>
          <c:xMode val="edge"/>
          <c:yMode val="edge"/>
          <c:x val="0.24573300567613152"/>
          <c:y val="6.5318992464358169E-2"/>
        </c:manualLayout>
      </c:layout>
      <c:overlay val="0"/>
      <c:spPr>
        <a:noFill/>
        <a:ln w="25400">
          <a:noFill/>
        </a:ln>
      </c:spPr>
    </c:title>
    <c:autoTitleDeleted val="0"/>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6074004990134508"/>
          <c:y val="0.1578949783745533"/>
          <c:w val="0.81508007604841359"/>
          <c:h val="0.63157991349821319"/>
        </c:manualLayout>
      </c:layout>
      <c:bar3DChart>
        <c:barDir val="col"/>
        <c:grouping val="clustered"/>
        <c:varyColors val="1"/>
        <c:ser>
          <c:idx val="0"/>
          <c:order val="0"/>
          <c:spPr>
            <a:solidFill>
              <a:srgbClr val="9999FF"/>
            </a:solidFill>
            <a:ln w="12700">
              <a:solidFill>
                <a:srgbClr val="000000"/>
              </a:solidFill>
              <a:prstDash val="solid"/>
            </a:ln>
          </c:spPr>
          <c:invertIfNegative val="0"/>
          <c:dPt>
            <c:idx val="0"/>
            <c:invertIfNegative val="0"/>
            <c:bubble3D val="0"/>
            <c:spPr>
              <a:solidFill>
                <a:srgbClr val="9999FF"/>
              </a:solidFill>
              <a:ln w="12700">
                <a:solidFill>
                  <a:srgbClr val="000000"/>
                </a:solidFill>
                <a:prstDash val="solid"/>
              </a:ln>
            </c:spPr>
          </c:dPt>
          <c:dPt>
            <c:idx val="1"/>
            <c:invertIfNegative val="0"/>
            <c:bubble3D val="0"/>
            <c:spPr>
              <a:solidFill>
                <a:srgbClr val="993366"/>
              </a:solidFill>
              <a:ln w="12700">
                <a:solidFill>
                  <a:srgbClr val="000000"/>
                </a:solidFill>
                <a:prstDash val="solid"/>
              </a:ln>
            </c:spPr>
          </c:dPt>
          <c:dPt>
            <c:idx val="2"/>
            <c:invertIfNegative val="0"/>
            <c:bubble3D val="0"/>
            <c:spPr>
              <a:solidFill>
                <a:srgbClr val="FFFFCC"/>
              </a:solidFill>
              <a:ln w="12700">
                <a:solidFill>
                  <a:srgbClr val="000000"/>
                </a:solidFill>
                <a:prstDash val="solid"/>
              </a:ln>
            </c:spPr>
          </c:dPt>
          <c:dPt>
            <c:idx val="3"/>
            <c:invertIfNegative val="0"/>
            <c:bubble3D val="0"/>
            <c:spPr>
              <a:solidFill>
                <a:srgbClr val="92D050"/>
              </a:solidFill>
              <a:ln w="12700">
                <a:solidFill>
                  <a:srgbClr val="000000"/>
                </a:solidFill>
                <a:prstDash val="solid"/>
              </a:ln>
            </c:spPr>
          </c:dPt>
          <c:dLbls>
            <c:dLbl>
              <c:idx val="0"/>
              <c:layout>
                <c:manualLayout>
                  <c:x val="2.9808297078958322E-3"/>
                  <c:y val="9.81329533482158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974450659505965E-3"/>
                  <c:y val="9.914045454928123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176368245576698E-3"/>
                  <c:y val="9.814562653352541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6928030097433812E-17"/>
                  <c:y val="0.108604845446950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sz="11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'[KO zbiorcze spr roczne 2018.xlsx]Wykresy GKO (2)'!$C$29:$F$29</c:f>
              <c:numCache>
                <c:formatCode>General</c:formatCode>
                <c:ptCount val="4"/>
                <c:pt idx="0">
                  <c:v>2015</c:v>
                </c:pt>
                <c:pt idx="1">
                  <c:v>2016</c:v>
                </c:pt>
                <c:pt idx="2">
                  <c:v>2017</c:v>
                </c:pt>
                <c:pt idx="3">
                  <c:v>2018</c:v>
                </c:pt>
              </c:numCache>
            </c:numRef>
          </c:cat>
          <c:val>
            <c:numRef>
              <c:f>'[KO zbiorcze spr roczne 2018.xlsx]Wykresy GKO (2)'!$C$30:$F$30</c:f>
              <c:numCache>
                <c:formatCode>#,##0</c:formatCode>
                <c:ptCount val="4"/>
                <c:pt idx="0">
                  <c:v>148</c:v>
                </c:pt>
                <c:pt idx="1">
                  <c:v>116</c:v>
                </c:pt>
                <c:pt idx="2">
                  <c:v>112</c:v>
                </c:pt>
                <c:pt idx="3">
                  <c:v>125</c:v>
                </c:pt>
              </c:numCache>
            </c:numRef>
          </c:val>
        </c:ser>
        <c:dLbls>
          <c:showLegendKey val="0"/>
          <c:showVal val="1"/>
          <c:showCatName val="0"/>
          <c:showSerName val="0"/>
          <c:showPercent val="0"/>
          <c:showBubbleSize val="0"/>
        </c:dLbls>
        <c:gapWidth val="150"/>
        <c:shape val="box"/>
        <c:axId val="315361656"/>
        <c:axId val="315360088"/>
        <c:axId val="0"/>
      </c:bar3DChart>
      <c:catAx>
        <c:axId val="315361656"/>
        <c:scaling>
          <c:orientation val="minMax"/>
        </c:scaling>
        <c:delete val="0"/>
        <c:axPos val="b"/>
        <c:title>
          <c:tx>
            <c:rich>
              <a:bodyPr/>
              <a:lstStyle/>
              <a:p>
                <a:pPr>
                  <a:defRPr sz="900" b="1" i="0" u="none" strike="noStrike" baseline="0">
                    <a:solidFill>
                      <a:srgbClr val="000000"/>
                    </a:solidFill>
                    <a:latin typeface="Arial"/>
                    <a:ea typeface="Arial"/>
                    <a:cs typeface="Arial"/>
                  </a:defRPr>
                </a:pPr>
                <a:r>
                  <a:rPr lang="pl-PL"/>
                  <a:t>lata</a:t>
                </a:r>
              </a:p>
            </c:rich>
          </c:tx>
          <c:layout>
            <c:manualLayout>
              <c:xMode val="edge"/>
              <c:yMode val="edge"/>
              <c:x val="0.90597621389267691"/>
              <c:y val="0.79926621977659129"/>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pl-PL"/>
          </a:p>
        </c:txPr>
        <c:crossAx val="315360088"/>
        <c:crosses val="autoZero"/>
        <c:auto val="1"/>
        <c:lblAlgn val="ctr"/>
        <c:lblOffset val="100"/>
        <c:tickLblSkip val="1"/>
        <c:tickMarkSkip val="1"/>
        <c:noMultiLvlLbl val="0"/>
      </c:catAx>
      <c:valAx>
        <c:axId val="315360088"/>
        <c:scaling>
          <c:orientation val="minMax"/>
          <c:min val="0"/>
        </c:scaling>
        <c:delete val="0"/>
        <c:axPos val="l"/>
        <c:majorGridlines>
          <c:spPr>
            <a:ln w="3175">
              <a:solidFill>
                <a:srgbClr val="000000"/>
              </a:solidFill>
              <a:prstDash val="solid"/>
            </a:ln>
          </c:spPr>
        </c:majorGridlines>
        <c:title>
          <c:tx>
            <c:rich>
              <a:bodyPr rot="0" vert="horz"/>
              <a:lstStyle/>
              <a:p>
                <a:pPr algn="ctr">
                  <a:defRPr sz="900" b="1" i="0" u="none" strike="noStrike" baseline="0">
                    <a:solidFill>
                      <a:srgbClr val="000000"/>
                    </a:solidFill>
                    <a:latin typeface="Arial"/>
                    <a:ea typeface="Arial"/>
                    <a:cs typeface="Arial"/>
                  </a:defRPr>
                </a:pPr>
                <a:r>
                  <a:rPr lang="pl-PL"/>
                  <a:t>liczba
odwołań</a:t>
                </a:r>
              </a:p>
            </c:rich>
          </c:tx>
          <c:layout>
            <c:manualLayout>
              <c:xMode val="edge"/>
              <c:yMode val="edge"/>
              <c:x val="4.3338249348750933E-2"/>
              <c:y val="0.47201415712829692"/>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pl-PL"/>
          </a:p>
        </c:txPr>
        <c:crossAx val="315361656"/>
        <c:crosses val="autoZero"/>
        <c:crossBetween val="between"/>
      </c:valAx>
      <c:spPr>
        <a:noFill/>
        <a:ln w="25400">
          <a:noFill/>
        </a:ln>
      </c:spPr>
    </c:plotArea>
    <c:plotVisOnly val="1"/>
    <c:dispBlanksAs val="gap"/>
    <c:showDLblsOverMax val="0"/>
  </c:chart>
  <c:spPr>
    <a:gradFill>
      <a:gsLst>
        <a:gs pos="0">
          <a:schemeClr val="bg1">
            <a:lumMod val="8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a:ea typeface="Arial"/>
          <a:cs typeface="Arial"/>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a:ea typeface="Arial"/>
                <a:cs typeface="Arial"/>
              </a:defRPr>
            </a:pPr>
            <a:r>
              <a:rPr lang="pl-PL"/>
              <a:t>Odwołania rozpoznane</a:t>
            </a:r>
          </a:p>
        </c:rich>
      </c:tx>
      <c:layout>
        <c:manualLayout>
          <c:xMode val="edge"/>
          <c:yMode val="edge"/>
          <c:x val="0.35470153316780195"/>
          <c:y val="3.7500080108813706E-2"/>
        </c:manualLayout>
      </c:layout>
      <c:overlay val="0"/>
      <c:spPr>
        <a:noFill/>
        <a:ln w="25400">
          <a:noFill/>
        </a:ln>
      </c:spPr>
    </c:title>
    <c:autoTitleDeleted val="0"/>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6096896886731576"/>
          <c:y val="0.15750033645701758"/>
          <c:w val="0.81481637338145674"/>
          <c:h val="0.63250135116865791"/>
        </c:manualLayout>
      </c:layout>
      <c:bar3DChart>
        <c:barDir val="col"/>
        <c:grouping val="clustered"/>
        <c:varyColors val="1"/>
        <c:ser>
          <c:idx val="0"/>
          <c:order val="0"/>
          <c:spPr>
            <a:solidFill>
              <a:srgbClr val="9999FF"/>
            </a:solidFill>
            <a:ln w="12700">
              <a:solidFill>
                <a:srgbClr val="000000"/>
              </a:solidFill>
              <a:prstDash val="solid"/>
            </a:ln>
          </c:spPr>
          <c:invertIfNegative val="0"/>
          <c:dPt>
            <c:idx val="0"/>
            <c:invertIfNegative val="0"/>
            <c:bubble3D val="0"/>
            <c:spPr>
              <a:solidFill>
                <a:srgbClr val="9999FF"/>
              </a:solidFill>
              <a:ln w="12700">
                <a:solidFill>
                  <a:srgbClr val="000000"/>
                </a:solidFill>
                <a:prstDash val="solid"/>
              </a:ln>
            </c:spPr>
          </c:dPt>
          <c:dPt>
            <c:idx val="1"/>
            <c:invertIfNegative val="0"/>
            <c:bubble3D val="0"/>
            <c:spPr>
              <a:solidFill>
                <a:srgbClr val="993366"/>
              </a:solidFill>
              <a:ln w="12700">
                <a:solidFill>
                  <a:srgbClr val="000000"/>
                </a:solidFill>
                <a:prstDash val="solid"/>
              </a:ln>
            </c:spPr>
          </c:dPt>
          <c:dPt>
            <c:idx val="2"/>
            <c:invertIfNegative val="0"/>
            <c:bubble3D val="0"/>
            <c:spPr>
              <a:solidFill>
                <a:srgbClr val="FFFFCC"/>
              </a:solidFill>
              <a:ln w="12700">
                <a:solidFill>
                  <a:srgbClr val="000000"/>
                </a:solidFill>
                <a:prstDash val="solid"/>
              </a:ln>
            </c:spPr>
          </c:dPt>
          <c:dPt>
            <c:idx val="3"/>
            <c:invertIfNegative val="0"/>
            <c:bubble3D val="0"/>
            <c:spPr>
              <a:solidFill>
                <a:srgbClr val="92D050"/>
              </a:solidFill>
              <a:ln w="12700">
                <a:solidFill>
                  <a:srgbClr val="000000"/>
                </a:solidFill>
                <a:prstDash val="solid"/>
              </a:ln>
            </c:spPr>
          </c:dPt>
          <c:dLbls>
            <c:dLbl>
              <c:idx val="0"/>
              <c:layout>
                <c:manualLayout>
                  <c:x val="3.143115558877238E-3"/>
                  <c:y val="8.952974421499883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69639799298592E-3"/>
                  <c:y val="9.992125984251969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7393125004673562E-3"/>
                  <c:y val="9.95144356955380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1"/>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sz="11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'[KO zbiorcze spr roczne 2018.xlsx]Wykresy GKO'!$C$53:$F$53</c:f>
              <c:numCache>
                <c:formatCode>General</c:formatCode>
                <c:ptCount val="4"/>
                <c:pt idx="0">
                  <c:v>2015</c:v>
                </c:pt>
                <c:pt idx="1">
                  <c:v>2016</c:v>
                </c:pt>
                <c:pt idx="2">
                  <c:v>2017</c:v>
                </c:pt>
                <c:pt idx="3">
                  <c:v>2018</c:v>
                </c:pt>
              </c:numCache>
            </c:numRef>
          </c:cat>
          <c:val>
            <c:numRef>
              <c:f>'[KO zbiorcze spr roczne 2018.xlsx]Wykresy GKO'!$C$54:$F$54</c:f>
              <c:numCache>
                <c:formatCode>#,##0</c:formatCode>
                <c:ptCount val="4"/>
                <c:pt idx="0">
                  <c:v>130</c:v>
                </c:pt>
                <c:pt idx="1">
                  <c:v>130</c:v>
                </c:pt>
                <c:pt idx="2">
                  <c:v>116</c:v>
                </c:pt>
                <c:pt idx="3">
                  <c:v>160</c:v>
                </c:pt>
              </c:numCache>
            </c:numRef>
          </c:val>
        </c:ser>
        <c:dLbls>
          <c:showLegendKey val="0"/>
          <c:showVal val="1"/>
          <c:showCatName val="0"/>
          <c:showSerName val="0"/>
          <c:showPercent val="0"/>
          <c:showBubbleSize val="0"/>
        </c:dLbls>
        <c:gapWidth val="150"/>
        <c:shape val="box"/>
        <c:axId val="315362048"/>
        <c:axId val="315363616"/>
        <c:axId val="0"/>
      </c:bar3DChart>
      <c:catAx>
        <c:axId val="315362048"/>
        <c:scaling>
          <c:orientation val="minMax"/>
        </c:scaling>
        <c:delete val="0"/>
        <c:axPos val="b"/>
        <c:title>
          <c:tx>
            <c:rich>
              <a:bodyPr/>
              <a:lstStyle/>
              <a:p>
                <a:pPr>
                  <a:defRPr sz="900" b="1" i="0" u="none" strike="noStrike" baseline="0">
                    <a:solidFill>
                      <a:srgbClr val="000000"/>
                    </a:solidFill>
                    <a:latin typeface="Arial"/>
                    <a:ea typeface="Arial"/>
                    <a:cs typeface="Arial"/>
                  </a:defRPr>
                </a:pPr>
                <a:r>
                  <a:rPr lang="pl-PL"/>
                  <a:t>lata</a:t>
                </a:r>
              </a:p>
            </c:rich>
          </c:tx>
          <c:layout>
            <c:manualLayout>
              <c:xMode val="edge"/>
              <c:yMode val="edge"/>
              <c:x val="0.8660985227551149"/>
              <c:y val="0.82500176239390155"/>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pl-PL"/>
          </a:p>
        </c:txPr>
        <c:crossAx val="315363616"/>
        <c:crosses val="autoZero"/>
        <c:auto val="1"/>
        <c:lblAlgn val="ctr"/>
        <c:lblOffset val="100"/>
        <c:tickLblSkip val="1"/>
        <c:tickMarkSkip val="1"/>
        <c:noMultiLvlLbl val="0"/>
      </c:catAx>
      <c:valAx>
        <c:axId val="315363616"/>
        <c:scaling>
          <c:orientation val="minMax"/>
          <c:min val="0"/>
        </c:scaling>
        <c:delete val="0"/>
        <c:axPos val="l"/>
        <c:majorGridlines>
          <c:spPr>
            <a:ln w="3175">
              <a:solidFill>
                <a:srgbClr val="000000"/>
              </a:solidFill>
              <a:prstDash val="solid"/>
            </a:ln>
          </c:spPr>
        </c:majorGridlines>
        <c:title>
          <c:tx>
            <c:rich>
              <a:bodyPr rot="0" vert="horz"/>
              <a:lstStyle/>
              <a:p>
                <a:pPr algn="ctr">
                  <a:defRPr sz="900" b="1" i="0" u="none" strike="noStrike" baseline="0">
                    <a:solidFill>
                      <a:srgbClr val="000000"/>
                    </a:solidFill>
                    <a:latin typeface="Arial"/>
                    <a:ea typeface="Arial"/>
                    <a:cs typeface="Arial"/>
                  </a:defRPr>
                </a:pPr>
                <a:r>
                  <a:rPr lang="pl-PL"/>
                  <a:t>liczba
odwołań</a:t>
                </a:r>
              </a:p>
            </c:rich>
          </c:tx>
          <c:layout>
            <c:manualLayout>
              <c:xMode val="edge"/>
              <c:yMode val="edge"/>
              <c:x val="4.9382902991826877E-2"/>
              <c:y val="0.46666765091863516"/>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pl-PL"/>
          </a:p>
        </c:txPr>
        <c:crossAx val="315362048"/>
        <c:crosses val="autoZero"/>
        <c:crossBetween val="between"/>
      </c:valAx>
      <c:spPr>
        <a:noFill/>
        <a:ln w="25400">
          <a:noFill/>
        </a:ln>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a:ea typeface="Arial"/>
          <a:cs typeface="Arial"/>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a:ea typeface="Arial"/>
                <a:cs typeface="Arial"/>
              </a:defRPr>
            </a:pPr>
            <a:r>
              <a:rPr lang="pl-PL"/>
              <a:t>Odwołania oczekujące na rozpoznanie</a:t>
            </a:r>
          </a:p>
        </c:rich>
      </c:tx>
      <c:layout>
        <c:manualLayout>
          <c:xMode val="edge"/>
          <c:yMode val="edge"/>
          <c:x val="0.25824968654895258"/>
          <c:y val="3.6529761811861919E-2"/>
        </c:manualLayout>
      </c:layout>
      <c:overlay val="0"/>
      <c:spPr>
        <a:noFill/>
        <a:ln w="25400">
          <a:noFill/>
        </a:ln>
      </c:spPr>
    </c:title>
    <c:autoTitleDeleted val="0"/>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351509144854406"/>
          <c:y val="0.13926971690772358"/>
          <c:w val="0.82209483551416573"/>
          <c:h val="0.66666815306647997"/>
        </c:manualLayout>
      </c:layout>
      <c:bar3DChart>
        <c:barDir val="col"/>
        <c:grouping val="clustered"/>
        <c:varyColors val="1"/>
        <c:ser>
          <c:idx val="0"/>
          <c:order val="0"/>
          <c:spPr>
            <a:solidFill>
              <a:srgbClr val="9999FF"/>
            </a:solidFill>
            <a:ln w="12700">
              <a:solidFill>
                <a:srgbClr val="000000"/>
              </a:solidFill>
              <a:prstDash val="solid"/>
            </a:ln>
          </c:spPr>
          <c:invertIfNegative val="0"/>
          <c:dPt>
            <c:idx val="0"/>
            <c:invertIfNegative val="0"/>
            <c:bubble3D val="0"/>
            <c:spPr>
              <a:solidFill>
                <a:srgbClr val="9999FF"/>
              </a:solidFill>
              <a:ln w="12700">
                <a:solidFill>
                  <a:srgbClr val="000000"/>
                </a:solidFill>
                <a:prstDash val="solid"/>
              </a:ln>
            </c:spPr>
          </c:dPt>
          <c:dPt>
            <c:idx val="1"/>
            <c:invertIfNegative val="0"/>
            <c:bubble3D val="0"/>
            <c:spPr>
              <a:solidFill>
                <a:srgbClr val="993366"/>
              </a:solidFill>
              <a:ln w="12700">
                <a:solidFill>
                  <a:srgbClr val="000000"/>
                </a:solidFill>
                <a:prstDash val="solid"/>
              </a:ln>
            </c:spPr>
          </c:dPt>
          <c:dPt>
            <c:idx val="2"/>
            <c:invertIfNegative val="0"/>
            <c:bubble3D val="0"/>
            <c:spPr>
              <a:solidFill>
                <a:srgbClr val="FFFFCC"/>
              </a:solidFill>
              <a:ln w="12700">
                <a:solidFill>
                  <a:srgbClr val="000000"/>
                </a:solidFill>
                <a:prstDash val="solid"/>
              </a:ln>
            </c:spPr>
          </c:dPt>
          <c:dPt>
            <c:idx val="3"/>
            <c:invertIfNegative val="0"/>
            <c:bubble3D val="0"/>
            <c:spPr>
              <a:solidFill>
                <a:srgbClr val="92D050"/>
              </a:solidFill>
              <a:ln w="12700">
                <a:solidFill>
                  <a:srgbClr val="000000"/>
                </a:solidFill>
                <a:prstDash val="solid"/>
              </a:ln>
            </c:spPr>
          </c:dPt>
          <c:dLbls>
            <c:dLbl>
              <c:idx val="0"/>
              <c:layout>
                <c:manualLayout>
                  <c:x val="-2.651596455751496E-3"/>
                  <c:y val="8.485300638790013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2325150532654E-3"/>
                  <c:y val="9.405643643859586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3790711598639841E-3"/>
                  <c:y val="8.414859957573796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8.751902587519025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sz="11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'[KO zbiorcze spr roczne 2018.xlsx]Wykresy GKO'!$C$3:$F$3</c:f>
              <c:numCache>
                <c:formatCode>General</c:formatCode>
                <c:ptCount val="4"/>
                <c:pt idx="0">
                  <c:v>2015</c:v>
                </c:pt>
                <c:pt idx="1">
                  <c:v>2016</c:v>
                </c:pt>
                <c:pt idx="2">
                  <c:v>2017</c:v>
                </c:pt>
                <c:pt idx="3">
                  <c:v>2018</c:v>
                </c:pt>
              </c:numCache>
            </c:numRef>
          </c:cat>
          <c:val>
            <c:numRef>
              <c:f>'[KO zbiorcze spr roczne 2018.xlsx]Wykresy GKO'!$C$4:$F$4</c:f>
              <c:numCache>
                <c:formatCode>#,##0</c:formatCode>
                <c:ptCount val="4"/>
                <c:pt idx="0">
                  <c:v>39</c:v>
                </c:pt>
                <c:pt idx="1">
                  <c:v>60</c:v>
                </c:pt>
                <c:pt idx="2">
                  <c:v>45</c:v>
                </c:pt>
                <c:pt idx="3">
                  <c:v>47</c:v>
                </c:pt>
              </c:numCache>
            </c:numRef>
          </c:val>
        </c:ser>
        <c:dLbls>
          <c:showLegendKey val="0"/>
          <c:showVal val="1"/>
          <c:showCatName val="0"/>
          <c:showSerName val="0"/>
          <c:showPercent val="0"/>
          <c:showBubbleSize val="0"/>
        </c:dLbls>
        <c:gapWidth val="150"/>
        <c:shape val="box"/>
        <c:axId val="316083136"/>
        <c:axId val="316082744"/>
        <c:axId val="0"/>
      </c:bar3DChart>
      <c:catAx>
        <c:axId val="316083136"/>
        <c:scaling>
          <c:orientation val="minMax"/>
        </c:scaling>
        <c:delete val="0"/>
        <c:axPos val="b"/>
        <c:title>
          <c:tx>
            <c:rich>
              <a:bodyPr/>
              <a:lstStyle/>
              <a:p>
                <a:pPr>
                  <a:defRPr sz="900" b="1" i="0" u="none" strike="noStrike" baseline="0">
                    <a:solidFill>
                      <a:srgbClr val="000000"/>
                    </a:solidFill>
                    <a:latin typeface="Arial"/>
                    <a:ea typeface="Arial"/>
                    <a:cs typeface="Arial"/>
                  </a:defRPr>
                </a:pPr>
                <a:r>
                  <a:rPr lang="pl-PL"/>
                  <a:t>lata</a:t>
                </a:r>
              </a:p>
            </c:rich>
          </c:tx>
          <c:layout>
            <c:manualLayout>
              <c:xMode val="edge"/>
              <c:yMode val="edge"/>
              <c:x val="0.87374480808263388"/>
              <c:y val="0.83561823607665475"/>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pl-PL"/>
          </a:p>
        </c:txPr>
        <c:crossAx val="316082744"/>
        <c:crosses val="autoZero"/>
        <c:auto val="1"/>
        <c:lblAlgn val="ctr"/>
        <c:lblOffset val="100"/>
        <c:tickLblSkip val="1"/>
        <c:tickMarkSkip val="1"/>
        <c:noMultiLvlLbl val="0"/>
      </c:catAx>
      <c:valAx>
        <c:axId val="316082744"/>
        <c:scaling>
          <c:orientation val="minMax"/>
        </c:scaling>
        <c:delete val="0"/>
        <c:axPos val="l"/>
        <c:majorGridlines>
          <c:spPr>
            <a:ln w="3175">
              <a:solidFill>
                <a:srgbClr val="000000"/>
              </a:solidFill>
              <a:prstDash val="solid"/>
            </a:ln>
          </c:spPr>
        </c:majorGridlines>
        <c:title>
          <c:tx>
            <c:rich>
              <a:bodyPr rot="0" vert="horz"/>
              <a:lstStyle/>
              <a:p>
                <a:pPr algn="ctr">
                  <a:defRPr sz="900" b="1" i="0" u="none" strike="noStrike" baseline="0">
                    <a:solidFill>
                      <a:srgbClr val="000000"/>
                    </a:solidFill>
                    <a:latin typeface="Arial"/>
                    <a:ea typeface="Arial"/>
                    <a:cs typeface="Arial"/>
                  </a:defRPr>
                </a:pPr>
                <a:r>
                  <a:rPr lang="pl-PL"/>
                  <a:t>liczba
odwołań</a:t>
                </a:r>
              </a:p>
            </c:rich>
          </c:tx>
          <c:layout>
            <c:manualLayout>
              <c:xMode val="edge"/>
              <c:yMode val="edge"/>
              <c:x val="3.5389765662362509E-2"/>
              <c:y val="0.46575432351777946"/>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pl-PL"/>
          </a:p>
        </c:txPr>
        <c:crossAx val="316083136"/>
        <c:crosses val="autoZero"/>
        <c:crossBetween val="between"/>
      </c:valAx>
      <c:spPr>
        <a:noFill/>
        <a:ln w="25400">
          <a:noFill/>
        </a:ln>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a:ea typeface="Arial"/>
          <a:cs typeface="Arial"/>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pPr>
        <a:gradFill>
          <a:gsLst>
            <a:gs pos="0">
              <a:schemeClr val="accent1">
                <a:tint val="66000"/>
                <a:satMod val="160000"/>
              </a:schemeClr>
            </a:gs>
            <a:gs pos="0">
              <a:schemeClr val="accent1">
                <a:tint val="44500"/>
                <a:satMod val="160000"/>
              </a:schemeClr>
            </a:gs>
            <a:gs pos="100000">
              <a:schemeClr val="accent1">
                <a:tint val="23500"/>
                <a:satMod val="160000"/>
              </a:schemeClr>
            </a:gs>
          </a:gsLst>
          <a:lin ang="5400000" scaled="0"/>
        </a:gradFill>
      </c:spPr>
    </c:sideWall>
    <c:backWall>
      <c:thickness val="0"/>
      <c:spPr>
        <a:gradFill>
          <a:gsLst>
            <a:gs pos="0">
              <a:schemeClr val="accent1">
                <a:tint val="66000"/>
                <a:satMod val="160000"/>
              </a:schemeClr>
            </a:gs>
            <a:gs pos="0">
              <a:schemeClr val="accent1">
                <a:tint val="44500"/>
                <a:satMod val="160000"/>
              </a:schemeClr>
            </a:gs>
            <a:gs pos="100000">
              <a:schemeClr val="accent1">
                <a:tint val="23500"/>
                <a:satMod val="160000"/>
              </a:schemeClr>
            </a:gs>
          </a:gsLst>
          <a:lin ang="5400000" scaled="0"/>
        </a:gradFill>
      </c:spPr>
    </c:backWall>
    <c:plotArea>
      <c:layout>
        <c:manualLayout>
          <c:layoutTarget val="inner"/>
          <c:xMode val="edge"/>
          <c:yMode val="edge"/>
          <c:x val="4.9343628242121906E-2"/>
          <c:y val="8.5514798005359979E-2"/>
          <c:w val="0.93696099593295479"/>
          <c:h val="0.58006570737646468"/>
        </c:manualLayout>
      </c:layout>
      <c:bar3DChart>
        <c:barDir val="col"/>
        <c:grouping val="clustered"/>
        <c:varyColors val="0"/>
        <c:ser>
          <c:idx val="1"/>
          <c:order val="0"/>
          <c:tx>
            <c:strRef>
              <c:f>'[analiza KO IV kw 2018.xlsx]do wykresu (3)'!$B$1</c:f>
              <c:strCache>
                <c:ptCount val="1"/>
                <c:pt idx="0">
                  <c:v>"ZAKOŃCZONE W TERMINIE"  (DO 180 DNI OD DATY WPŁYWU)
</c:v>
                </c:pt>
              </c:strCache>
            </c:strRef>
          </c:tx>
          <c:spPr>
            <a:solidFill>
              <a:srgbClr val="007A37"/>
            </a:solidFill>
          </c:spPr>
          <c:invertIfNegative val="0"/>
          <c:cat>
            <c:strRef>
              <c:f>'[analiza KO IV kw 2018.xlsx]do wykresu (3)'!$A$2:$A$22</c:f>
              <c:strCache>
                <c:ptCount val="21"/>
                <c:pt idx="0">
                  <c:v>KO przy Szefie KPRM</c:v>
                </c:pt>
                <c:pt idx="1">
                  <c:v>Wspólna Komisja Orzekająca</c:v>
                </c:pt>
                <c:pt idx="2">
                  <c:v>MKO przy Ministrze Spraw Wewnętrznych i Administracji</c:v>
                </c:pt>
                <c:pt idx="3">
                  <c:v>MKO przy M. Finansów</c:v>
                </c:pt>
                <c:pt idx="4">
                  <c:v>MKO przy M. Sprawiedliwości</c:v>
                </c:pt>
                <c:pt idx="5">
                  <c:v>RKO przy RIO w Białymstoku </c:v>
                </c:pt>
                <c:pt idx="6">
                  <c:v>RKO przy RIO w Bydgoszczy</c:v>
                </c:pt>
                <c:pt idx="7">
                  <c:v>RKO przy RIO w Gdańsku</c:v>
                </c:pt>
                <c:pt idx="8">
                  <c:v>RKO przy RIO w Katowicach</c:v>
                </c:pt>
                <c:pt idx="9">
                  <c:v>RKO przy RIO w Kielcach</c:v>
                </c:pt>
                <c:pt idx="10">
                  <c:v>RKO przy RIO w Krakowie</c:v>
                </c:pt>
                <c:pt idx="11">
                  <c:v>RKO przy RIO w Łodzi</c:v>
                </c:pt>
                <c:pt idx="12">
                  <c:v>RKO przy RIO w Lublinie</c:v>
                </c:pt>
                <c:pt idx="13">
                  <c:v>RKO przy RIO w Olsztynie</c:v>
                </c:pt>
                <c:pt idx="14">
                  <c:v>RKO przy RIO w Opolu</c:v>
                </c:pt>
                <c:pt idx="15">
                  <c:v>RKO przy RIO w Poznaniu</c:v>
                </c:pt>
                <c:pt idx="16">
                  <c:v>RKO przy RIO w Rzeszowie</c:v>
                </c:pt>
                <c:pt idx="17">
                  <c:v>RKO przy RIO w Szczecinie</c:v>
                </c:pt>
                <c:pt idx="18">
                  <c:v>RKO przy RIO w Warszawie</c:v>
                </c:pt>
                <c:pt idx="19">
                  <c:v>RKO przy RIO we Wrocławiu</c:v>
                </c:pt>
                <c:pt idx="20">
                  <c:v>RKO przy RIO w Zielonej Górze</c:v>
                </c:pt>
              </c:strCache>
            </c:strRef>
          </c:cat>
          <c:val>
            <c:numRef>
              <c:f>'[analiza KO IV kw 2018.xlsx]do wykresu (3)'!$B$2:$B$22</c:f>
              <c:numCache>
                <c:formatCode>General</c:formatCode>
                <c:ptCount val="21"/>
                <c:pt idx="0">
                  <c:v>0</c:v>
                </c:pt>
                <c:pt idx="1">
                  <c:v>1</c:v>
                </c:pt>
                <c:pt idx="2">
                  <c:v>7</c:v>
                </c:pt>
                <c:pt idx="3">
                  <c:v>47</c:v>
                </c:pt>
                <c:pt idx="4">
                  <c:v>11</c:v>
                </c:pt>
                <c:pt idx="5">
                  <c:v>12</c:v>
                </c:pt>
                <c:pt idx="6">
                  <c:v>31</c:v>
                </c:pt>
                <c:pt idx="7">
                  <c:v>41</c:v>
                </c:pt>
                <c:pt idx="8">
                  <c:v>84</c:v>
                </c:pt>
                <c:pt idx="9">
                  <c:v>38</c:v>
                </c:pt>
                <c:pt idx="10">
                  <c:v>74</c:v>
                </c:pt>
                <c:pt idx="11">
                  <c:v>25</c:v>
                </c:pt>
                <c:pt idx="12">
                  <c:v>44</c:v>
                </c:pt>
                <c:pt idx="13">
                  <c:v>34</c:v>
                </c:pt>
                <c:pt idx="14">
                  <c:v>10</c:v>
                </c:pt>
                <c:pt idx="15">
                  <c:v>64</c:v>
                </c:pt>
                <c:pt idx="16">
                  <c:v>27</c:v>
                </c:pt>
                <c:pt idx="17">
                  <c:v>21</c:v>
                </c:pt>
                <c:pt idx="18">
                  <c:v>49</c:v>
                </c:pt>
                <c:pt idx="19">
                  <c:v>56</c:v>
                </c:pt>
                <c:pt idx="20">
                  <c:v>13</c:v>
                </c:pt>
              </c:numCache>
            </c:numRef>
          </c:val>
        </c:ser>
        <c:ser>
          <c:idx val="2"/>
          <c:order val="1"/>
          <c:tx>
            <c:strRef>
              <c:f>'[analiza KO IV kw 2018.xlsx]do wykresu (3)'!$C$1</c:f>
              <c:strCache>
                <c:ptCount val="1"/>
                <c:pt idx="0">
                  <c:v>"ZAKOŃCZONE PO TERMINIE" (PO 180 DNIACH OD DATY WPŁYWU)</c:v>
                </c:pt>
              </c:strCache>
            </c:strRef>
          </c:tx>
          <c:spPr>
            <a:solidFill>
              <a:schemeClr val="accent6">
                <a:lumMod val="75000"/>
              </a:schemeClr>
            </a:solidFill>
          </c:spPr>
          <c:invertIfNegative val="0"/>
          <c:cat>
            <c:strRef>
              <c:f>'[analiza KO IV kw 2018.xlsx]do wykresu (3)'!$A$2:$A$22</c:f>
              <c:strCache>
                <c:ptCount val="21"/>
                <c:pt idx="0">
                  <c:v>KO przy Szefie KPRM</c:v>
                </c:pt>
                <c:pt idx="1">
                  <c:v>Wspólna Komisja Orzekająca</c:v>
                </c:pt>
                <c:pt idx="2">
                  <c:v>MKO przy Ministrze Spraw Wewnętrznych i Administracji</c:v>
                </c:pt>
                <c:pt idx="3">
                  <c:v>MKO przy M. Finansów</c:v>
                </c:pt>
                <c:pt idx="4">
                  <c:v>MKO przy M. Sprawiedliwości</c:v>
                </c:pt>
                <c:pt idx="5">
                  <c:v>RKO przy RIO w Białymstoku </c:v>
                </c:pt>
                <c:pt idx="6">
                  <c:v>RKO przy RIO w Bydgoszczy</c:v>
                </c:pt>
                <c:pt idx="7">
                  <c:v>RKO przy RIO w Gdańsku</c:v>
                </c:pt>
                <c:pt idx="8">
                  <c:v>RKO przy RIO w Katowicach</c:v>
                </c:pt>
                <c:pt idx="9">
                  <c:v>RKO przy RIO w Kielcach</c:v>
                </c:pt>
                <c:pt idx="10">
                  <c:v>RKO przy RIO w Krakowie</c:v>
                </c:pt>
                <c:pt idx="11">
                  <c:v>RKO przy RIO w Łodzi</c:v>
                </c:pt>
                <c:pt idx="12">
                  <c:v>RKO przy RIO w Lublinie</c:v>
                </c:pt>
                <c:pt idx="13">
                  <c:v>RKO przy RIO w Olsztynie</c:v>
                </c:pt>
                <c:pt idx="14">
                  <c:v>RKO przy RIO w Opolu</c:v>
                </c:pt>
                <c:pt idx="15">
                  <c:v>RKO przy RIO w Poznaniu</c:v>
                </c:pt>
                <c:pt idx="16">
                  <c:v>RKO przy RIO w Rzeszowie</c:v>
                </c:pt>
                <c:pt idx="17">
                  <c:v>RKO przy RIO w Szczecinie</c:v>
                </c:pt>
                <c:pt idx="18">
                  <c:v>RKO przy RIO w Warszawie</c:v>
                </c:pt>
                <c:pt idx="19">
                  <c:v>RKO przy RIO we Wrocławiu</c:v>
                </c:pt>
                <c:pt idx="20">
                  <c:v>RKO przy RIO w Zielonej Górze</c:v>
                </c:pt>
              </c:strCache>
            </c:strRef>
          </c:cat>
          <c:val>
            <c:numRef>
              <c:f>'[analiza KO IV kw 2018.xlsx]do wykresu (3)'!$C$2:$C$22</c:f>
              <c:numCache>
                <c:formatCode>General</c:formatCode>
                <c:ptCount val="21"/>
                <c:pt idx="0">
                  <c:v>1</c:v>
                </c:pt>
                <c:pt idx="1">
                  <c:v>0</c:v>
                </c:pt>
                <c:pt idx="2">
                  <c:v>36</c:v>
                </c:pt>
                <c:pt idx="3">
                  <c:v>14</c:v>
                </c:pt>
                <c:pt idx="4">
                  <c:v>18</c:v>
                </c:pt>
                <c:pt idx="5">
                  <c:v>7</c:v>
                </c:pt>
                <c:pt idx="6">
                  <c:v>7</c:v>
                </c:pt>
                <c:pt idx="7">
                  <c:v>3</c:v>
                </c:pt>
                <c:pt idx="8">
                  <c:v>15</c:v>
                </c:pt>
                <c:pt idx="9">
                  <c:v>0</c:v>
                </c:pt>
                <c:pt idx="10">
                  <c:v>20</c:v>
                </c:pt>
                <c:pt idx="11">
                  <c:v>61</c:v>
                </c:pt>
                <c:pt idx="12">
                  <c:v>4</c:v>
                </c:pt>
                <c:pt idx="13">
                  <c:v>5</c:v>
                </c:pt>
                <c:pt idx="14">
                  <c:v>18</c:v>
                </c:pt>
                <c:pt idx="15">
                  <c:v>3</c:v>
                </c:pt>
                <c:pt idx="16">
                  <c:v>0</c:v>
                </c:pt>
                <c:pt idx="17">
                  <c:v>5</c:v>
                </c:pt>
                <c:pt idx="18">
                  <c:v>24</c:v>
                </c:pt>
                <c:pt idx="19">
                  <c:v>10</c:v>
                </c:pt>
                <c:pt idx="20">
                  <c:v>1</c:v>
                </c:pt>
              </c:numCache>
            </c:numRef>
          </c:val>
        </c:ser>
        <c:ser>
          <c:idx val="0"/>
          <c:order val="2"/>
          <c:tx>
            <c:strRef>
              <c:f>'[analiza KO IV kw 2018.xlsx]do wykresu (3)'!$D$1</c:f>
              <c:strCache>
                <c:ptCount val="1"/>
                <c:pt idx="0">
                  <c:v>"NIEZAKOŃCZONE - TERMIN NIE UPŁYNĄŁ"</c:v>
                </c:pt>
              </c:strCache>
            </c:strRef>
          </c:tx>
          <c:spPr>
            <a:solidFill>
              <a:schemeClr val="tx1"/>
            </a:solidFill>
          </c:spPr>
          <c:invertIfNegative val="0"/>
          <c:cat>
            <c:strRef>
              <c:f>'[analiza KO IV kw 2018.xlsx]do wykresu (3)'!$A$2:$A$22</c:f>
              <c:strCache>
                <c:ptCount val="21"/>
                <c:pt idx="0">
                  <c:v>KO przy Szefie KPRM</c:v>
                </c:pt>
                <c:pt idx="1">
                  <c:v>Wspólna Komisja Orzekająca</c:v>
                </c:pt>
                <c:pt idx="2">
                  <c:v>MKO przy Ministrze Spraw Wewnętrznych i Administracji</c:v>
                </c:pt>
                <c:pt idx="3">
                  <c:v>MKO przy M. Finansów</c:v>
                </c:pt>
                <c:pt idx="4">
                  <c:v>MKO przy M. Sprawiedliwości</c:v>
                </c:pt>
                <c:pt idx="5">
                  <c:v>RKO przy RIO w Białymstoku </c:v>
                </c:pt>
                <c:pt idx="6">
                  <c:v>RKO przy RIO w Bydgoszczy</c:v>
                </c:pt>
                <c:pt idx="7">
                  <c:v>RKO przy RIO w Gdańsku</c:v>
                </c:pt>
                <c:pt idx="8">
                  <c:v>RKO przy RIO w Katowicach</c:v>
                </c:pt>
                <c:pt idx="9">
                  <c:v>RKO przy RIO w Kielcach</c:v>
                </c:pt>
                <c:pt idx="10">
                  <c:v>RKO przy RIO w Krakowie</c:v>
                </c:pt>
                <c:pt idx="11">
                  <c:v>RKO przy RIO w Łodzi</c:v>
                </c:pt>
                <c:pt idx="12">
                  <c:v>RKO przy RIO w Lublinie</c:v>
                </c:pt>
                <c:pt idx="13">
                  <c:v>RKO przy RIO w Olsztynie</c:v>
                </c:pt>
                <c:pt idx="14">
                  <c:v>RKO przy RIO w Opolu</c:v>
                </c:pt>
                <c:pt idx="15">
                  <c:v>RKO przy RIO w Poznaniu</c:v>
                </c:pt>
                <c:pt idx="16">
                  <c:v>RKO przy RIO w Rzeszowie</c:v>
                </c:pt>
                <c:pt idx="17">
                  <c:v>RKO przy RIO w Szczecinie</c:v>
                </c:pt>
                <c:pt idx="18">
                  <c:v>RKO przy RIO w Warszawie</c:v>
                </c:pt>
                <c:pt idx="19">
                  <c:v>RKO przy RIO we Wrocławiu</c:v>
                </c:pt>
                <c:pt idx="20">
                  <c:v>RKO przy RIO w Zielonej Górze</c:v>
                </c:pt>
              </c:strCache>
            </c:strRef>
          </c:cat>
          <c:val>
            <c:numRef>
              <c:f>'[analiza KO IV kw 2018.xlsx]do wykresu (3)'!$D$2:$D$22</c:f>
              <c:numCache>
                <c:formatCode>General</c:formatCode>
                <c:ptCount val="21"/>
                <c:pt idx="0">
                  <c:v>2</c:v>
                </c:pt>
                <c:pt idx="1">
                  <c:v>0</c:v>
                </c:pt>
                <c:pt idx="2">
                  <c:v>50</c:v>
                </c:pt>
                <c:pt idx="3">
                  <c:v>21</c:v>
                </c:pt>
                <c:pt idx="4">
                  <c:v>6</c:v>
                </c:pt>
                <c:pt idx="5">
                  <c:v>27</c:v>
                </c:pt>
                <c:pt idx="6">
                  <c:v>6</c:v>
                </c:pt>
                <c:pt idx="7">
                  <c:v>13</c:v>
                </c:pt>
                <c:pt idx="8">
                  <c:v>28</c:v>
                </c:pt>
                <c:pt idx="9">
                  <c:v>14</c:v>
                </c:pt>
                <c:pt idx="10">
                  <c:v>14</c:v>
                </c:pt>
                <c:pt idx="11">
                  <c:v>19</c:v>
                </c:pt>
                <c:pt idx="12">
                  <c:v>15</c:v>
                </c:pt>
                <c:pt idx="13">
                  <c:v>9</c:v>
                </c:pt>
                <c:pt idx="14">
                  <c:v>13</c:v>
                </c:pt>
                <c:pt idx="15">
                  <c:v>19</c:v>
                </c:pt>
                <c:pt idx="16">
                  <c:v>17</c:v>
                </c:pt>
                <c:pt idx="17">
                  <c:v>11</c:v>
                </c:pt>
                <c:pt idx="18">
                  <c:v>13</c:v>
                </c:pt>
                <c:pt idx="19">
                  <c:v>32</c:v>
                </c:pt>
                <c:pt idx="20">
                  <c:v>4</c:v>
                </c:pt>
              </c:numCache>
            </c:numRef>
          </c:val>
        </c:ser>
        <c:ser>
          <c:idx val="3"/>
          <c:order val="3"/>
          <c:tx>
            <c:strRef>
              <c:f>'[analiza KO IV kw 2018.xlsx]do wykresu (3)'!$E$1</c:f>
              <c:strCache>
                <c:ptCount val="1"/>
                <c:pt idx="0">
                  <c:v>"NIEZAKOŃCZONE MIMO UPŁYWU  TERMINU" (UPŁYNĘŁO 180 DNI OD DATY WPŁYWU)</c:v>
                </c:pt>
              </c:strCache>
            </c:strRef>
          </c:tx>
          <c:spPr>
            <a:solidFill>
              <a:srgbClr val="FF0000"/>
            </a:solidFill>
          </c:spPr>
          <c:invertIfNegative val="0"/>
          <c:cat>
            <c:strRef>
              <c:f>'[analiza KO IV kw 2018.xlsx]do wykresu (3)'!$A$2:$A$22</c:f>
              <c:strCache>
                <c:ptCount val="21"/>
                <c:pt idx="0">
                  <c:v>KO przy Szefie KPRM</c:v>
                </c:pt>
                <c:pt idx="1">
                  <c:v>Wspólna Komisja Orzekająca</c:v>
                </c:pt>
                <c:pt idx="2">
                  <c:v>MKO przy Ministrze Spraw Wewnętrznych i Administracji</c:v>
                </c:pt>
                <c:pt idx="3">
                  <c:v>MKO przy M. Finansów</c:v>
                </c:pt>
                <c:pt idx="4">
                  <c:v>MKO przy M. Sprawiedliwości</c:v>
                </c:pt>
                <c:pt idx="5">
                  <c:v>RKO przy RIO w Białymstoku </c:v>
                </c:pt>
                <c:pt idx="6">
                  <c:v>RKO przy RIO w Bydgoszczy</c:v>
                </c:pt>
                <c:pt idx="7">
                  <c:v>RKO przy RIO w Gdańsku</c:v>
                </c:pt>
                <c:pt idx="8">
                  <c:v>RKO przy RIO w Katowicach</c:v>
                </c:pt>
                <c:pt idx="9">
                  <c:v>RKO przy RIO w Kielcach</c:v>
                </c:pt>
                <c:pt idx="10">
                  <c:v>RKO przy RIO w Krakowie</c:v>
                </c:pt>
                <c:pt idx="11">
                  <c:v>RKO przy RIO w Łodzi</c:v>
                </c:pt>
                <c:pt idx="12">
                  <c:v>RKO przy RIO w Lublinie</c:v>
                </c:pt>
                <c:pt idx="13">
                  <c:v>RKO przy RIO w Olsztynie</c:v>
                </c:pt>
                <c:pt idx="14">
                  <c:v>RKO przy RIO w Opolu</c:v>
                </c:pt>
                <c:pt idx="15">
                  <c:v>RKO przy RIO w Poznaniu</c:v>
                </c:pt>
                <c:pt idx="16">
                  <c:v>RKO przy RIO w Rzeszowie</c:v>
                </c:pt>
                <c:pt idx="17">
                  <c:v>RKO przy RIO w Szczecinie</c:v>
                </c:pt>
                <c:pt idx="18">
                  <c:v>RKO przy RIO w Warszawie</c:v>
                </c:pt>
                <c:pt idx="19">
                  <c:v>RKO przy RIO we Wrocławiu</c:v>
                </c:pt>
                <c:pt idx="20">
                  <c:v>RKO przy RIO w Zielonej Górze</c:v>
                </c:pt>
              </c:strCache>
            </c:strRef>
          </c:cat>
          <c:val>
            <c:numRef>
              <c:f>'[analiza KO IV kw 2018.xlsx]do wykresu (3)'!$E$2:$E$22</c:f>
              <c:numCache>
                <c:formatCode>General</c:formatCode>
                <c:ptCount val="21"/>
                <c:pt idx="0">
                  <c:v>0</c:v>
                </c:pt>
                <c:pt idx="1">
                  <c:v>0</c:v>
                </c:pt>
                <c:pt idx="2">
                  <c:v>42</c:v>
                </c:pt>
                <c:pt idx="3">
                  <c:v>1</c:v>
                </c:pt>
                <c:pt idx="4">
                  <c:v>7</c:v>
                </c:pt>
                <c:pt idx="5">
                  <c:v>1</c:v>
                </c:pt>
                <c:pt idx="6">
                  <c:v>0</c:v>
                </c:pt>
                <c:pt idx="7">
                  <c:v>3</c:v>
                </c:pt>
                <c:pt idx="8">
                  <c:v>7</c:v>
                </c:pt>
                <c:pt idx="9">
                  <c:v>0</c:v>
                </c:pt>
                <c:pt idx="10">
                  <c:v>2</c:v>
                </c:pt>
                <c:pt idx="11">
                  <c:v>7</c:v>
                </c:pt>
                <c:pt idx="12">
                  <c:v>3</c:v>
                </c:pt>
                <c:pt idx="13">
                  <c:v>0</c:v>
                </c:pt>
                <c:pt idx="14">
                  <c:v>2</c:v>
                </c:pt>
                <c:pt idx="15">
                  <c:v>0</c:v>
                </c:pt>
                <c:pt idx="16">
                  <c:v>0</c:v>
                </c:pt>
                <c:pt idx="17">
                  <c:v>1</c:v>
                </c:pt>
                <c:pt idx="18">
                  <c:v>2</c:v>
                </c:pt>
                <c:pt idx="19">
                  <c:v>1</c:v>
                </c:pt>
                <c:pt idx="20">
                  <c:v>0</c:v>
                </c:pt>
              </c:numCache>
            </c:numRef>
          </c:val>
        </c:ser>
        <c:dLbls>
          <c:showLegendKey val="0"/>
          <c:showVal val="0"/>
          <c:showCatName val="0"/>
          <c:showSerName val="0"/>
          <c:showPercent val="0"/>
          <c:showBubbleSize val="0"/>
        </c:dLbls>
        <c:gapWidth val="150"/>
        <c:shape val="box"/>
        <c:axId val="316081176"/>
        <c:axId val="316080784"/>
        <c:axId val="0"/>
      </c:bar3DChart>
      <c:catAx>
        <c:axId val="316081176"/>
        <c:scaling>
          <c:orientation val="minMax"/>
        </c:scaling>
        <c:delete val="0"/>
        <c:axPos val="b"/>
        <c:numFmt formatCode="General" sourceLinked="0"/>
        <c:majorTickMark val="out"/>
        <c:minorTickMark val="none"/>
        <c:tickLblPos val="nextTo"/>
        <c:txPr>
          <a:bodyPr/>
          <a:lstStyle/>
          <a:p>
            <a:pPr>
              <a:defRPr sz="900" baseline="0"/>
            </a:pPr>
            <a:endParaRPr lang="pl-PL"/>
          </a:p>
        </c:txPr>
        <c:crossAx val="316080784"/>
        <c:crosses val="autoZero"/>
        <c:auto val="1"/>
        <c:lblAlgn val="ctr"/>
        <c:lblOffset val="100"/>
        <c:noMultiLvlLbl val="0"/>
      </c:catAx>
      <c:valAx>
        <c:axId val="316080784"/>
        <c:scaling>
          <c:orientation val="minMax"/>
        </c:scaling>
        <c:delete val="0"/>
        <c:axPos val="l"/>
        <c:majorGridlines/>
        <c:numFmt formatCode="General" sourceLinked="1"/>
        <c:majorTickMark val="out"/>
        <c:minorTickMark val="none"/>
        <c:tickLblPos val="nextTo"/>
        <c:crossAx val="316081176"/>
        <c:crosses val="autoZero"/>
        <c:crossBetween val="between"/>
        <c:majorUnit val="5"/>
        <c:minorUnit val="2"/>
      </c:valAx>
    </c:plotArea>
    <c:legend>
      <c:legendPos val="b"/>
      <c:legendEntry>
        <c:idx val="0"/>
        <c:txPr>
          <a:bodyPr/>
          <a:lstStyle/>
          <a:p>
            <a:pPr>
              <a:defRPr sz="800" baseline="0"/>
            </a:pPr>
            <a:endParaRPr lang="pl-PL"/>
          </a:p>
        </c:txPr>
      </c:legendEntry>
      <c:legendEntry>
        <c:idx val="1"/>
        <c:txPr>
          <a:bodyPr/>
          <a:lstStyle/>
          <a:p>
            <a:pPr>
              <a:defRPr sz="800" baseline="0"/>
            </a:pPr>
            <a:endParaRPr lang="pl-PL"/>
          </a:p>
        </c:txPr>
      </c:legendEntry>
      <c:legendEntry>
        <c:idx val="2"/>
        <c:txPr>
          <a:bodyPr/>
          <a:lstStyle/>
          <a:p>
            <a:pPr>
              <a:defRPr sz="800" baseline="0"/>
            </a:pPr>
            <a:endParaRPr lang="pl-PL"/>
          </a:p>
        </c:txPr>
      </c:legendEntry>
      <c:legendEntry>
        <c:idx val="3"/>
        <c:txPr>
          <a:bodyPr/>
          <a:lstStyle/>
          <a:p>
            <a:pPr>
              <a:defRPr sz="800" baseline="0"/>
            </a:pPr>
            <a:endParaRPr lang="pl-PL"/>
          </a:p>
        </c:txPr>
      </c:legendEntry>
      <c:layout>
        <c:manualLayout>
          <c:xMode val="edge"/>
          <c:yMode val="edge"/>
          <c:x val="0.22592237111665392"/>
          <c:y val="0.8583217850351097"/>
          <c:w val="0.56200589018845548"/>
          <c:h val="0.10223144881115144"/>
        </c:manualLayout>
      </c:layout>
      <c:overlay val="0"/>
      <c:spPr>
        <a:ln>
          <a:solidFill>
            <a:schemeClr val="tx1"/>
          </a:solidFill>
        </a:ln>
      </c:spPr>
      <c:txPr>
        <a:bodyPr/>
        <a:lstStyle/>
        <a:p>
          <a:pPr>
            <a:defRPr sz="800"/>
          </a:pPr>
          <a:endParaRPr lang="pl-PL"/>
        </a:p>
      </c:txPr>
    </c:legend>
    <c:plotVisOnly val="1"/>
    <c:dispBlanksAs val="gap"/>
    <c:showDLblsOverMax val="0"/>
  </c:chart>
  <c:spPr>
    <a:gradFill>
      <a:gsLst>
        <a:gs pos="0">
          <a:schemeClr val="bg1">
            <a:lumMod val="8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a:ea typeface="Arial"/>
                <a:cs typeface="Arial"/>
              </a:defRPr>
            </a:pPr>
            <a:r>
              <a:rPr lang="pl-PL" sz="1100"/>
              <a:t>Sprawy oczekujące na rozstrzygnięcie na początku roku</a:t>
            </a:r>
          </a:p>
        </c:rich>
      </c:tx>
      <c:layout>
        <c:manualLayout>
          <c:xMode val="edge"/>
          <c:yMode val="edge"/>
          <c:x val="0.19906602810106905"/>
          <c:y val="6.2305644892979933E-2"/>
        </c:manualLayout>
      </c:layout>
      <c:overlay val="0"/>
      <c:spPr>
        <a:noFill/>
        <a:ln w="25400">
          <a:noFill/>
        </a:ln>
      </c:spPr>
    </c:title>
    <c:autoTitleDeleted val="0"/>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704235431854935"/>
          <c:y val="0.23234964609464104"/>
          <c:w val="0.76117591741488755"/>
          <c:h val="0.55823402640645869"/>
        </c:manualLayout>
      </c:layout>
      <c:bar3DChart>
        <c:barDir val="col"/>
        <c:grouping val="stacked"/>
        <c:varyColors val="1"/>
        <c:ser>
          <c:idx val="0"/>
          <c:order val="0"/>
          <c:tx>
            <c:strRef>
              <c:f>Wykresy!$B$2</c:f>
              <c:strCache>
                <c:ptCount val="1"/>
                <c:pt idx="0">
                  <c:v>poszczególne lata</c:v>
                </c:pt>
              </c:strCache>
            </c:strRef>
          </c:tx>
          <c:spPr>
            <a:solidFill>
              <a:srgbClr val="9999FF"/>
            </a:solidFill>
            <a:ln w="12700">
              <a:solidFill>
                <a:srgbClr val="000000"/>
              </a:solidFill>
              <a:prstDash val="solid"/>
            </a:ln>
          </c:spPr>
          <c:invertIfNegative val="0"/>
          <c:dPt>
            <c:idx val="0"/>
            <c:invertIfNegative val="0"/>
            <c:bubble3D val="0"/>
            <c:spPr>
              <a:solidFill>
                <a:srgbClr val="9999FF"/>
              </a:solidFill>
              <a:ln w="12700">
                <a:solidFill>
                  <a:srgbClr val="000000"/>
                </a:solidFill>
                <a:prstDash val="solid"/>
              </a:ln>
            </c:spPr>
          </c:dPt>
          <c:dPt>
            <c:idx val="1"/>
            <c:invertIfNegative val="0"/>
            <c:bubble3D val="0"/>
            <c:spPr>
              <a:solidFill>
                <a:srgbClr val="993366"/>
              </a:solidFill>
              <a:ln w="12700">
                <a:solidFill>
                  <a:srgbClr val="000000"/>
                </a:solidFill>
                <a:prstDash val="solid"/>
              </a:ln>
            </c:spPr>
          </c:dPt>
          <c:dPt>
            <c:idx val="2"/>
            <c:invertIfNegative val="0"/>
            <c:bubble3D val="0"/>
            <c:spPr>
              <a:solidFill>
                <a:srgbClr val="FFFFCC"/>
              </a:solidFill>
              <a:ln w="12700">
                <a:solidFill>
                  <a:srgbClr val="000000"/>
                </a:solidFill>
                <a:prstDash val="solid"/>
              </a:ln>
            </c:spPr>
          </c:dPt>
          <c:dPt>
            <c:idx val="3"/>
            <c:invertIfNegative val="0"/>
            <c:bubble3D val="0"/>
            <c:spPr>
              <a:solidFill>
                <a:srgbClr val="92D050"/>
              </a:solidFill>
              <a:ln w="12700">
                <a:solidFill>
                  <a:srgbClr val="000000"/>
                </a:solidFill>
                <a:prstDash val="solid"/>
              </a:ln>
            </c:spPr>
          </c:dPt>
          <c:dLbls>
            <c:spPr>
              <a:noFill/>
              <a:ln w="25400">
                <a:noFill/>
              </a:ln>
            </c:spPr>
            <c:txPr>
              <a:bodyPr/>
              <a:lstStyle/>
              <a:p>
                <a:pPr>
                  <a:defRPr sz="12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Wykresy!$C$2:$F$2</c:f>
              <c:numCache>
                <c:formatCode>General</c:formatCode>
                <c:ptCount val="4"/>
                <c:pt idx="0">
                  <c:v>2015</c:v>
                </c:pt>
                <c:pt idx="1">
                  <c:v>2016</c:v>
                </c:pt>
                <c:pt idx="2">
                  <c:v>2017</c:v>
                </c:pt>
                <c:pt idx="3">
                  <c:v>2018</c:v>
                </c:pt>
              </c:numCache>
            </c:numRef>
          </c:cat>
          <c:val>
            <c:numRef>
              <c:f>Wykresy!$C$3:$F$3</c:f>
              <c:numCache>
                <c:formatCode>#,##0</c:formatCode>
                <c:ptCount val="4"/>
                <c:pt idx="0">
                  <c:v>265</c:v>
                </c:pt>
                <c:pt idx="1">
                  <c:v>300</c:v>
                </c:pt>
                <c:pt idx="2">
                  <c:v>352</c:v>
                </c:pt>
                <c:pt idx="3">
                  <c:v>365</c:v>
                </c:pt>
              </c:numCache>
            </c:numRef>
          </c:val>
        </c:ser>
        <c:dLbls>
          <c:showLegendKey val="0"/>
          <c:showVal val="1"/>
          <c:showCatName val="0"/>
          <c:showSerName val="0"/>
          <c:showPercent val="0"/>
          <c:showBubbleSize val="0"/>
        </c:dLbls>
        <c:gapWidth val="118"/>
        <c:shape val="box"/>
        <c:axId val="316085488"/>
        <c:axId val="316083528"/>
        <c:axId val="0"/>
      </c:bar3DChart>
      <c:catAx>
        <c:axId val="316085488"/>
        <c:scaling>
          <c:orientation val="minMax"/>
        </c:scaling>
        <c:delete val="0"/>
        <c:axPos val="b"/>
        <c:title>
          <c:tx>
            <c:rich>
              <a:bodyPr/>
              <a:lstStyle/>
              <a:p>
                <a:pPr>
                  <a:defRPr sz="1025" b="1" i="0" u="none" strike="noStrike" baseline="0">
                    <a:solidFill>
                      <a:srgbClr val="000000"/>
                    </a:solidFill>
                    <a:latin typeface="Arial"/>
                    <a:ea typeface="Arial"/>
                    <a:cs typeface="Arial"/>
                  </a:defRPr>
                </a:pPr>
                <a:r>
                  <a:rPr lang="pl-PL"/>
                  <a:t>lata</a:t>
                </a:r>
              </a:p>
            </c:rich>
          </c:tx>
          <c:layout>
            <c:manualLayout>
              <c:xMode val="edge"/>
              <c:yMode val="edge"/>
              <c:x val="0.87398664310387497"/>
              <c:y val="0.77201924143284906"/>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pl-PL"/>
          </a:p>
        </c:txPr>
        <c:crossAx val="316083528"/>
        <c:crosses val="autoZero"/>
        <c:auto val="1"/>
        <c:lblAlgn val="ctr"/>
        <c:lblOffset val="100"/>
        <c:tickLblSkip val="1"/>
        <c:tickMarkSkip val="1"/>
        <c:noMultiLvlLbl val="0"/>
      </c:catAx>
      <c:valAx>
        <c:axId val="316083528"/>
        <c:scaling>
          <c:orientation val="minMax"/>
        </c:scaling>
        <c:delete val="0"/>
        <c:axPos val="l"/>
        <c:majorGridlines>
          <c:spPr>
            <a:ln w="3175">
              <a:solidFill>
                <a:srgbClr val="000000"/>
              </a:solidFill>
              <a:prstDash val="solid"/>
            </a:ln>
          </c:spPr>
        </c:majorGridlines>
        <c:title>
          <c:tx>
            <c:rich>
              <a:bodyPr rot="0" vert="horz"/>
              <a:lstStyle/>
              <a:p>
                <a:pPr algn="ctr">
                  <a:defRPr sz="900" b="1" i="0" u="none" strike="noStrike" baseline="0">
                    <a:solidFill>
                      <a:srgbClr val="000000"/>
                    </a:solidFill>
                    <a:latin typeface="Arial"/>
                    <a:ea typeface="Arial"/>
                    <a:cs typeface="Arial"/>
                  </a:defRPr>
                </a:pPr>
                <a:r>
                  <a:rPr lang="pl-PL" sz="980"/>
                  <a:t>liczba</a:t>
                </a:r>
                <a:r>
                  <a:rPr lang="pl-PL" sz="900"/>
                  <a:t> obwinionych</a:t>
                </a:r>
              </a:p>
            </c:rich>
          </c:tx>
          <c:layout>
            <c:manualLayout>
              <c:xMode val="edge"/>
              <c:yMode val="edge"/>
              <c:x val="3.4709019171836247E-2"/>
              <c:y val="0.46184821297003598"/>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pl-PL"/>
          </a:p>
        </c:txPr>
        <c:crossAx val="316085488"/>
        <c:crosses val="autoZero"/>
        <c:crossBetween val="between"/>
      </c:valAx>
      <c:spPr>
        <a:noFill/>
        <a:ln w="25400">
          <a:noFill/>
        </a:ln>
      </c:spPr>
    </c:plotArea>
    <c:plotVisOnly val="1"/>
    <c:dispBlanksAs val="gap"/>
    <c:showDLblsOverMax val="0"/>
  </c:chart>
  <c:spPr>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6200000" scaled="1"/>
      <a:tileRect/>
    </a:gra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a:ea typeface="Arial"/>
          <a:cs typeface="Arial"/>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a:ea typeface="Arial"/>
                <a:cs typeface="Arial"/>
              </a:defRPr>
            </a:pPr>
            <a:r>
              <a:rPr lang="pl-PL" sz="1200"/>
              <a:t>Złożone wnioski o ukaranie</a:t>
            </a:r>
          </a:p>
        </c:rich>
      </c:tx>
      <c:layout>
        <c:manualLayout>
          <c:xMode val="edge"/>
          <c:yMode val="edge"/>
          <c:x val="0.36340904691510634"/>
          <c:y val="4.9461005849409247E-2"/>
        </c:manualLayout>
      </c:layout>
      <c:overlay val="0"/>
      <c:spPr>
        <a:noFill/>
        <a:ln w="25400">
          <a:noFill/>
        </a:ln>
      </c:spPr>
    </c:title>
    <c:autoTitleDeleted val="0"/>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4487703568097582"/>
          <c:y val="0.17760640829845892"/>
          <c:w val="0.8224466657651941"/>
          <c:h val="0.57335947870755266"/>
        </c:manualLayout>
      </c:layout>
      <c:bar3DChart>
        <c:barDir val="col"/>
        <c:grouping val="stacked"/>
        <c:varyColors val="1"/>
        <c:ser>
          <c:idx val="0"/>
          <c:order val="0"/>
          <c:tx>
            <c:strRef>
              <c:f>Wykresy!$B$28</c:f>
              <c:strCache>
                <c:ptCount val="1"/>
                <c:pt idx="0">
                  <c:v>liczba osób</c:v>
                </c:pt>
              </c:strCache>
            </c:strRef>
          </c:tx>
          <c:spPr>
            <a:solidFill>
              <a:srgbClr val="9999FF"/>
            </a:solidFill>
            <a:ln w="12700">
              <a:solidFill>
                <a:srgbClr val="000000"/>
              </a:solidFill>
              <a:prstDash val="solid"/>
            </a:ln>
          </c:spPr>
          <c:invertIfNegative val="0"/>
          <c:dPt>
            <c:idx val="0"/>
            <c:invertIfNegative val="0"/>
            <c:bubble3D val="0"/>
            <c:spPr>
              <a:solidFill>
                <a:srgbClr val="9999FF"/>
              </a:solidFill>
              <a:ln w="12700">
                <a:solidFill>
                  <a:srgbClr val="000000"/>
                </a:solidFill>
                <a:prstDash val="solid"/>
              </a:ln>
            </c:spPr>
          </c:dPt>
          <c:dPt>
            <c:idx val="1"/>
            <c:invertIfNegative val="0"/>
            <c:bubble3D val="0"/>
            <c:spPr>
              <a:solidFill>
                <a:srgbClr val="993366"/>
              </a:solidFill>
              <a:ln w="12700">
                <a:solidFill>
                  <a:srgbClr val="000000"/>
                </a:solidFill>
                <a:prstDash val="solid"/>
              </a:ln>
            </c:spPr>
          </c:dPt>
          <c:dPt>
            <c:idx val="2"/>
            <c:invertIfNegative val="0"/>
            <c:bubble3D val="0"/>
            <c:spPr>
              <a:solidFill>
                <a:srgbClr val="FFFFCC"/>
              </a:solidFill>
              <a:ln w="12700">
                <a:solidFill>
                  <a:srgbClr val="000000"/>
                </a:solidFill>
                <a:prstDash val="solid"/>
              </a:ln>
            </c:spPr>
          </c:dPt>
          <c:dPt>
            <c:idx val="3"/>
            <c:invertIfNegative val="0"/>
            <c:bubble3D val="0"/>
            <c:spPr>
              <a:solidFill>
                <a:srgbClr val="92D050"/>
              </a:solidFill>
              <a:ln w="12700">
                <a:solidFill>
                  <a:srgbClr val="000000"/>
                </a:solidFill>
                <a:prstDash val="solid"/>
              </a:ln>
            </c:spPr>
          </c:dPt>
          <c:dLbls>
            <c:dLbl>
              <c:idx val="1"/>
              <c:layout>
                <c:manualLayout>
                  <c:x val="0"/>
                  <c:y val="-1.98412698412698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sz="12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Wykresy!$C$27:$F$27</c:f>
              <c:numCache>
                <c:formatCode>General</c:formatCode>
                <c:ptCount val="4"/>
                <c:pt idx="0">
                  <c:v>2015</c:v>
                </c:pt>
                <c:pt idx="1">
                  <c:v>2016</c:v>
                </c:pt>
                <c:pt idx="2">
                  <c:v>2017</c:v>
                </c:pt>
                <c:pt idx="3">
                  <c:v>2018</c:v>
                </c:pt>
              </c:numCache>
            </c:numRef>
          </c:cat>
          <c:val>
            <c:numRef>
              <c:f>Wykresy!$C$28:$F$28</c:f>
              <c:numCache>
                <c:formatCode>#,##0</c:formatCode>
                <c:ptCount val="4"/>
                <c:pt idx="0">
                  <c:v>1202</c:v>
                </c:pt>
                <c:pt idx="1">
                  <c:v>1190</c:v>
                </c:pt>
                <c:pt idx="2">
                  <c:v>1124</c:v>
                </c:pt>
                <c:pt idx="3">
                  <c:v>1021</c:v>
                </c:pt>
              </c:numCache>
            </c:numRef>
          </c:val>
        </c:ser>
        <c:dLbls>
          <c:showLegendKey val="0"/>
          <c:showVal val="1"/>
          <c:showCatName val="0"/>
          <c:showSerName val="0"/>
          <c:showPercent val="0"/>
          <c:showBubbleSize val="0"/>
        </c:dLbls>
        <c:gapWidth val="70"/>
        <c:shape val="box"/>
        <c:axId val="316084312"/>
        <c:axId val="316085880"/>
        <c:axId val="0"/>
      </c:bar3DChart>
      <c:catAx>
        <c:axId val="316084312"/>
        <c:scaling>
          <c:orientation val="minMax"/>
        </c:scaling>
        <c:delete val="0"/>
        <c:axPos val="b"/>
        <c:title>
          <c:tx>
            <c:rich>
              <a:bodyPr/>
              <a:lstStyle/>
              <a:p>
                <a:pPr>
                  <a:defRPr sz="925" b="1" i="0" u="none" strike="noStrike" baseline="0">
                    <a:solidFill>
                      <a:srgbClr val="000000"/>
                    </a:solidFill>
                    <a:latin typeface="Arial"/>
                    <a:ea typeface="Arial"/>
                    <a:cs typeface="Arial"/>
                  </a:defRPr>
                </a:pPr>
                <a:r>
                  <a:rPr lang="pl-PL"/>
                  <a:t>lata</a:t>
                </a:r>
              </a:p>
            </c:rich>
          </c:tx>
          <c:layout>
            <c:manualLayout>
              <c:xMode val="edge"/>
              <c:yMode val="edge"/>
              <c:x val="0.83309929719815401"/>
              <c:y val="0.79043400824896892"/>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pl-PL"/>
          </a:p>
        </c:txPr>
        <c:crossAx val="316085880"/>
        <c:crosses val="autoZero"/>
        <c:auto val="1"/>
        <c:lblAlgn val="ctr"/>
        <c:lblOffset val="100"/>
        <c:tickLblSkip val="1"/>
        <c:tickMarkSkip val="1"/>
        <c:noMultiLvlLbl val="0"/>
      </c:catAx>
      <c:valAx>
        <c:axId val="316085880"/>
        <c:scaling>
          <c:orientation val="minMax"/>
          <c:min val="0"/>
        </c:scaling>
        <c:delete val="0"/>
        <c:axPos val="l"/>
        <c:majorGridlines>
          <c:spPr>
            <a:ln w="3175">
              <a:solidFill>
                <a:srgbClr val="000000"/>
              </a:solidFill>
              <a:prstDash val="solid"/>
            </a:ln>
          </c:spPr>
        </c:majorGridlines>
        <c:title>
          <c:tx>
            <c:rich>
              <a:bodyPr rot="0" vert="horz"/>
              <a:lstStyle/>
              <a:p>
                <a:pPr algn="ctr">
                  <a:defRPr sz="980" b="1" i="0" u="none" strike="noStrike" baseline="0">
                    <a:solidFill>
                      <a:srgbClr val="000000"/>
                    </a:solidFill>
                    <a:latin typeface="Arial"/>
                    <a:ea typeface="Arial"/>
                    <a:cs typeface="Arial"/>
                  </a:defRPr>
                </a:pPr>
                <a:r>
                  <a:rPr lang="pl-PL" sz="980"/>
                  <a:t>liczba obwinionych</a:t>
                </a:r>
              </a:p>
            </c:rich>
          </c:tx>
          <c:layout>
            <c:manualLayout>
              <c:xMode val="edge"/>
              <c:yMode val="edge"/>
              <c:x val="3.410049746928763E-2"/>
              <c:y val="0.47814502838307993"/>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pl-PL"/>
          </a:p>
        </c:txPr>
        <c:crossAx val="316084312"/>
        <c:crosses val="autoZero"/>
        <c:crossBetween val="between"/>
      </c:valAx>
      <c:spPr>
        <a:noFill/>
        <a:ln w="25400">
          <a:noFill/>
        </a:ln>
      </c:spPr>
    </c:plotArea>
    <c:plotVisOnly val="1"/>
    <c:dispBlanksAs val="gap"/>
    <c:showDLblsOverMax val="0"/>
  </c:chart>
  <c:spPr>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6200000" scaled="1"/>
      <a:tileRect/>
    </a:gra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a:ea typeface="Arial"/>
          <a:cs typeface="Arial"/>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pl-PL" sz="1200"/>
              <a:t>Sprawy rozstrzygnięte w ciągu roku</a:t>
            </a:r>
          </a:p>
        </c:rich>
      </c:tx>
      <c:layout>
        <c:manualLayout>
          <c:xMode val="edge"/>
          <c:yMode val="edge"/>
          <c:x val="0.31239864474956769"/>
          <c:y val="5.9731669179650414E-2"/>
        </c:manualLayout>
      </c:layout>
      <c:overlay val="0"/>
      <c:spPr>
        <a:noFill/>
        <a:ln w="25400">
          <a:noFill/>
        </a:ln>
      </c:spPr>
    </c:title>
    <c:autoTitleDeleted val="0"/>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2443893690440295"/>
          <c:y val="0.2108559498956159"/>
          <c:w val="0.74064849178452985"/>
          <c:h val="0.58455114822546983"/>
        </c:manualLayout>
      </c:layout>
      <c:bar3DChart>
        <c:barDir val="col"/>
        <c:grouping val="clustered"/>
        <c:varyColors val="1"/>
        <c:ser>
          <c:idx val="0"/>
          <c:order val="0"/>
          <c:spPr>
            <a:solidFill>
              <a:srgbClr val="9999FF"/>
            </a:solidFill>
            <a:ln w="12700">
              <a:solidFill>
                <a:srgbClr val="000000"/>
              </a:solidFill>
              <a:prstDash val="solid"/>
            </a:ln>
          </c:spPr>
          <c:invertIfNegative val="0"/>
          <c:dPt>
            <c:idx val="0"/>
            <c:invertIfNegative val="0"/>
            <c:bubble3D val="0"/>
            <c:spPr>
              <a:solidFill>
                <a:srgbClr val="9999FF"/>
              </a:solidFill>
              <a:ln w="12700">
                <a:solidFill>
                  <a:srgbClr val="000000"/>
                </a:solidFill>
                <a:prstDash val="solid"/>
              </a:ln>
            </c:spPr>
          </c:dPt>
          <c:dPt>
            <c:idx val="1"/>
            <c:invertIfNegative val="0"/>
            <c:bubble3D val="0"/>
            <c:spPr>
              <a:solidFill>
                <a:srgbClr val="993366"/>
              </a:solidFill>
              <a:ln w="12700">
                <a:solidFill>
                  <a:srgbClr val="000000"/>
                </a:solidFill>
                <a:prstDash val="solid"/>
              </a:ln>
            </c:spPr>
          </c:dPt>
          <c:dPt>
            <c:idx val="2"/>
            <c:invertIfNegative val="0"/>
            <c:bubble3D val="0"/>
            <c:spPr>
              <a:solidFill>
                <a:srgbClr val="FFFFCC"/>
              </a:solidFill>
              <a:ln w="12700">
                <a:solidFill>
                  <a:srgbClr val="000000"/>
                </a:solidFill>
                <a:prstDash val="solid"/>
              </a:ln>
            </c:spPr>
          </c:dPt>
          <c:dPt>
            <c:idx val="3"/>
            <c:invertIfNegative val="0"/>
            <c:bubble3D val="0"/>
            <c:spPr>
              <a:solidFill>
                <a:srgbClr val="92D050"/>
              </a:solidFill>
              <a:ln w="12700">
                <a:solidFill>
                  <a:srgbClr val="000000"/>
                </a:solidFill>
                <a:prstDash val="solid"/>
              </a:ln>
            </c:spPr>
          </c:dPt>
          <c:dLbls>
            <c:dLbl>
              <c:idx val="0"/>
              <c:layout>
                <c:manualLayout>
                  <c:x val="8.3937203988978344E-4"/>
                  <c:y val="0.11481309181389464"/>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367319349006064E-4"/>
                  <c:y val="0.15010191545205787"/>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505224829461697E-3"/>
                  <c:y val="0.10447798093435491"/>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729682746631897E-3"/>
                  <c:y val="0.1215395003376097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sz="115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Wykresy!$C$86:$F$86</c:f>
              <c:numCache>
                <c:formatCode>General</c:formatCode>
                <c:ptCount val="4"/>
                <c:pt idx="0">
                  <c:v>2015</c:v>
                </c:pt>
                <c:pt idx="1">
                  <c:v>2016</c:v>
                </c:pt>
                <c:pt idx="2">
                  <c:v>2017</c:v>
                </c:pt>
                <c:pt idx="3">
                  <c:v>2018</c:v>
                </c:pt>
              </c:numCache>
            </c:numRef>
          </c:cat>
          <c:val>
            <c:numRef>
              <c:f>Wykresy!$C$87:$F$87</c:f>
              <c:numCache>
                <c:formatCode>#,##0</c:formatCode>
                <c:ptCount val="4"/>
                <c:pt idx="0">
                  <c:v>1199</c:v>
                </c:pt>
                <c:pt idx="1">
                  <c:v>1185</c:v>
                </c:pt>
                <c:pt idx="2">
                  <c:v>1127</c:v>
                </c:pt>
                <c:pt idx="3">
                  <c:v>1063</c:v>
                </c:pt>
              </c:numCache>
            </c:numRef>
          </c:val>
        </c:ser>
        <c:dLbls>
          <c:showLegendKey val="0"/>
          <c:showVal val="1"/>
          <c:showCatName val="0"/>
          <c:showSerName val="0"/>
          <c:showPercent val="0"/>
          <c:showBubbleSize val="0"/>
        </c:dLbls>
        <c:gapWidth val="114"/>
        <c:shape val="box"/>
        <c:axId val="316086664"/>
        <c:axId val="316081960"/>
        <c:axId val="0"/>
      </c:bar3DChart>
      <c:catAx>
        <c:axId val="316086664"/>
        <c:scaling>
          <c:orientation val="minMax"/>
        </c:scaling>
        <c:delete val="0"/>
        <c:axPos val="b"/>
        <c:title>
          <c:tx>
            <c:rich>
              <a:bodyPr/>
              <a:lstStyle/>
              <a:p>
                <a:pPr>
                  <a:defRPr sz="975" b="1" i="0" u="none" strike="noStrike" baseline="0">
                    <a:solidFill>
                      <a:srgbClr val="000000"/>
                    </a:solidFill>
                    <a:latin typeface="Arial"/>
                    <a:ea typeface="Arial"/>
                    <a:cs typeface="Arial"/>
                  </a:defRPr>
                </a:pPr>
                <a:r>
                  <a:rPr lang="pl-PL"/>
                  <a:t>lata</a:t>
                </a:r>
              </a:p>
            </c:rich>
          </c:tx>
          <c:layout>
            <c:manualLayout>
              <c:xMode val="edge"/>
              <c:yMode val="edge"/>
              <c:x val="0.90014064408832861"/>
              <c:y val="0.81703520179491396"/>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pl-PL"/>
          </a:p>
        </c:txPr>
        <c:crossAx val="316081960"/>
        <c:crosses val="autoZero"/>
        <c:auto val="1"/>
        <c:lblAlgn val="ctr"/>
        <c:lblOffset val="100"/>
        <c:tickLblSkip val="1"/>
        <c:tickMarkSkip val="1"/>
        <c:noMultiLvlLbl val="0"/>
      </c:catAx>
      <c:valAx>
        <c:axId val="316081960"/>
        <c:scaling>
          <c:orientation val="minMax"/>
          <c:min val="0"/>
        </c:scaling>
        <c:delete val="0"/>
        <c:axPos val="l"/>
        <c:majorGridlines>
          <c:spPr>
            <a:ln w="3175">
              <a:solidFill>
                <a:srgbClr val="000000"/>
              </a:solidFill>
              <a:prstDash val="solid"/>
            </a:ln>
          </c:spPr>
        </c:majorGridlines>
        <c:title>
          <c:tx>
            <c:rich>
              <a:bodyPr rot="0" vert="horz"/>
              <a:lstStyle/>
              <a:p>
                <a:pPr algn="ctr">
                  <a:defRPr sz="980" b="1" i="0" u="none" strike="noStrike" baseline="0">
                    <a:solidFill>
                      <a:srgbClr val="000000"/>
                    </a:solidFill>
                    <a:latin typeface="Arial"/>
                    <a:ea typeface="Arial"/>
                    <a:cs typeface="Arial"/>
                  </a:defRPr>
                </a:pPr>
                <a:r>
                  <a:rPr lang="pl-PL" sz="980"/>
                  <a:t>liczba
obwinionych</a:t>
                </a:r>
              </a:p>
            </c:rich>
          </c:tx>
          <c:layout>
            <c:manualLayout>
              <c:xMode val="edge"/>
              <c:yMode val="edge"/>
              <c:x val="1.9950127724835818E-2"/>
              <c:y val="0.49060542797494777"/>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pl-PL"/>
          </a:p>
        </c:txPr>
        <c:crossAx val="316086664"/>
        <c:crosses val="autoZero"/>
        <c:crossBetween val="between"/>
      </c:valAx>
      <c:spPr>
        <a:noFill/>
        <a:ln w="25400">
          <a:noFill/>
        </a:ln>
      </c:spPr>
    </c:plotArea>
    <c:plotVisOnly val="1"/>
    <c:dispBlanksAs val="gap"/>
    <c:showDLblsOverMax val="0"/>
  </c:chart>
  <c:spPr>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6200000" scaled="1"/>
      <a:tileRect/>
    </a:gra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a:ea typeface="Arial"/>
          <a:cs typeface="Arial"/>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pl-PL" sz="1200"/>
              <a:t>Wykres nr 4: Sprawy rozstrzygnięte w ciągu roku sprawozdawczego 2018 
przez poszczególne komisje orzekające</a:t>
            </a:r>
          </a:p>
        </c:rich>
      </c:tx>
      <c:layout>
        <c:manualLayout>
          <c:xMode val="edge"/>
          <c:yMode val="edge"/>
          <c:x val="0.25184545906581052"/>
          <c:y val="3.7974721266071272E-2"/>
        </c:manualLayout>
      </c:layout>
      <c:overlay val="0"/>
      <c:spPr>
        <a:noFill/>
        <a:ln w="25400">
          <a:noFill/>
        </a:ln>
      </c:spPr>
    </c:title>
    <c:autoTitleDeleted val="0"/>
    <c:view3D>
      <c:rotX val="1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290573053368328"/>
          <c:y val="0.13086887835702998"/>
          <c:w val="0.87775269308471526"/>
          <c:h val="0.71967309773482102"/>
        </c:manualLayout>
      </c:layout>
      <c:bar3DChart>
        <c:barDir val="col"/>
        <c:grouping val="clustered"/>
        <c:varyColors val="0"/>
        <c:ser>
          <c:idx val="0"/>
          <c:order val="0"/>
          <c:tx>
            <c:strRef>
              <c:f>'[KO zbiorcze spr roczne 2018.xlsx]Wykresy'!$C$299</c:f>
              <c:strCache>
                <c:ptCount val="1"/>
                <c:pt idx="0">
                  <c:v>sprawy rozstrzygnięte</c:v>
                </c:pt>
              </c:strCache>
            </c:strRef>
          </c:tx>
          <c:spPr>
            <a:solidFill>
              <a:srgbClr val="FF6600"/>
            </a:solidFill>
            <a:ln w="12700">
              <a:solidFill>
                <a:srgbClr val="000000"/>
              </a:solidFill>
              <a:prstDash val="solid"/>
            </a:ln>
          </c:spPr>
          <c:invertIfNegative val="0"/>
          <c:cat>
            <c:strRef>
              <c:f>'[KO zbiorcze spr roczne 2018.xlsx]Wykresy'!$D$298:$X$298</c:f>
              <c:strCache>
                <c:ptCount val="21"/>
                <c:pt idx="0">
                  <c:v>Białystok</c:v>
                </c:pt>
                <c:pt idx="1">
                  <c:v>Bydgoszcz</c:v>
                </c:pt>
                <c:pt idx="2">
                  <c:v>Gdańsk</c:v>
                </c:pt>
                <c:pt idx="3">
                  <c:v>Katowice</c:v>
                </c:pt>
                <c:pt idx="4">
                  <c:v>Kielce</c:v>
                </c:pt>
                <c:pt idx="5">
                  <c:v>Kraków</c:v>
                </c:pt>
                <c:pt idx="6">
                  <c:v>Lublin</c:v>
                </c:pt>
                <c:pt idx="7">
                  <c:v>Łódź</c:v>
                </c:pt>
                <c:pt idx="8">
                  <c:v>Olsztyn</c:v>
                </c:pt>
                <c:pt idx="9">
                  <c:v>Opole</c:v>
                </c:pt>
                <c:pt idx="10">
                  <c:v>Poznań</c:v>
                </c:pt>
                <c:pt idx="11">
                  <c:v>Rzeszów</c:v>
                </c:pt>
                <c:pt idx="12">
                  <c:v>Szczecin</c:v>
                </c:pt>
                <c:pt idx="13">
                  <c:v>Warszawa</c:v>
                </c:pt>
                <c:pt idx="14">
                  <c:v>Wrocław</c:v>
                </c:pt>
                <c:pt idx="15">
                  <c:v>Zielona Góra</c:v>
                </c:pt>
                <c:pt idx="16">
                  <c:v>KPRM</c:v>
                </c:pt>
                <c:pt idx="17">
                  <c:v>Wspólna</c:v>
                </c:pt>
                <c:pt idx="18">
                  <c:v>MSWiA</c:v>
                </c:pt>
                <c:pt idx="19">
                  <c:v>M.
 Finansów</c:v>
                </c:pt>
                <c:pt idx="20">
                  <c:v>M. 
Sprawiedliwości</c:v>
                </c:pt>
              </c:strCache>
            </c:strRef>
          </c:cat>
          <c:val>
            <c:numRef>
              <c:f>'[KO zbiorcze spr roczne 2018.xlsx]Wykresy'!$D$299:$X$299</c:f>
              <c:numCache>
                <c:formatCode>General</c:formatCode>
                <c:ptCount val="21"/>
                <c:pt idx="0">
                  <c:v>25</c:v>
                </c:pt>
                <c:pt idx="1">
                  <c:v>43</c:v>
                </c:pt>
                <c:pt idx="2">
                  <c:v>47</c:v>
                </c:pt>
                <c:pt idx="3">
                  <c:v>105</c:v>
                </c:pt>
                <c:pt idx="4">
                  <c:v>44</c:v>
                </c:pt>
                <c:pt idx="5">
                  <c:v>76</c:v>
                </c:pt>
                <c:pt idx="6">
                  <c:v>52</c:v>
                </c:pt>
                <c:pt idx="7">
                  <c:v>107</c:v>
                </c:pt>
                <c:pt idx="8">
                  <c:v>60</c:v>
                </c:pt>
                <c:pt idx="9">
                  <c:v>30</c:v>
                </c:pt>
                <c:pt idx="10">
                  <c:v>69</c:v>
                </c:pt>
                <c:pt idx="11">
                  <c:v>26</c:v>
                </c:pt>
                <c:pt idx="12">
                  <c:v>28</c:v>
                </c:pt>
                <c:pt idx="13">
                  <c:v>91</c:v>
                </c:pt>
                <c:pt idx="14">
                  <c:v>80</c:v>
                </c:pt>
                <c:pt idx="15">
                  <c:v>9</c:v>
                </c:pt>
                <c:pt idx="16">
                  <c:v>2</c:v>
                </c:pt>
                <c:pt idx="17">
                  <c:v>0</c:v>
                </c:pt>
                <c:pt idx="18">
                  <c:v>53</c:v>
                </c:pt>
                <c:pt idx="19">
                  <c:v>87</c:v>
                </c:pt>
                <c:pt idx="20">
                  <c:v>29</c:v>
                </c:pt>
              </c:numCache>
            </c:numRef>
          </c:val>
        </c:ser>
        <c:dLbls>
          <c:showLegendKey val="0"/>
          <c:showVal val="0"/>
          <c:showCatName val="0"/>
          <c:showSerName val="0"/>
          <c:showPercent val="0"/>
          <c:showBubbleSize val="0"/>
        </c:dLbls>
        <c:gapWidth val="150"/>
        <c:shape val="box"/>
        <c:axId val="316087056"/>
        <c:axId val="316083920"/>
        <c:axId val="0"/>
      </c:bar3DChart>
      <c:catAx>
        <c:axId val="316087056"/>
        <c:scaling>
          <c:orientation val="minMax"/>
        </c:scaling>
        <c:delete val="0"/>
        <c:axPos val="b"/>
        <c:title>
          <c:tx>
            <c:rich>
              <a:bodyPr/>
              <a:lstStyle/>
              <a:p>
                <a:pPr>
                  <a:defRPr sz="900" b="1" i="0" u="none" strike="noStrike" baseline="0">
                    <a:solidFill>
                      <a:srgbClr val="000000"/>
                    </a:solidFill>
                    <a:latin typeface="Arial"/>
                    <a:ea typeface="Arial"/>
                    <a:cs typeface="Arial"/>
                  </a:defRPr>
                </a:pPr>
                <a:r>
                  <a:rPr lang="pl-PL" sz="900"/>
                  <a:t>komisje</a:t>
                </a:r>
              </a:p>
            </c:rich>
          </c:tx>
          <c:layout>
            <c:manualLayout>
              <c:xMode val="edge"/>
              <c:yMode val="edge"/>
              <c:x val="0.49996751968503939"/>
              <c:y val="0.94702335916930569"/>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5400000" vert="horz"/>
          <a:lstStyle/>
          <a:p>
            <a:pPr>
              <a:defRPr sz="900" b="0" i="0" u="none" strike="noStrike" baseline="0">
                <a:solidFill>
                  <a:srgbClr val="000000"/>
                </a:solidFill>
                <a:latin typeface="Arial"/>
                <a:ea typeface="Arial"/>
                <a:cs typeface="Arial"/>
              </a:defRPr>
            </a:pPr>
            <a:endParaRPr lang="pl-PL"/>
          </a:p>
        </c:txPr>
        <c:crossAx val="316083920"/>
        <c:crosses val="autoZero"/>
        <c:auto val="1"/>
        <c:lblAlgn val="ctr"/>
        <c:lblOffset val="100"/>
        <c:tickLblSkip val="1"/>
        <c:tickMarkSkip val="1"/>
        <c:noMultiLvlLbl val="0"/>
      </c:catAx>
      <c:valAx>
        <c:axId val="316083920"/>
        <c:scaling>
          <c:orientation val="minMax"/>
        </c:scaling>
        <c:delete val="0"/>
        <c:axPos val="l"/>
        <c:majorGridlines>
          <c:spPr>
            <a:ln w="3175">
              <a:solidFill>
                <a:srgbClr val="000000"/>
              </a:solidFill>
              <a:prstDash val="solid"/>
            </a:ln>
          </c:spPr>
        </c:majorGridlines>
        <c:title>
          <c:tx>
            <c:rich>
              <a:bodyPr rot="0" vert="horz"/>
              <a:lstStyle/>
              <a:p>
                <a:pPr algn="ctr">
                  <a:defRPr sz="900" b="1" i="0" u="none" strike="noStrike" baseline="0">
                    <a:solidFill>
                      <a:srgbClr val="000000"/>
                    </a:solidFill>
                    <a:latin typeface="Arial"/>
                    <a:ea typeface="Arial"/>
                    <a:cs typeface="Arial"/>
                  </a:defRPr>
                </a:pPr>
                <a:r>
                  <a:rPr lang="pl-PL" sz="900"/>
                  <a:t>liczba
obwinionych</a:t>
                </a:r>
              </a:p>
            </c:rich>
          </c:tx>
          <c:layout>
            <c:manualLayout>
              <c:xMode val="edge"/>
              <c:yMode val="edge"/>
              <c:x val="1.2732139152709003E-2"/>
              <c:y val="0.5271252511836896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pl-PL"/>
          </a:p>
        </c:txPr>
        <c:crossAx val="316087056"/>
        <c:crosses val="autoZero"/>
        <c:crossBetween val="between"/>
      </c:valAx>
      <c:spPr>
        <a:noFill/>
        <a:ln w="25400">
          <a:noFill/>
        </a:ln>
      </c:spPr>
    </c:plotArea>
    <c:plotVisOnly val="1"/>
    <c:dispBlanksAs val="gap"/>
    <c:showDLblsOverMax val="0"/>
  </c:chart>
  <c:spPr>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6200000" scaled="1"/>
      <a:tileRect/>
    </a:gradFill>
    <a:ln w="3175">
      <a:solidFill>
        <a:srgbClr val="000000"/>
      </a:solidFill>
      <a:prstDash val="solid"/>
    </a:ln>
    <a:effectLst>
      <a:outerShdw dist="35921" dir="2700000" algn="br">
        <a:srgbClr val="000000"/>
      </a:outerShdw>
    </a:effectLst>
  </c:spPr>
  <c:txPr>
    <a:bodyPr/>
    <a:lstStyle/>
    <a:p>
      <a:pPr>
        <a:defRPr sz="1850" b="0" i="0" u="none" strike="noStrike" baseline="0">
          <a:solidFill>
            <a:srgbClr val="000000"/>
          </a:solidFill>
          <a:latin typeface="Arial"/>
          <a:ea typeface="Arial"/>
          <a:cs typeface="Arial"/>
        </a:defRPr>
      </a:pPr>
      <a:endParaRPr lang="pl-PL"/>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0.00771</cdr:x>
      <cdr:y>0.27224</cdr:y>
    </cdr:from>
    <cdr:to>
      <cdr:x>0.02716</cdr:x>
      <cdr:y>0.47475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6200000">
          <a:off x="-497921" y="2396156"/>
          <a:ext cx="1353273" cy="199429"/>
        </a:xfrm>
        <a:prstGeom xmlns:a="http://schemas.openxmlformats.org/drawingml/2006/main" prst="rect">
          <a:avLst/>
        </a:prstGeom>
      </cdr:spPr>
    </cdr:pic>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D1643AF25F8DA418A8D860F0A8CFC32" ma:contentTypeVersion="" ma:contentTypeDescription="Utwórz nowy dokument." ma:contentTypeScope="" ma:versionID="e8eea0622d6399ab98c0f0e3649f6aab">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07417-1D42-4580-9CDE-D0CB14932BB3}">
  <ds:schemaRefs>
    <ds:schemaRef ds:uri="http://schemas.microsoft.com/sharepoint/v3/contenttype/forms"/>
  </ds:schemaRefs>
</ds:datastoreItem>
</file>

<file path=customXml/itemProps2.xml><?xml version="1.0" encoding="utf-8"?>
<ds:datastoreItem xmlns:ds="http://schemas.openxmlformats.org/officeDocument/2006/customXml" ds:itemID="{551B9E3B-DD82-4B05-B3AE-A73FE1F8C9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5567BD-780B-4982-8EF6-54B76EBCC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2C87E98-3D56-4044-A12E-54D86D10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5881</Words>
  <Characters>38352</Characters>
  <Application>Microsoft Office Word</Application>
  <DocSecurity>0</DocSecurity>
  <Lines>319</Lines>
  <Paragraphs>88</Paragraphs>
  <ScaleCrop>false</ScaleCrop>
  <HeadingPairs>
    <vt:vector size="2" baseType="variant">
      <vt:variant>
        <vt:lpstr>Tytuł</vt:lpstr>
      </vt:variant>
      <vt:variant>
        <vt:i4>1</vt:i4>
      </vt:variant>
    </vt:vector>
  </HeadingPairs>
  <TitlesOfParts>
    <vt:vector size="1" baseType="lpstr">
      <vt:lpstr>Warszawa,       marca 2009 r</vt:lpstr>
    </vt:vector>
  </TitlesOfParts>
  <Company>MF</Company>
  <LinksUpToDate>false</LinksUpToDate>
  <CharactersWithSpaces>44145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marca 2009 r</dc:title>
  <dc:creator>Zbyszek Zieliński</dc:creator>
  <cp:lastModifiedBy>Jedlińska Anna</cp:lastModifiedBy>
  <cp:revision>5</cp:revision>
  <cp:lastPrinted>2019-03-14T12:52:00Z</cp:lastPrinted>
  <dcterms:created xsi:type="dcterms:W3CDTF">2019-04-02T10:53:00Z</dcterms:created>
  <dcterms:modified xsi:type="dcterms:W3CDTF">2019-04-03T14:54:00Z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0x0101006D1643AF25F8DA418A8D860F0A8CFC32</vt:lpwstr>
  </property>
</Properties>
</file>